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16E08" w14:textId="77777777" w:rsidR="00D61BF9" w:rsidRDefault="00000000">
      <w:pPr>
        <w:jc w:val="center"/>
        <w:rPr>
          <w:rStyle w:val="normaltextrun"/>
          <w:rFonts w:ascii="Calibri" w:eastAsia="SimSun" w:hAnsi="Calibri" w:cs="Calibri"/>
          <w:b/>
          <w:bCs/>
          <w:color w:val="000000"/>
          <w:u w:val="single"/>
          <w:shd w:val="clear" w:color="auto" w:fill="FFFFFF"/>
          <w:lang w:val="en-US" w:eastAsia="zh-CN"/>
        </w:rPr>
      </w:pPr>
      <w:r>
        <w:rPr>
          <w:rStyle w:val="normaltextrun"/>
          <w:rFonts w:ascii="Calibri" w:hAnsi="Calibri" w:cs="Calibri"/>
          <w:b/>
          <w:bCs/>
          <w:color w:val="EE0000"/>
          <w:sz w:val="22"/>
          <w:szCs w:val="22"/>
          <w:shd w:val="clear" w:color="auto" w:fill="FFFFFF"/>
          <w:lang w:val="en-US" w:eastAsia="zh-CN"/>
        </w:rPr>
        <w:t>本信息在</w:t>
      </w:r>
      <w:r>
        <w:rPr>
          <w:rStyle w:val="normaltextrun"/>
          <w:rFonts w:ascii="Calibri" w:hAnsi="Calibri" w:cs="Calibri"/>
          <w:b/>
          <w:bCs/>
          <w:color w:val="EE0000"/>
          <w:sz w:val="22"/>
          <w:szCs w:val="22"/>
          <w:shd w:val="clear" w:color="auto" w:fill="FFFFFF"/>
          <w:lang w:val="en-US" w:eastAsia="zh-CN"/>
        </w:rPr>
        <w:t>2026</w:t>
      </w:r>
      <w:r>
        <w:rPr>
          <w:rStyle w:val="normaltextrun"/>
          <w:rFonts w:ascii="Calibri" w:hAnsi="Calibri" w:cs="Calibri"/>
          <w:b/>
          <w:bCs/>
          <w:color w:val="EE0000"/>
          <w:sz w:val="22"/>
          <w:szCs w:val="22"/>
          <w:shd w:val="clear" w:color="auto" w:fill="FFFFFF"/>
          <w:lang w:val="en-US" w:eastAsia="zh-CN"/>
        </w:rPr>
        <w:t>年</w:t>
      </w:r>
      <w:r>
        <w:rPr>
          <w:rStyle w:val="normaltextrun"/>
          <w:rFonts w:ascii="Calibri" w:hAnsi="Calibri" w:cs="Calibri"/>
          <w:b/>
          <w:bCs/>
          <w:color w:val="EE0000"/>
          <w:sz w:val="22"/>
          <w:szCs w:val="22"/>
          <w:shd w:val="clear" w:color="auto" w:fill="FFFFFF"/>
          <w:lang w:val="en-US" w:eastAsia="zh-CN"/>
        </w:rPr>
        <w:t>11</w:t>
      </w:r>
      <w:r>
        <w:rPr>
          <w:rStyle w:val="normaltextrun"/>
          <w:rFonts w:ascii="Calibri" w:hAnsi="Calibri" w:cs="Calibri"/>
          <w:b/>
          <w:bCs/>
          <w:color w:val="EE0000"/>
          <w:sz w:val="22"/>
          <w:szCs w:val="22"/>
          <w:shd w:val="clear" w:color="auto" w:fill="FFFFFF"/>
          <w:lang w:val="en-US" w:eastAsia="zh-CN"/>
        </w:rPr>
        <w:t>月</w:t>
      </w:r>
      <w:r>
        <w:rPr>
          <w:rStyle w:val="normaltextrun"/>
          <w:rFonts w:ascii="Calibri" w:hAnsi="Calibri" w:cs="Calibri"/>
          <w:b/>
          <w:bCs/>
          <w:color w:val="EE0000"/>
          <w:sz w:val="22"/>
          <w:szCs w:val="22"/>
          <w:shd w:val="clear" w:color="auto" w:fill="FFFFFF"/>
          <w:lang w:val="en-US" w:eastAsia="zh-CN"/>
        </w:rPr>
        <w:t>3</w:t>
      </w:r>
      <w:r>
        <w:rPr>
          <w:rStyle w:val="normaltextrun"/>
          <w:rFonts w:ascii="Calibri" w:hAnsi="Calibri" w:cs="Calibri"/>
          <w:b/>
          <w:bCs/>
          <w:color w:val="EE0000"/>
          <w:sz w:val="22"/>
          <w:szCs w:val="22"/>
          <w:shd w:val="clear" w:color="auto" w:fill="FFFFFF"/>
          <w:lang w:val="en-US" w:eastAsia="zh-CN"/>
        </w:rPr>
        <w:t>日</w:t>
      </w:r>
      <w:r>
        <w:rPr>
          <w:rStyle w:val="normaltextrun"/>
          <w:rFonts w:ascii="Calibri" w:eastAsia="SimSun" w:hAnsi="Calibri" w:cs="Calibri" w:hint="eastAsia"/>
          <w:b/>
          <w:bCs/>
          <w:color w:val="EE0000"/>
          <w:sz w:val="22"/>
          <w:szCs w:val="22"/>
          <w:shd w:val="clear" w:color="auto" w:fill="FFFFFF"/>
          <w:lang w:val="en-US" w:eastAsia="zh-CN"/>
        </w:rPr>
        <w:t>北京</w:t>
      </w:r>
      <w:r>
        <w:rPr>
          <w:rStyle w:val="normaltextrun"/>
          <w:rFonts w:ascii="Calibri" w:hAnsi="Calibri" w:cs="Calibri"/>
          <w:b/>
          <w:bCs/>
          <w:color w:val="EE0000"/>
          <w:sz w:val="22"/>
          <w:szCs w:val="22"/>
          <w:shd w:val="clear" w:color="auto" w:fill="FFFFFF"/>
          <w:lang w:val="en-US" w:eastAsia="zh-CN"/>
        </w:rPr>
        <w:t>时间</w:t>
      </w:r>
      <w:r>
        <w:rPr>
          <w:rStyle w:val="normaltextrun"/>
          <w:rFonts w:ascii="Calibri" w:hAnsi="Calibri" w:cs="Calibri"/>
          <w:b/>
          <w:bCs/>
          <w:color w:val="EE0000"/>
          <w:sz w:val="22"/>
          <w:szCs w:val="22"/>
          <w:shd w:val="clear" w:color="auto" w:fill="FFFFFF"/>
          <w:lang w:val="en-US" w:eastAsia="zh-CN"/>
        </w:rPr>
        <w:t>20:00</w:t>
      </w:r>
      <w:r>
        <w:rPr>
          <w:rStyle w:val="normaltextrun"/>
          <w:rFonts w:ascii="Calibri" w:hAnsi="Calibri" w:cs="Calibri"/>
          <w:b/>
          <w:bCs/>
          <w:color w:val="EE0000"/>
          <w:sz w:val="22"/>
          <w:szCs w:val="22"/>
          <w:shd w:val="clear" w:color="auto" w:fill="FFFFFF"/>
          <w:lang w:val="en-US" w:eastAsia="zh-CN"/>
        </w:rPr>
        <w:t>之前不得发布</w:t>
      </w:r>
      <w:r>
        <w:rPr>
          <w:rStyle w:val="normaltextrun"/>
          <w:rFonts w:ascii="Calibri" w:hAnsi="Calibri" w:cs="Calibri"/>
          <w:b/>
          <w:bCs/>
          <w:color w:val="EE0000"/>
          <w:sz w:val="22"/>
          <w:szCs w:val="22"/>
          <w:shd w:val="clear" w:color="auto" w:fill="FFFFFF"/>
          <w:lang w:val="en-US" w:eastAsia="zh-CN"/>
        </w:rPr>
        <w:t xml:space="preserve"> </w:t>
      </w:r>
      <w:r>
        <w:rPr>
          <w:rStyle w:val="scxw162734844"/>
          <w:rFonts w:ascii="Calibri" w:hAnsi="Calibri" w:cs="Calibri"/>
          <w:color w:val="EE0000"/>
          <w:sz w:val="22"/>
          <w:szCs w:val="22"/>
          <w:shd w:val="clear" w:color="auto" w:fill="FFFFFF"/>
          <w:lang w:eastAsia="zh-CN"/>
        </w:rPr>
        <w:t xml:space="preserve">  </w:t>
      </w:r>
      <w:r>
        <w:rPr>
          <w:rFonts w:ascii="Calibri" w:hAnsi="Calibri" w:cs="Calibri"/>
          <w:color w:val="EE0000"/>
          <w:sz w:val="22"/>
          <w:szCs w:val="22"/>
          <w:shd w:val="clear" w:color="auto" w:fill="FFFFFF"/>
          <w:lang w:eastAsia="zh-CN"/>
        </w:rPr>
        <w:br/>
      </w:r>
      <w:r>
        <w:rPr>
          <w:rStyle w:val="normaltextrun"/>
          <w:rFonts w:ascii="Calibri" w:hAnsi="Calibri" w:cs="Calibri"/>
          <w:b/>
          <w:bCs/>
          <w:color w:val="000000"/>
          <w:u w:val="single"/>
          <w:shd w:val="clear" w:color="auto" w:fill="FFFFFF"/>
          <w:lang w:eastAsia="zh-CN"/>
        </w:rPr>
        <w:t>2027</w:t>
      </w:r>
      <w:r>
        <w:rPr>
          <w:rStyle w:val="normaltextrun"/>
          <w:rFonts w:ascii="Calibri" w:hAnsi="Calibri" w:cs="Calibri"/>
          <w:b/>
          <w:bCs/>
          <w:color w:val="000000"/>
          <w:u w:val="single"/>
          <w:shd w:val="clear" w:color="auto" w:fill="FFFFFF"/>
          <w:lang w:val="en-US" w:eastAsia="zh-CN"/>
        </w:rPr>
        <w:t>QS</w:t>
      </w:r>
      <w:r>
        <w:rPr>
          <w:rStyle w:val="normaltextrun"/>
          <w:rFonts w:ascii="Calibri" w:eastAsia="SimSun" w:hAnsi="Calibri" w:cs="Calibri" w:hint="eastAsia"/>
          <w:b/>
          <w:bCs/>
          <w:color w:val="000000"/>
          <w:u w:val="single"/>
          <w:shd w:val="clear" w:color="auto" w:fill="FFFFFF"/>
          <w:lang w:val="en-US" w:eastAsia="zh-CN"/>
        </w:rPr>
        <w:t>亚洲大学排名发布</w:t>
      </w:r>
    </w:p>
    <w:p w14:paraId="30F6FC01" w14:textId="77777777" w:rsidR="00D61BF9" w:rsidRDefault="00000000">
      <w:pPr>
        <w:jc w:val="center"/>
        <w:rPr>
          <w:rStyle w:val="normaltextrun"/>
          <w:rFonts w:ascii="Calibri" w:hAnsi="Calibri" w:cs="Calibri"/>
          <w:b/>
          <w:bCs/>
          <w:color w:val="000000"/>
          <w:shd w:val="clear" w:color="auto" w:fill="FFFFFF"/>
          <w:lang w:eastAsia="zh-CN"/>
        </w:rPr>
      </w:pPr>
      <w:r>
        <w:rPr>
          <w:rFonts w:ascii="Calibri" w:hAnsi="Calibri" w:cs="Calibri"/>
          <w:b/>
          <w:bCs/>
          <w:color w:val="000000"/>
          <w:shd w:val="clear" w:color="auto" w:fill="FFFFFF"/>
          <w:lang w:eastAsia="zh-CN"/>
        </w:rPr>
        <w:t>中国</w:t>
      </w:r>
      <w:r>
        <w:rPr>
          <w:rFonts w:ascii="Calibri" w:eastAsia="SimSun" w:hAnsi="Calibri" w:cs="Calibri" w:hint="eastAsia"/>
          <w:b/>
          <w:bCs/>
          <w:color w:val="000000"/>
          <w:shd w:val="clear" w:color="auto" w:fill="FFFFFF"/>
          <w:lang w:eastAsia="zh-CN"/>
        </w:rPr>
        <w:t>（</w:t>
      </w:r>
      <w:r>
        <w:rPr>
          <w:rFonts w:ascii="Calibri" w:eastAsia="SimSun" w:hAnsi="Calibri" w:cs="Calibri" w:hint="eastAsia"/>
          <w:b/>
          <w:bCs/>
          <w:color w:val="000000"/>
          <w:shd w:val="clear" w:color="auto" w:fill="FFFFFF"/>
          <w:lang w:val="en-US" w:eastAsia="zh-CN"/>
        </w:rPr>
        <w:t>内地）</w:t>
      </w:r>
      <w:r>
        <w:rPr>
          <w:rFonts w:ascii="Calibri" w:hAnsi="Calibri" w:cs="Calibri"/>
          <w:b/>
          <w:bCs/>
          <w:color w:val="000000"/>
          <w:shd w:val="clear" w:color="auto" w:fill="FFFFFF"/>
          <w:lang w:eastAsia="zh-CN"/>
        </w:rPr>
        <w:t>巩固了其作为亚洲顶尖高等教育体系的地位</w:t>
      </w:r>
      <w:r>
        <w:rPr>
          <w:rFonts w:ascii="Calibri" w:hAnsi="Calibri" w:cs="Calibri"/>
          <w:b/>
          <w:bCs/>
          <w:color w:val="000000"/>
          <w:shd w:val="clear" w:color="auto" w:fill="FFFFFF"/>
          <w:lang w:eastAsia="zh-CN"/>
        </w:rPr>
        <w:t xml:space="preserve"> </w:t>
      </w:r>
      <w:r>
        <w:rPr>
          <w:lang w:eastAsia="zh-CN"/>
        </w:rPr>
        <w:br/>
      </w:r>
      <w:r>
        <w:rPr>
          <w:rFonts w:ascii="Calibri" w:eastAsia="SimSun" w:hAnsi="Calibri" w:cs="Calibri" w:hint="eastAsia"/>
          <w:b/>
          <w:bCs/>
          <w:color w:val="000000"/>
          <w:shd w:val="clear" w:color="auto" w:fill="FFFFFF"/>
          <w:lang w:val="en-US" w:eastAsia="zh-CN"/>
        </w:rPr>
        <w:t>排名创下</w:t>
      </w:r>
      <w:r>
        <w:rPr>
          <w:rFonts w:ascii="Calibri" w:hAnsi="Calibri" w:cs="Calibri"/>
          <w:b/>
          <w:bCs/>
          <w:color w:val="000000"/>
          <w:shd w:val="clear" w:color="auto" w:fill="FFFFFF"/>
          <w:lang w:eastAsia="zh-CN"/>
        </w:rPr>
        <w:t>历史新高</w:t>
      </w:r>
    </w:p>
    <w:p w14:paraId="0E2E76B4" w14:textId="77777777" w:rsidR="00D61BF9" w:rsidRDefault="00000000">
      <w:pPr>
        <w:spacing w:after="0" w:line="300" w:lineRule="auto"/>
        <w:jc w:val="center"/>
        <w:rPr>
          <w:rFonts w:ascii="Segoe UI" w:eastAsia="Segoe UI" w:hAnsi="Segoe UI" w:cs="Segoe UI"/>
          <w:i/>
          <w:iCs/>
          <w:sz w:val="21"/>
          <w:szCs w:val="21"/>
          <w:lang w:eastAsia="zh-CN"/>
        </w:rPr>
      </w:pPr>
      <w:r>
        <w:rPr>
          <w:rFonts w:ascii="Segoe UI" w:eastAsia="Segoe UI" w:hAnsi="Segoe UI" w:cs="Segoe UI"/>
          <w:i/>
          <w:iCs/>
          <w:sz w:val="21"/>
          <w:szCs w:val="21"/>
          <w:lang w:eastAsia="zh-CN"/>
        </w:rPr>
        <w:t>中国</w:t>
      </w:r>
      <w:r>
        <w:rPr>
          <w:rFonts w:ascii="Segoe UI" w:eastAsia="Segoe UI" w:hAnsi="Segoe UI" w:cs="Segoe UI" w:hint="eastAsia"/>
          <w:i/>
          <w:iCs/>
          <w:sz w:val="21"/>
          <w:szCs w:val="21"/>
          <w:lang w:eastAsia="zh-CN"/>
        </w:rPr>
        <w:t>（</w:t>
      </w:r>
      <w:r>
        <w:rPr>
          <w:rFonts w:ascii="Segoe UI" w:eastAsia="Segoe UI" w:hAnsi="Segoe UI" w:cs="Segoe UI" w:hint="eastAsia"/>
          <w:i/>
          <w:iCs/>
          <w:sz w:val="21"/>
          <w:szCs w:val="21"/>
          <w:lang w:val="en-US" w:eastAsia="zh-CN"/>
        </w:rPr>
        <w:t>内地）</w:t>
      </w:r>
      <w:r>
        <w:rPr>
          <w:rFonts w:ascii="Segoe UI" w:eastAsia="Segoe UI" w:hAnsi="Segoe UI" w:cs="Segoe UI"/>
          <w:i/>
          <w:iCs/>
          <w:sz w:val="21"/>
          <w:szCs w:val="21"/>
          <w:lang w:eastAsia="zh-CN"/>
        </w:rPr>
        <w:t>巩固了其作为亚洲高等教育体系的</w:t>
      </w:r>
      <w:r>
        <w:rPr>
          <w:rFonts w:ascii="Segoe UI" w:eastAsia="Segoe UI" w:hAnsi="Segoe UI" w:cs="Segoe UI" w:hint="eastAsia"/>
          <w:i/>
          <w:iCs/>
          <w:sz w:val="21"/>
          <w:szCs w:val="21"/>
          <w:lang w:val="en-US" w:eastAsia="zh-CN"/>
        </w:rPr>
        <w:t>领先</w:t>
      </w:r>
      <w:r>
        <w:rPr>
          <w:rFonts w:ascii="Segoe UI" w:eastAsia="Segoe UI" w:hAnsi="Segoe UI" w:cs="Segoe UI"/>
          <w:i/>
          <w:iCs/>
          <w:sz w:val="21"/>
          <w:szCs w:val="21"/>
          <w:lang w:eastAsia="zh-CN"/>
        </w:rPr>
        <w:t>地位，在前50名和前100名中均创下历史最高上榜数量，同时上榜高校数量仍居各地区之首。强大的科研、教学和声誉继续支撑着其表现，但在该地区竞争日益激烈的背景下，国际化程度和博士级师资力量仍需改进。</w:t>
      </w:r>
    </w:p>
    <w:p w14:paraId="278C7DAE" w14:textId="77777777" w:rsidR="00D61BF9" w:rsidRDefault="00000000">
      <w:pPr>
        <w:rPr>
          <w:rFonts w:ascii="Calibri" w:hAnsi="Calibri" w:cs="Calibri"/>
          <w:color w:val="000000"/>
          <w:sz w:val="22"/>
          <w:szCs w:val="22"/>
          <w:shd w:val="clear" w:color="auto" w:fill="FFFFFF"/>
          <w:lang w:eastAsia="zh-CN"/>
        </w:rPr>
      </w:pPr>
      <w:r>
        <w:rPr>
          <w:rFonts w:ascii="Calibri" w:hAnsi="Calibri" w:cs="Calibri"/>
          <w:b/>
          <w:bCs/>
          <w:i/>
          <w:iCs/>
          <w:color w:val="000000"/>
          <w:sz w:val="22"/>
          <w:szCs w:val="22"/>
          <w:shd w:val="clear" w:color="auto" w:fill="FFFFFF"/>
          <w:lang w:eastAsia="zh-CN"/>
        </w:rPr>
        <w:t>伦敦，</w:t>
      </w:r>
      <w:r>
        <w:rPr>
          <w:rFonts w:ascii="Calibri" w:hAnsi="Calibri" w:cs="Calibri"/>
          <w:b/>
          <w:bCs/>
          <w:i/>
          <w:iCs/>
          <w:color w:val="000000"/>
          <w:sz w:val="22"/>
          <w:szCs w:val="22"/>
          <w:shd w:val="clear" w:color="auto" w:fill="FFFFFF"/>
          <w:lang w:eastAsia="zh-CN"/>
        </w:rPr>
        <w:t>2026</w:t>
      </w:r>
      <w:r>
        <w:rPr>
          <w:rFonts w:ascii="Calibri" w:hAnsi="Calibri" w:cs="Calibri"/>
          <w:b/>
          <w:bCs/>
          <w:i/>
          <w:iCs/>
          <w:color w:val="000000"/>
          <w:sz w:val="22"/>
          <w:szCs w:val="22"/>
          <w:shd w:val="clear" w:color="auto" w:fill="FFFFFF"/>
          <w:lang w:eastAsia="zh-CN"/>
        </w:rPr>
        <w:t>年</w:t>
      </w:r>
      <w:r>
        <w:rPr>
          <w:rFonts w:ascii="Calibri" w:hAnsi="Calibri" w:cs="Calibri"/>
          <w:b/>
          <w:bCs/>
          <w:i/>
          <w:iCs/>
          <w:color w:val="000000"/>
          <w:sz w:val="22"/>
          <w:szCs w:val="22"/>
          <w:shd w:val="clear" w:color="auto" w:fill="FFFFFF"/>
          <w:lang w:eastAsia="zh-CN"/>
        </w:rPr>
        <w:t>11</w:t>
      </w:r>
      <w:r>
        <w:rPr>
          <w:rFonts w:ascii="Calibri" w:hAnsi="Calibri" w:cs="Calibri"/>
          <w:b/>
          <w:bCs/>
          <w:i/>
          <w:iCs/>
          <w:color w:val="000000"/>
          <w:sz w:val="22"/>
          <w:szCs w:val="22"/>
          <w:shd w:val="clear" w:color="auto" w:fill="FFFFFF"/>
          <w:lang w:eastAsia="zh-CN"/>
        </w:rPr>
        <w:t>月</w:t>
      </w:r>
      <w:r>
        <w:rPr>
          <w:rFonts w:ascii="Calibri" w:hAnsi="Calibri" w:cs="Calibri"/>
          <w:b/>
          <w:bCs/>
          <w:i/>
          <w:iCs/>
          <w:color w:val="000000"/>
          <w:sz w:val="22"/>
          <w:szCs w:val="22"/>
          <w:shd w:val="clear" w:color="auto" w:fill="FFFFFF"/>
          <w:lang w:eastAsia="zh-CN"/>
        </w:rPr>
        <w:t>3</w:t>
      </w:r>
      <w:r>
        <w:rPr>
          <w:rFonts w:ascii="Calibri" w:hAnsi="Calibri" w:cs="Calibri"/>
          <w:b/>
          <w:bCs/>
          <w:i/>
          <w:iCs/>
          <w:color w:val="000000"/>
          <w:sz w:val="22"/>
          <w:szCs w:val="22"/>
          <w:shd w:val="clear" w:color="auto" w:fill="FFFFFF"/>
          <w:lang w:eastAsia="zh-CN"/>
        </w:rPr>
        <w:t>日：</w:t>
      </w:r>
      <w:r>
        <w:rPr>
          <w:rFonts w:ascii="Calibri" w:hAnsi="Calibri" w:cs="Calibri"/>
          <w:color w:val="000000"/>
          <w:sz w:val="22"/>
          <w:szCs w:val="22"/>
          <w:shd w:val="clear" w:color="auto" w:fill="FFFFFF"/>
          <w:lang w:eastAsia="zh-CN"/>
        </w:rPr>
        <w:t>国际高等教育</w:t>
      </w:r>
      <w:r>
        <w:rPr>
          <w:rFonts w:ascii="Calibri" w:eastAsia="SimSun" w:hAnsi="Calibri" w:cs="Calibri" w:hint="eastAsia"/>
          <w:color w:val="000000"/>
          <w:sz w:val="22"/>
          <w:szCs w:val="22"/>
          <w:shd w:val="clear" w:color="auto" w:fill="FFFFFF"/>
          <w:lang w:val="en-US" w:eastAsia="zh-CN"/>
        </w:rPr>
        <w:t>分析</w:t>
      </w:r>
      <w:r>
        <w:rPr>
          <w:rFonts w:ascii="Calibri" w:hAnsi="Calibri" w:cs="Calibri"/>
          <w:color w:val="000000"/>
          <w:sz w:val="22"/>
          <w:szCs w:val="22"/>
          <w:shd w:val="clear" w:color="auto" w:fill="FFFFFF"/>
          <w:lang w:eastAsia="zh-CN"/>
        </w:rPr>
        <w:t>机构</w:t>
      </w:r>
      <w:r>
        <w:rPr>
          <w:rFonts w:ascii="Calibri" w:hAnsi="Calibri" w:cs="Calibri"/>
          <w:color w:val="000000"/>
          <w:sz w:val="22"/>
          <w:szCs w:val="22"/>
          <w:shd w:val="clear" w:color="auto" w:fill="FFFFFF"/>
          <w:lang w:eastAsia="zh-CN"/>
        </w:rPr>
        <w:t>QS Quacquarelli Symonds</w:t>
      </w:r>
      <w:r>
        <w:rPr>
          <w:rFonts w:ascii="Calibri" w:hAnsi="Calibri" w:cs="Calibri"/>
          <w:color w:val="000000"/>
          <w:sz w:val="22"/>
          <w:szCs w:val="22"/>
          <w:shd w:val="clear" w:color="auto" w:fill="FFFFFF"/>
          <w:lang w:eastAsia="zh-CN"/>
        </w:rPr>
        <w:t>今日发布了</w:t>
      </w:r>
      <w:hyperlink r:id="rId10" w:tgtFrame="_blank" w:history="1">
        <w:r>
          <w:rPr>
            <w:rStyle w:val="Hyperlink"/>
            <w:rFonts w:ascii="Calibri" w:hAnsi="Calibri" w:cs="Calibri"/>
            <w:sz w:val="22"/>
            <w:szCs w:val="22"/>
            <w:shd w:val="clear" w:color="auto" w:fill="FFFFFF"/>
            <w:lang w:eastAsia="zh-CN"/>
          </w:rPr>
          <w:t>《</w:t>
        </w:r>
        <w:r>
          <w:rPr>
            <w:rStyle w:val="Hyperlink"/>
            <w:rFonts w:ascii="Calibri" w:hAnsi="Calibri" w:cs="Calibri"/>
            <w:sz w:val="22"/>
            <w:szCs w:val="22"/>
            <w:shd w:val="clear" w:color="auto" w:fill="FFFFFF"/>
            <w:lang w:eastAsia="zh-CN"/>
          </w:rPr>
          <w:t>2027</w:t>
        </w:r>
        <w:r>
          <w:rPr>
            <w:rStyle w:val="Hyperlink"/>
            <w:rFonts w:ascii="Calibri" w:hAnsi="Calibri" w:cs="Calibri" w:hint="eastAsia"/>
            <w:sz w:val="22"/>
            <w:szCs w:val="22"/>
            <w:shd w:val="clear" w:color="auto" w:fill="FFFFFF"/>
            <w:lang w:val="en-US" w:eastAsia="zh-CN"/>
          </w:rPr>
          <w:t>QS</w:t>
        </w:r>
      </w:hyperlink>
      <w:r>
        <w:rPr>
          <w:rStyle w:val="Hyperlink"/>
          <w:rFonts w:ascii="Calibri" w:eastAsia="SimSun" w:hAnsi="Calibri" w:cs="Calibri" w:hint="eastAsia"/>
          <w:sz w:val="22"/>
          <w:szCs w:val="22"/>
          <w:shd w:val="clear" w:color="auto" w:fill="FFFFFF"/>
          <w:lang w:val="en-US" w:eastAsia="zh-CN"/>
        </w:rPr>
        <w:t>亚洲大学排名</w:t>
      </w:r>
      <w:r>
        <w:rPr>
          <w:rFonts w:ascii="Calibri" w:hAnsi="Calibri" w:cs="Calibri"/>
          <w:b/>
          <w:bCs/>
          <w:color w:val="000000"/>
          <w:sz w:val="22"/>
          <w:szCs w:val="22"/>
          <w:shd w:val="clear" w:color="auto" w:fill="FFFFFF"/>
          <w:lang w:eastAsia="zh-CN"/>
        </w:rPr>
        <w:t>》</w:t>
      </w:r>
      <w:r>
        <w:rPr>
          <w:rFonts w:ascii="Calibri" w:hAnsi="Calibri" w:cs="Calibri"/>
          <w:b/>
          <w:bCs/>
          <w:color w:val="000000"/>
          <w:sz w:val="22"/>
          <w:szCs w:val="22"/>
          <w:shd w:val="clear" w:color="auto" w:fill="FFFFFF"/>
          <w:lang w:eastAsia="zh-CN"/>
        </w:rPr>
        <w:t>*</w:t>
      </w:r>
      <w:r>
        <w:rPr>
          <w:rFonts w:ascii="Calibri" w:hAnsi="Calibri" w:cs="Calibri"/>
          <w:color w:val="C00000"/>
          <w:sz w:val="16"/>
          <w:szCs w:val="16"/>
          <w:shd w:val="clear" w:color="auto" w:fill="FFFFFF"/>
          <w:lang w:eastAsia="zh-CN"/>
        </w:rPr>
        <w:t>。</w:t>
      </w:r>
      <w:r>
        <w:rPr>
          <w:rFonts w:ascii="Calibri" w:hAnsi="Calibri" w:cs="Calibri"/>
          <w:color w:val="C00000"/>
          <w:sz w:val="16"/>
          <w:szCs w:val="16"/>
          <w:shd w:val="clear" w:color="auto" w:fill="FFFFFF"/>
          <w:lang w:eastAsia="zh-CN"/>
        </w:rPr>
        <w:t>*</w:t>
      </w:r>
      <w:r>
        <w:rPr>
          <w:rFonts w:ascii="Calibri" w:hAnsi="Calibri" w:cs="Calibri"/>
          <w:color w:val="C00000"/>
          <w:sz w:val="16"/>
          <w:szCs w:val="16"/>
          <w:shd w:val="clear" w:color="auto" w:fill="FFFFFF"/>
          <w:lang w:eastAsia="zh-CN"/>
        </w:rPr>
        <w:t>禁令解除后，该链接将更新为最新排名结果。</w:t>
      </w:r>
      <w:r>
        <w:rPr>
          <w:rFonts w:ascii="Calibri" w:hAnsi="Calibri" w:cs="Calibri"/>
          <w:color w:val="C00000"/>
          <w:sz w:val="16"/>
          <w:szCs w:val="16"/>
          <w:shd w:val="clear" w:color="auto" w:fill="FFFFFF"/>
          <w:lang w:eastAsia="zh-CN"/>
        </w:rPr>
        <w:t xml:space="preserve"> </w:t>
      </w:r>
    </w:p>
    <w:p w14:paraId="7C8CDD10" w14:textId="77777777" w:rsidR="00D61BF9" w:rsidRDefault="00000000">
      <w:pPr>
        <w:rPr>
          <w:rFonts w:ascii="Calibri" w:eastAsiaTheme="minorEastAsia" w:hAnsi="Calibri" w:cs="Calibri"/>
          <w:color w:val="000000"/>
          <w:sz w:val="22"/>
          <w:szCs w:val="22"/>
          <w:shd w:val="clear" w:color="auto" w:fill="FFFFFF"/>
          <w:lang w:val="en-US" w:eastAsia="zh-CN"/>
        </w:rPr>
      </w:pPr>
      <w:r>
        <w:rPr>
          <w:rStyle w:val="CommentReference"/>
          <w:rFonts w:ascii="Calibri" w:hAnsi="Calibri" w:cs="Calibri" w:hint="eastAsia"/>
          <w:color w:val="000000"/>
          <w:sz w:val="22"/>
          <w:szCs w:val="22"/>
          <w:shd w:val="clear" w:color="auto" w:fill="FFFFFF"/>
          <w:lang w:val="en-US" w:eastAsia="zh-CN"/>
        </w:rPr>
        <w:t>中</w:t>
      </w:r>
      <w:r>
        <w:rPr>
          <w:rFonts w:ascii="Calibri" w:eastAsiaTheme="minorEastAsia" w:hAnsi="Calibri" w:cs="Calibri"/>
          <w:color w:val="000000"/>
          <w:sz w:val="22"/>
          <w:szCs w:val="22"/>
          <w:shd w:val="clear" w:color="auto" w:fill="FFFFFF"/>
          <w:lang w:val="en-US" w:eastAsia="zh-CN"/>
        </w:rPr>
        <w:t>国（内地）高校在本期榜单中表现突出，北京大学保持第二名，清华大学则从第九位跃升至第三位，使中国（内地）自</w:t>
      </w:r>
      <w:r>
        <w:rPr>
          <w:rFonts w:ascii="Calibri" w:eastAsiaTheme="minorEastAsia" w:hAnsi="Calibri" w:cs="Calibri"/>
          <w:color w:val="000000"/>
          <w:sz w:val="22"/>
          <w:szCs w:val="22"/>
          <w:shd w:val="clear" w:color="auto" w:fill="FFFFFF"/>
          <w:lang w:val="en-US" w:eastAsia="zh-CN"/>
        </w:rPr>
        <w:t>2023</w:t>
      </w:r>
      <w:r>
        <w:rPr>
          <w:rFonts w:ascii="Calibri" w:eastAsiaTheme="minorEastAsia" w:hAnsi="Calibri" w:cs="Calibri"/>
          <w:color w:val="000000"/>
          <w:sz w:val="22"/>
          <w:szCs w:val="22"/>
          <w:shd w:val="clear" w:color="auto" w:fill="FFFFFF"/>
          <w:lang w:val="en-US" w:eastAsia="zh-CN"/>
        </w:rPr>
        <w:t>年以来首次有两所大学跻身亚洲前三甲。香港大学连续第二年蝉联榜首。</w:t>
      </w:r>
    </w:p>
    <w:p w14:paraId="0F7BE0C2" w14:textId="77777777" w:rsidR="00D61BF9" w:rsidRDefault="00D61BF9">
      <w:pPr>
        <w:rPr>
          <w:rFonts w:ascii="Calibri" w:eastAsiaTheme="minorEastAsia" w:hAnsi="Calibri" w:cs="Calibri"/>
          <w:color w:val="000000"/>
          <w:sz w:val="22"/>
          <w:szCs w:val="22"/>
          <w:shd w:val="clear" w:color="auto" w:fill="FFFFFF"/>
          <w:lang w:eastAsia="zh-CN"/>
        </w:rPr>
      </w:pPr>
    </w:p>
    <w:p w14:paraId="46ECAE6C" w14:textId="77777777" w:rsidR="00D61BF9" w:rsidRDefault="00000000">
      <w:pPr>
        <w:rPr>
          <w:rFonts w:ascii="Calibri" w:hAnsi="Calibri" w:cs="Calibri"/>
          <w:color w:val="000000"/>
          <w:sz w:val="22"/>
          <w:szCs w:val="22"/>
          <w:shd w:val="clear" w:color="auto" w:fill="FFFFFF"/>
          <w:lang w:eastAsia="zh-CN"/>
        </w:rPr>
      </w:pPr>
      <w:r>
        <w:rPr>
          <w:rFonts w:ascii="Microsoft YaHei" w:eastAsia="Microsoft YaHei" w:hAnsi="Microsoft YaHei" w:cs="Microsoft YaHei" w:hint="eastAsia"/>
          <w:color w:val="000000"/>
          <w:sz w:val="22"/>
          <w:szCs w:val="22"/>
          <w:shd w:val="clear" w:color="auto" w:fill="FFFFFF"/>
          <w:lang w:eastAsia="zh-CN"/>
        </w:rPr>
        <w:t>本</w:t>
      </w:r>
      <w:r>
        <w:rPr>
          <w:rFonts w:ascii="Calibri" w:hAnsi="Calibri" w:cs="Calibri"/>
          <w:color w:val="000000"/>
          <w:sz w:val="22"/>
          <w:szCs w:val="22"/>
          <w:shd w:val="clear" w:color="auto" w:fill="FFFFFF"/>
          <w:lang w:eastAsia="zh-CN"/>
        </w:rPr>
        <w:t>次</w:t>
      </w:r>
      <w:hyperlink r:id="rId11" w:tgtFrame="_blank" w:history="1">
        <w:r>
          <w:rPr>
            <w:rStyle w:val="Hyperlink"/>
            <w:rFonts w:ascii="Calibri" w:hAnsi="Calibri" w:cs="Calibri"/>
            <w:sz w:val="22"/>
            <w:szCs w:val="22"/>
            <w:shd w:val="clear" w:color="auto" w:fill="FFFFFF"/>
            <w:lang w:eastAsia="zh-CN"/>
          </w:rPr>
          <w:t>排名</w:t>
        </w:r>
      </w:hyperlink>
      <w:r>
        <w:rPr>
          <w:rFonts w:ascii="Calibri" w:hAnsi="Calibri" w:cs="Calibri"/>
          <w:color w:val="000000"/>
          <w:sz w:val="22"/>
          <w:szCs w:val="22"/>
          <w:shd w:val="clear" w:color="auto" w:fill="FFFFFF"/>
          <w:lang w:eastAsia="zh-CN"/>
        </w:rPr>
        <w:t>涵盖来自</w:t>
      </w:r>
      <w:r>
        <w:rPr>
          <w:rFonts w:ascii="Calibri" w:hAnsi="Calibri" w:cs="Calibri"/>
          <w:color w:val="000000"/>
          <w:sz w:val="22"/>
          <w:szCs w:val="22"/>
          <w:shd w:val="clear" w:color="auto" w:fill="FFFFFF"/>
          <w:lang w:eastAsia="zh-CN"/>
        </w:rPr>
        <w:t>26</w:t>
      </w:r>
      <w:r>
        <w:rPr>
          <w:rFonts w:ascii="Calibri" w:hAnsi="Calibri" w:cs="Calibri"/>
          <w:color w:val="000000"/>
          <w:sz w:val="22"/>
          <w:szCs w:val="22"/>
          <w:shd w:val="clear" w:color="auto" w:fill="FFFFFF"/>
          <w:lang w:eastAsia="zh-CN"/>
        </w:rPr>
        <w:t>个高等教育体系的</w:t>
      </w:r>
      <w:r>
        <w:rPr>
          <w:rFonts w:ascii="Calibri" w:hAnsi="Calibri" w:cs="Calibri"/>
          <w:color w:val="000000"/>
          <w:sz w:val="22"/>
          <w:szCs w:val="22"/>
          <w:shd w:val="clear" w:color="auto" w:fill="FFFFFF"/>
          <w:lang w:eastAsia="zh-CN"/>
        </w:rPr>
        <w:t>1722</w:t>
      </w:r>
      <w:r>
        <w:rPr>
          <w:rFonts w:ascii="Calibri" w:hAnsi="Calibri" w:cs="Calibri"/>
          <w:color w:val="000000"/>
          <w:sz w:val="22"/>
          <w:szCs w:val="22"/>
          <w:shd w:val="clear" w:color="auto" w:fill="FFFFFF"/>
          <w:lang w:eastAsia="zh-CN"/>
        </w:rPr>
        <w:t>所大学，其中</w:t>
      </w:r>
      <w:r>
        <w:rPr>
          <w:rFonts w:ascii="Calibri" w:hAnsi="Calibri" w:cs="Calibri"/>
          <w:color w:val="000000"/>
          <w:sz w:val="22"/>
          <w:szCs w:val="22"/>
          <w:shd w:val="clear" w:color="auto" w:fill="FFFFFF"/>
          <w:lang w:eastAsia="zh-CN"/>
        </w:rPr>
        <w:t>195</w:t>
      </w:r>
      <w:r>
        <w:rPr>
          <w:rFonts w:ascii="Calibri" w:hAnsi="Calibri" w:cs="Calibri"/>
          <w:color w:val="000000"/>
          <w:sz w:val="22"/>
          <w:szCs w:val="22"/>
          <w:shd w:val="clear" w:color="auto" w:fill="FFFFFF"/>
          <w:lang w:eastAsia="zh-CN"/>
        </w:rPr>
        <w:t>所为今年新入榜院校。中国</w:t>
      </w:r>
      <w:r>
        <w:rPr>
          <w:rFonts w:ascii="Calibri" w:eastAsia="SimSun" w:hAnsi="Calibri" w:cs="Calibri" w:hint="eastAsia"/>
          <w:color w:val="000000"/>
          <w:sz w:val="22"/>
          <w:szCs w:val="22"/>
          <w:shd w:val="clear" w:color="auto" w:fill="FFFFFF"/>
          <w:lang w:eastAsia="zh-CN"/>
        </w:rPr>
        <w:t>（内地）</w:t>
      </w:r>
      <w:r>
        <w:rPr>
          <w:rFonts w:ascii="Calibri" w:hAnsi="Calibri" w:cs="Calibri"/>
          <w:color w:val="000000"/>
          <w:sz w:val="22"/>
          <w:szCs w:val="22"/>
          <w:shd w:val="clear" w:color="auto" w:fill="FFFFFF"/>
          <w:lang w:eastAsia="zh-CN"/>
        </w:rPr>
        <w:t>是参评院校数量最多且增长最快的体系，新增</w:t>
      </w:r>
      <w:r>
        <w:rPr>
          <w:rFonts w:ascii="Calibri" w:hAnsi="Calibri" w:cs="Calibri"/>
          <w:color w:val="000000"/>
          <w:sz w:val="22"/>
          <w:szCs w:val="22"/>
          <w:shd w:val="clear" w:color="auto" w:fill="FFFFFF"/>
          <w:lang w:eastAsia="zh-CN"/>
        </w:rPr>
        <w:t>53</w:t>
      </w:r>
      <w:r>
        <w:rPr>
          <w:rFonts w:ascii="Calibri" w:hAnsi="Calibri" w:cs="Calibri"/>
          <w:color w:val="000000"/>
          <w:sz w:val="22"/>
          <w:szCs w:val="22"/>
          <w:shd w:val="clear" w:color="auto" w:fill="FFFFFF"/>
          <w:lang w:eastAsia="zh-CN"/>
        </w:rPr>
        <w:t>所大学，总数达到</w:t>
      </w:r>
      <w:r>
        <w:rPr>
          <w:rFonts w:ascii="Calibri" w:hAnsi="Calibri" w:cs="Calibri"/>
          <w:color w:val="000000"/>
          <w:sz w:val="22"/>
          <w:szCs w:val="22"/>
          <w:shd w:val="clear" w:color="auto" w:fill="FFFFFF"/>
          <w:lang w:eastAsia="zh-CN"/>
        </w:rPr>
        <w:t>448</w:t>
      </w:r>
      <w:r>
        <w:rPr>
          <w:rFonts w:ascii="Calibri" w:hAnsi="Calibri" w:cs="Calibri"/>
          <w:color w:val="000000"/>
          <w:sz w:val="22"/>
          <w:szCs w:val="22"/>
          <w:shd w:val="clear" w:color="auto" w:fill="FFFFFF"/>
          <w:lang w:eastAsia="zh-CN"/>
        </w:rPr>
        <w:t>所。其次是印度（</w:t>
      </w:r>
      <w:r>
        <w:rPr>
          <w:rFonts w:ascii="Calibri" w:hAnsi="Calibri" w:cs="Calibri"/>
          <w:color w:val="000000"/>
          <w:sz w:val="22"/>
          <w:szCs w:val="22"/>
          <w:shd w:val="clear" w:color="auto" w:fill="FFFFFF"/>
          <w:lang w:eastAsia="zh-CN"/>
        </w:rPr>
        <w:t>325</w:t>
      </w:r>
      <w:r>
        <w:rPr>
          <w:rFonts w:ascii="Calibri" w:hAnsi="Calibri" w:cs="Calibri"/>
          <w:color w:val="000000"/>
          <w:sz w:val="22"/>
          <w:szCs w:val="22"/>
          <w:shd w:val="clear" w:color="auto" w:fill="FFFFFF"/>
          <w:lang w:eastAsia="zh-CN"/>
        </w:rPr>
        <w:t>所）和日本（</w:t>
      </w:r>
      <w:r>
        <w:rPr>
          <w:rFonts w:ascii="Calibri" w:hAnsi="Calibri" w:cs="Calibri"/>
          <w:color w:val="000000"/>
          <w:sz w:val="22"/>
          <w:szCs w:val="22"/>
          <w:shd w:val="clear" w:color="auto" w:fill="FFFFFF"/>
          <w:lang w:eastAsia="zh-CN"/>
        </w:rPr>
        <w:t>153</w:t>
      </w:r>
      <w:r>
        <w:rPr>
          <w:rFonts w:ascii="Calibri" w:hAnsi="Calibri" w:cs="Calibri"/>
          <w:color w:val="000000"/>
          <w:sz w:val="22"/>
          <w:szCs w:val="22"/>
          <w:shd w:val="clear" w:color="auto" w:fill="FFFFFF"/>
          <w:lang w:eastAsia="zh-CN"/>
        </w:rPr>
        <w:t>所）。</w:t>
      </w:r>
      <w:r>
        <w:rPr>
          <w:rFonts w:ascii="Calibri" w:hAnsi="Calibri" w:cs="Calibri"/>
          <w:color w:val="000000"/>
          <w:sz w:val="22"/>
          <w:szCs w:val="22"/>
          <w:shd w:val="clear" w:color="auto" w:fill="FFFFFF"/>
          <w:lang w:eastAsia="zh-CN"/>
        </w:rPr>
        <w:t xml:space="preserve"> </w:t>
      </w:r>
    </w:p>
    <w:p w14:paraId="00EC3E41"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是仅有的六个此前已有上榜高校且实现总体净增长的高等教育体系之一，其他五个分别是</w:t>
      </w:r>
      <w:r>
        <w:rPr>
          <w:rFonts w:ascii="Calibri" w:eastAsia="SimSun" w:hAnsi="Calibri" w:cs="Calibri" w:hint="eastAsia"/>
          <w:color w:val="000000"/>
          <w:sz w:val="22"/>
          <w:szCs w:val="22"/>
          <w:shd w:val="clear" w:color="auto" w:fill="FFFFFF"/>
          <w:lang w:val="en-US" w:eastAsia="zh-CN"/>
        </w:rPr>
        <w:t>中国</w:t>
      </w:r>
      <w:r>
        <w:rPr>
          <w:rFonts w:ascii="Calibri" w:hAnsi="Calibri" w:cs="Calibri"/>
          <w:color w:val="000000"/>
          <w:sz w:val="22"/>
          <w:szCs w:val="22"/>
          <w:shd w:val="clear" w:color="auto" w:fill="FFFFFF"/>
          <w:lang w:eastAsia="zh-CN"/>
        </w:rPr>
        <w:t>澳门特别行政区、塔吉克斯坦、</w:t>
      </w:r>
      <w:r>
        <w:rPr>
          <w:rFonts w:ascii="Calibri" w:eastAsia="SimSun" w:hAnsi="Calibri" w:cs="Calibri" w:hint="eastAsia"/>
          <w:color w:val="000000"/>
          <w:sz w:val="22"/>
          <w:szCs w:val="22"/>
          <w:shd w:val="clear" w:color="auto" w:fill="FFFFFF"/>
          <w:lang w:val="en-US" w:eastAsia="zh-CN"/>
        </w:rPr>
        <w:t>中国</w:t>
      </w:r>
      <w:r>
        <w:rPr>
          <w:rFonts w:ascii="Calibri" w:hAnsi="Calibri" w:cs="Calibri"/>
          <w:color w:val="000000"/>
          <w:sz w:val="22"/>
          <w:szCs w:val="22"/>
          <w:shd w:val="clear" w:color="auto" w:fill="FFFFFF"/>
          <w:lang w:eastAsia="zh-CN"/>
        </w:rPr>
        <w:t>香港特别行政区、新加坡和乌兹别克斯坦。</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0"/>
        <w:gridCol w:w="985"/>
        <w:gridCol w:w="985"/>
        <w:gridCol w:w="4219"/>
        <w:gridCol w:w="1851"/>
      </w:tblGrid>
      <w:tr w:rsidR="00D61BF9" w14:paraId="2B098CFF" w14:textId="77777777">
        <w:trPr>
          <w:trHeight w:val="285"/>
        </w:trPr>
        <w:tc>
          <w:tcPr>
            <w:tcW w:w="9010" w:type="dxa"/>
            <w:gridSpan w:val="5"/>
            <w:tcBorders>
              <w:top w:val="single" w:sz="6" w:space="0" w:color="auto"/>
              <w:left w:val="single" w:sz="6" w:space="0" w:color="auto"/>
              <w:bottom w:val="single" w:sz="6" w:space="0" w:color="auto"/>
              <w:right w:val="single" w:sz="6" w:space="0" w:color="auto"/>
            </w:tcBorders>
          </w:tcPr>
          <w:p w14:paraId="021CEF0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20"/>
                <w:szCs w:val="20"/>
                <w:lang w:eastAsia="en-GB"/>
                <w14:ligatures w14:val="none"/>
              </w:rPr>
              <w:t xml:space="preserve">表1：亚洲——前十名 </w:t>
            </w:r>
          </w:p>
        </w:tc>
      </w:tr>
      <w:tr w:rsidR="00D61BF9" w14:paraId="45BF3A82" w14:textId="77777777">
        <w:trPr>
          <w:trHeight w:val="285"/>
        </w:trPr>
        <w:tc>
          <w:tcPr>
            <w:tcW w:w="970" w:type="dxa"/>
            <w:tcBorders>
              <w:top w:val="nil"/>
              <w:left w:val="single" w:sz="6" w:space="0" w:color="auto"/>
              <w:bottom w:val="single" w:sz="6" w:space="0" w:color="auto"/>
              <w:right w:val="single" w:sz="6" w:space="0" w:color="auto"/>
            </w:tcBorders>
          </w:tcPr>
          <w:p w14:paraId="2872E83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2027年排名 </w:t>
            </w:r>
          </w:p>
        </w:tc>
        <w:tc>
          <w:tcPr>
            <w:tcW w:w="985" w:type="dxa"/>
            <w:tcBorders>
              <w:top w:val="nil"/>
              <w:left w:val="nil"/>
              <w:bottom w:val="single" w:sz="6" w:space="0" w:color="auto"/>
              <w:right w:val="single" w:sz="6" w:space="0" w:color="auto"/>
            </w:tcBorders>
          </w:tcPr>
          <w:p w14:paraId="5B44564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2026年排名 </w:t>
            </w:r>
          </w:p>
        </w:tc>
        <w:tc>
          <w:tcPr>
            <w:tcW w:w="985" w:type="dxa"/>
            <w:tcBorders>
              <w:top w:val="nil"/>
              <w:left w:val="nil"/>
              <w:bottom w:val="single" w:sz="6" w:space="0" w:color="auto"/>
              <w:right w:val="single" w:sz="6" w:space="0" w:color="auto"/>
            </w:tcBorders>
          </w:tcPr>
          <w:p w14:paraId="67AF738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WUR排名 </w:t>
            </w:r>
          </w:p>
        </w:tc>
        <w:tc>
          <w:tcPr>
            <w:tcW w:w="4219" w:type="dxa"/>
            <w:tcBorders>
              <w:top w:val="nil"/>
              <w:left w:val="nil"/>
              <w:bottom w:val="single" w:sz="6" w:space="0" w:color="auto"/>
              <w:right w:val="single" w:sz="6" w:space="0" w:color="auto"/>
            </w:tcBorders>
          </w:tcPr>
          <w:p w14:paraId="50F07A0E"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院校 </w:t>
            </w:r>
          </w:p>
        </w:tc>
        <w:tc>
          <w:tcPr>
            <w:tcW w:w="1851" w:type="dxa"/>
            <w:tcBorders>
              <w:top w:val="nil"/>
              <w:left w:val="nil"/>
              <w:bottom w:val="single" w:sz="6" w:space="0" w:color="auto"/>
              <w:right w:val="single" w:sz="6" w:space="0" w:color="auto"/>
            </w:tcBorders>
          </w:tcPr>
          <w:p w14:paraId="34874DC4"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所在地 </w:t>
            </w:r>
          </w:p>
        </w:tc>
      </w:tr>
      <w:tr w:rsidR="00D61BF9" w14:paraId="5A4E16AA" w14:textId="77777777">
        <w:trPr>
          <w:trHeight w:val="285"/>
        </w:trPr>
        <w:tc>
          <w:tcPr>
            <w:tcW w:w="970" w:type="dxa"/>
            <w:tcBorders>
              <w:top w:val="nil"/>
              <w:left w:val="single" w:sz="6" w:space="0" w:color="auto"/>
              <w:bottom w:val="single" w:sz="6" w:space="0" w:color="auto"/>
              <w:right w:val="single" w:sz="6" w:space="0" w:color="auto"/>
            </w:tcBorders>
          </w:tcPr>
          <w:p w14:paraId="5434730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1 </w:t>
            </w:r>
          </w:p>
        </w:tc>
        <w:tc>
          <w:tcPr>
            <w:tcW w:w="985" w:type="dxa"/>
            <w:tcBorders>
              <w:top w:val="nil"/>
              <w:left w:val="nil"/>
              <w:bottom w:val="single" w:sz="6" w:space="0" w:color="auto"/>
              <w:right w:val="single" w:sz="6" w:space="0" w:color="auto"/>
            </w:tcBorders>
          </w:tcPr>
          <w:p w14:paraId="7B2EB42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 </w:t>
            </w:r>
          </w:p>
        </w:tc>
        <w:tc>
          <w:tcPr>
            <w:tcW w:w="985" w:type="dxa"/>
            <w:tcBorders>
              <w:top w:val="nil"/>
              <w:left w:val="nil"/>
              <w:bottom w:val="single" w:sz="6" w:space="0" w:color="auto"/>
              <w:right w:val="single" w:sz="6" w:space="0" w:color="auto"/>
            </w:tcBorders>
          </w:tcPr>
          <w:p w14:paraId="49C234BA"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11 </w:t>
            </w:r>
          </w:p>
        </w:tc>
        <w:tc>
          <w:tcPr>
            <w:tcW w:w="4219" w:type="dxa"/>
            <w:tcBorders>
              <w:top w:val="nil"/>
              <w:left w:val="nil"/>
              <w:bottom w:val="single" w:sz="6" w:space="0" w:color="auto"/>
              <w:right w:val="single" w:sz="6" w:space="0" w:color="auto"/>
            </w:tcBorders>
          </w:tcPr>
          <w:p w14:paraId="3A6DA773"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香港大学 </w:t>
            </w:r>
          </w:p>
        </w:tc>
        <w:tc>
          <w:tcPr>
            <w:tcW w:w="1851" w:type="dxa"/>
            <w:tcBorders>
              <w:top w:val="nil"/>
              <w:left w:val="nil"/>
              <w:bottom w:val="single" w:sz="6" w:space="0" w:color="auto"/>
              <w:right w:val="single" w:sz="6" w:space="0" w:color="auto"/>
            </w:tcBorders>
          </w:tcPr>
          <w:p w14:paraId="1BBDC57D"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中国香港特别行政区 </w:t>
            </w:r>
          </w:p>
        </w:tc>
      </w:tr>
      <w:tr w:rsidR="00D61BF9" w14:paraId="7A2530EE" w14:textId="77777777">
        <w:trPr>
          <w:trHeight w:val="285"/>
        </w:trPr>
        <w:tc>
          <w:tcPr>
            <w:tcW w:w="970" w:type="dxa"/>
            <w:tcBorders>
              <w:top w:val="nil"/>
              <w:left w:val="single" w:sz="6" w:space="0" w:color="auto"/>
              <w:bottom w:val="single" w:sz="6" w:space="0" w:color="auto"/>
              <w:right w:val="single" w:sz="6" w:space="0" w:color="auto"/>
            </w:tcBorders>
          </w:tcPr>
          <w:p w14:paraId="00C851D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2 </w:t>
            </w:r>
          </w:p>
        </w:tc>
        <w:tc>
          <w:tcPr>
            <w:tcW w:w="985" w:type="dxa"/>
            <w:tcBorders>
              <w:top w:val="nil"/>
              <w:left w:val="nil"/>
              <w:bottom w:val="single" w:sz="6" w:space="0" w:color="auto"/>
              <w:right w:val="single" w:sz="6" w:space="0" w:color="auto"/>
            </w:tcBorders>
          </w:tcPr>
          <w:p w14:paraId="1FF7CBD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2 </w:t>
            </w:r>
          </w:p>
        </w:tc>
        <w:tc>
          <w:tcPr>
            <w:tcW w:w="985" w:type="dxa"/>
            <w:tcBorders>
              <w:top w:val="nil"/>
              <w:left w:val="nil"/>
              <w:bottom w:val="single" w:sz="6" w:space="0" w:color="auto"/>
              <w:right w:val="single" w:sz="6" w:space="0" w:color="auto"/>
            </w:tcBorders>
          </w:tcPr>
          <w:p w14:paraId="0054D0A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13 </w:t>
            </w:r>
          </w:p>
        </w:tc>
        <w:tc>
          <w:tcPr>
            <w:tcW w:w="4219" w:type="dxa"/>
            <w:tcBorders>
              <w:top w:val="nil"/>
              <w:left w:val="nil"/>
              <w:bottom w:val="single" w:sz="6" w:space="0" w:color="auto"/>
              <w:right w:val="single" w:sz="6" w:space="0" w:color="auto"/>
            </w:tcBorders>
          </w:tcPr>
          <w:p w14:paraId="50D657B3"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北京大学 </w:t>
            </w:r>
          </w:p>
        </w:tc>
        <w:tc>
          <w:tcPr>
            <w:tcW w:w="1851" w:type="dxa"/>
            <w:tcBorders>
              <w:top w:val="nil"/>
              <w:left w:val="nil"/>
              <w:bottom w:val="single" w:sz="6" w:space="0" w:color="auto"/>
              <w:right w:val="single" w:sz="6" w:space="0" w:color="auto"/>
            </w:tcBorders>
          </w:tcPr>
          <w:p w14:paraId="49EF3DDD"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中国</w:t>
            </w:r>
            <w:r>
              <w:rPr>
                <w:rFonts w:ascii="Calibri" w:eastAsia="SimSun" w:hAnsi="Calibri" w:cs="Calibri" w:hint="eastAsia"/>
                <w:kern w:val="0"/>
                <w:sz w:val="16"/>
                <w:szCs w:val="16"/>
                <w:lang w:eastAsia="zh-CN"/>
                <w14:ligatures w14:val="none"/>
              </w:rPr>
              <w:t>（内地）</w:t>
            </w:r>
            <w:r>
              <w:rPr>
                <w:rFonts w:ascii="Calibri" w:eastAsia="Times New Roman" w:hAnsi="Calibri" w:cs="Calibri"/>
                <w:kern w:val="0"/>
                <w:sz w:val="16"/>
                <w:szCs w:val="16"/>
                <w:lang w:eastAsia="en-GB"/>
                <w14:ligatures w14:val="none"/>
              </w:rPr>
              <w:t>）</w:t>
            </w:r>
          </w:p>
        </w:tc>
      </w:tr>
      <w:tr w:rsidR="00D61BF9" w14:paraId="7604CC88" w14:textId="77777777">
        <w:trPr>
          <w:trHeight w:val="285"/>
        </w:trPr>
        <w:tc>
          <w:tcPr>
            <w:tcW w:w="970" w:type="dxa"/>
            <w:tcBorders>
              <w:top w:val="nil"/>
              <w:left w:val="single" w:sz="6" w:space="0" w:color="auto"/>
              <w:bottom w:val="single" w:sz="6" w:space="0" w:color="auto"/>
              <w:right w:val="single" w:sz="6" w:space="0" w:color="auto"/>
            </w:tcBorders>
          </w:tcPr>
          <w:p w14:paraId="7FD31F0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3 </w:t>
            </w:r>
          </w:p>
        </w:tc>
        <w:tc>
          <w:tcPr>
            <w:tcW w:w="985" w:type="dxa"/>
            <w:tcBorders>
              <w:top w:val="nil"/>
              <w:left w:val="nil"/>
              <w:bottom w:val="single" w:sz="6" w:space="0" w:color="auto"/>
              <w:right w:val="single" w:sz="6" w:space="0" w:color="auto"/>
            </w:tcBorders>
          </w:tcPr>
          <w:p w14:paraId="6159760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9 </w:t>
            </w:r>
          </w:p>
        </w:tc>
        <w:tc>
          <w:tcPr>
            <w:tcW w:w="985" w:type="dxa"/>
            <w:tcBorders>
              <w:top w:val="nil"/>
              <w:left w:val="nil"/>
              <w:bottom w:val="single" w:sz="6" w:space="0" w:color="auto"/>
              <w:right w:val="single" w:sz="6" w:space="0" w:color="auto"/>
            </w:tcBorders>
          </w:tcPr>
          <w:p w14:paraId="4010DBF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14 </w:t>
            </w:r>
          </w:p>
        </w:tc>
        <w:tc>
          <w:tcPr>
            <w:tcW w:w="4219" w:type="dxa"/>
            <w:tcBorders>
              <w:top w:val="nil"/>
              <w:left w:val="nil"/>
              <w:bottom w:val="single" w:sz="6" w:space="0" w:color="auto"/>
              <w:right w:val="single" w:sz="6" w:space="0" w:color="auto"/>
            </w:tcBorders>
          </w:tcPr>
          <w:p w14:paraId="61D30671"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清华大学 </w:t>
            </w:r>
          </w:p>
        </w:tc>
        <w:tc>
          <w:tcPr>
            <w:tcW w:w="1851" w:type="dxa"/>
            <w:tcBorders>
              <w:top w:val="nil"/>
              <w:left w:val="nil"/>
              <w:bottom w:val="single" w:sz="6" w:space="0" w:color="auto"/>
              <w:right w:val="single" w:sz="6" w:space="0" w:color="auto"/>
            </w:tcBorders>
          </w:tcPr>
          <w:p w14:paraId="77AAFEFB"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中国</w:t>
            </w:r>
            <w:r>
              <w:rPr>
                <w:rFonts w:ascii="Calibri" w:eastAsia="SimSun" w:hAnsi="Calibri" w:cs="Calibri" w:hint="eastAsia"/>
                <w:kern w:val="0"/>
                <w:sz w:val="16"/>
                <w:szCs w:val="16"/>
                <w:lang w:eastAsia="zh-CN"/>
                <w14:ligatures w14:val="none"/>
              </w:rPr>
              <w:t>（内地）</w:t>
            </w:r>
            <w:r>
              <w:rPr>
                <w:rFonts w:ascii="Calibri" w:eastAsia="Times New Roman" w:hAnsi="Calibri" w:cs="Calibri"/>
                <w:kern w:val="0"/>
                <w:sz w:val="16"/>
                <w:szCs w:val="16"/>
                <w:lang w:eastAsia="en-GB"/>
                <w14:ligatures w14:val="none"/>
              </w:rPr>
              <w:t>）</w:t>
            </w:r>
          </w:p>
        </w:tc>
      </w:tr>
      <w:tr w:rsidR="00D61BF9" w14:paraId="2533FADC" w14:textId="77777777">
        <w:trPr>
          <w:trHeight w:val="285"/>
        </w:trPr>
        <w:tc>
          <w:tcPr>
            <w:tcW w:w="970" w:type="dxa"/>
            <w:tcBorders>
              <w:top w:val="nil"/>
              <w:left w:val="single" w:sz="6" w:space="0" w:color="auto"/>
              <w:bottom w:val="single" w:sz="6" w:space="0" w:color="auto"/>
              <w:right w:val="single" w:sz="6" w:space="0" w:color="auto"/>
            </w:tcBorders>
          </w:tcPr>
          <w:p w14:paraId="3127663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4 </w:t>
            </w:r>
          </w:p>
        </w:tc>
        <w:tc>
          <w:tcPr>
            <w:tcW w:w="985" w:type="dxa"/>
            <w:tcBorders>
              <w:top w:val="nil"/>
              <w:left w:val="nil"/>
              <w:bottom w:val="single" w:sz="6" w:space="0" w:color="auto"/>
              <w:right w:val="single" w:sz="6" w:space="0" w:color="auto"/>
            </w:tcBorders>
          </w:tcPr>
          <w:p w14:paraId="4F89C3C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7 </w:t>
            </w:r>
          </w:p>
        </w:tc>
        <w:tc>
          <w:tcPr>
            <w:tcW w:w="985" w:type="dxa"/>
            <w:tcBorders>
              <w:top w:val="nil"/>
              <w:left w:val="nil"/>
              <w:bottom w:val="single" w:sz="6" w:space="0" w:color="auto"/>
              <w:right w:val="single" w:sz="6" w:space="0" w:color="auto"/>
            </w:tcBorders>
          </w:tcPr>
          <w:p w14:paraId="73282A5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52 </w:t>
            </w:r>
          </w:p>
        </w:tc>
        <w:tc>
          <w:tcPr>
            <w:tcW w:w="4219" w:type="dxa"/>
            <w:tcBorders>
              <w:top w:val="nil"/>
              <w:left w:val="nil"/>
              <w:bottom w:val="single" w:sz="6" w:space="0" w:color="auto"/>
              <w:right w:val="single" w:sz="6" w:space="0" w:color="auto"/>
            </w:tcBorders>
          </w:tcPr>
          <w:p w14:paraId="66ED3A46"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香港城市大学（CityUHK） </w:t>
            </w:r>
          </w:p>
        </w:tc>
        <w:tc>
          <w:tcPr>
            <w:tcW w:w="1851" w:type="dxa"/>
            <w:tcBorders>
              <w:top w:val="nil"/>
              <w:left w:val="nil"/>
              <w:bottom w:val="single" w:sz="6" w:space="0" w:color="auto"/>
              <w:right w:val="single" w:sz="6" w:space="0" w:color="auto"/>
            </w:tcBorders>
          </w:tcPr>
          <w:p w14:paraId="35E17436"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中国香港特别行政区 </w:t>
            </w:r>
          </w:p>
        </w:tc>
      </w:tr>
      <w:tr w:rsidR="00D61BF9" w14:paraId="535AB9D7" w14:textId="77777777">
        <w:trPr>
          <w:trHeight w:val="285"/>
        </w:trPr>
        <w:tc>
          <w:tcPr>
            <w:tcW w:w="970" w:type="dxa"/>
            <w:tcBorders>
              <w:top w:val="nil"/>
              <w:left w:val="single" w:sz="6" w:space="0" w:color="auto"/>
              <w:bottom w:val="single" w:sz="6" w:space="0" w:color="auto"/>
              <w:right w:val="single" w:sz="6" w:space="0" w:color="auto"/>
            </w:tcBorders>
          </w:tcPr>
          <w:p w14:paraId="562B891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5 </w:t>
            </w:r>
          </w:p>
        </w:tc>
        <w:tc>
          <w:tcPr>
            <w:tcW w:w="985" w:type="dxa"/>
            <w:tcBorders>
              <w:top w:val="nil"/>
              <w:left w:val="nil"/>
              <w:bottom w:val="single" w:sz="6" w:space="0" w:color="auto"/>
              <w:right w:val="single" w:sz="6" w:space="0" w:color="auto"/>
            </w:tcBorders>
          </w:tcPr>
          <w:p w14:paraId="5F36EF8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7 </w:t>
            </w:r>
          </w:p>
        </w:tc>
        <w:tc>
          <w:tcPr>
            <w:tcW w:w="985" w:type="dxa"/>
            <w:tcBorders>
              <w:top w:val="nil"/>
              <w:left w:val="nil"/>
              <w:bottom w:val="single" w:sz="6" w:space="0" w:color="auto"/>
              <w:right w:val="single" w:sz="6" w:space="0" w:color="auto"/>
            </w:tcBorders>
          </w:tcPr>
          <w:p w14:paraId="5990D6E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18 </w:t>
            </w:r>
          </w:p>
        </w:tc>
        <w:tc>
          <w:tcPr>
            <w:tcW w:w="4219" w:type="dxa"/>
            <w:tcBorders>
              <w:top w:val="nil"/>
              <w:left w:val="nil"/>
              <w:bottom w:val="single" w:sz="6" w:space="0" w:color="auto"/>
              <w:right w:val="single" w:sz="6" w:space="0" w:color="auto"/>
            </w:tcBorders>
          </w:tcPr>
          <w:p w14:paraId="24913E3A"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 xml:space="preserve">香港中文大学（CUHK） </w:t>
            </w:r>
          </w:p>
        </w:tc>
        <w:tc>
          <w:tcPr>
            <w:tcW w:w="1851" w:type="dxa"/>
            <w:tcBorders>
              <w:top w:val="nil"/>
              <w:left w:val="nil"/>
              <w:bottom w:val="single" w:sz="6" w:space="0" w:color="auto"/>
              <w:right w:val="single" w:sz="6" w:space="0" w:color="auto"/>
            </w:tcBorders>
          </w:tcPr>
          <w:p w14:paraId="730CF688"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中国香港特别行政区 </w:t>
            </w:r>
          </w:p>
        </w:tc>
      </w:tr>
      <w:tr w:rsidR="00D61BF9" w14:paraId="72F93866" w14:textId="77777777">
        <w:trPr>
          <w:trHeight w:val="285"/>
        </w:trPr>
        <w:tc>
          <w:tcPr>
            <w:tcW w:w="970" w:type="dxa"/>
            <w:tcBorders>
              <w:top w:val="nil"/>
              <w:left w:val="single" w:sz="6" w:space="0" w:color="auto"/>
              <w:bottom w:val="single" w:sz="6" w:space="0" w:color="auto"/>
              <w:right w:val="single" w:sz="6" w:space="0" w:color="auto"/>
            </w:tcBorders>
          </w:tcPr>
          <w:p w14:paraId="5A983F7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6 </w:t>
            </w:r>
          </w:p>
        </w:tc>
        <w:tc>
          <w:tcPr>
            <w:tcW w:w="985" w:type="dxa"/>
            <w:tcBorders>
              <w:top w:val="nil"/>
              <w:left w:val="nil"/>
              <w:bottom w:val="single" w:sz="6" w:space="0" w:color="auto"/>
              <w:right w:val="single" w:sz="6" w:space="0" w:color="auto"/>
            </w:tcBorders>
          </w:tcPr>
          <w:p w14:paraId="1DC7108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5 </w:t>
            </w:r>
          </w:p>
        </w:tc>
        <w:tc>
          <w:tcPr>
            <w:tcW w:w="985" w:type="dxa"/>
            <w:tcBorders>
              <w:top w:val="nil"/>
              <w:left w:val="nil"/>
              <w:bottom w:val="single" w:sz="6" w:space="0" w:color="auto"/>
              <w:right w:val="single" w:sz="6" w:space="0" w:color="auto"/>
            </w:tcBorders>
          </w:tcPr>
          <w:p w14:paraId="78D18DD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26 </w:t>
            </w:r>
          </w:p>
        </w:tc>
        <w:tc>
          <w:tcPr>
            <w:tcW w:w="4219" w:type="dxa"/>
            <w:tcBorders>
              <w:top w:val="nil"/>
              <w:left w:val="nil"/>
              <w:bottom w:val="single" w:sz="6" w:space="0" w:color="auto"/>
              <w:right w:val="single" w:sz="6" w:space="0" w:color="auto"/>
            </w:tcBorders>
          </w:tcPr>
          <w:p w14:paraId="1A3A5A0D"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复旦大学 </w:t>
            </w:r>
          </w:p>
        </w:tc>
        <w:tc>
          <w:tcPr>
            <w:tcW w:w="1851" w:type="dxa"/>
            <w:tcBorders>
              <w:top w:val="nil"/>
              <w:left w:val="nil"/>
              <w:bottom w:val="single" w:sz="6" w:space="0" w:color="auto"/>
              <w:right w:val="single" w:sz="6" w:space="0" w:color="auto"/>
            </w:tcBorders>
          </w:tcPr>
          <w:p w14:paraId="4B9D775E"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中国</w:t>
            </w:r>
            <w:r>
              <w:rPr>
                <w:rFonts w:ascii="Calibri" w:eastAsia="SimSun" w:hAnsi="Calibri" w:cs="Calibri" w:hint="eastAsia"/>
                <w:kern w:val="0"/>
                <w:sz w:val="16"/>
                <w:szCs w:val="16"/>
                <w:lang w:eastAsia="zh-CN"/>
                <w14:ligatures w14:val="none"/>
              </w:rPr>
              <w:t>（内地）</w:t>
            </w:r>
          </w:p>
        </w:tc>
      </w:tr>
      <w:tr w:rsidR="00D61BF9" w14:paraId="60A9FDF8" w14:textId="77777777">
        <w:trPr>
          <w:trHeight w:val="285"/>
        </w:trPr>
        <w:tc>
          <w:tcPr>
            <w:tcW w:w="970" w:type="dxa"/>
            <w:tcBorders>
              <w:top w:val="nil"/>
              <w:left w:val="single" w:sz="6" w:space="0" w:color="auto"/>
              <w:bottom w:val="single" w:sz="6" w:space="0" w:color="auto"/>
              <w:right w:val="single" w:sz="6" w:space="0" w:color="auto"/>
            </w:tcBorders>
          </w:tcPr>
          <w:p w14:paraId="5DF5866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6 </w:t>
            </w:r>
          </w:p>
        </w:tc>
        <w:tc>
          <w:tcPr>
            <w:tcW w:w="985" w:type="dxa"/>
            <w:tcBorders>
              <w:top w:val="nil"/>
              <w:left w:val="nil"/>
              <w:bottom w:val="single" w:sz="6" w:space="0" w:color="auto"/>
              <w:right w:val="single" w:sz="6" w:space="0" w:color="auto"/>
            </w:tcBorders>
          </w:tcPr>
          <w:p w14:paraId="2F33210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3 </w:t>
            </w:r>
          </w:p>
        </w:tc>
        <w:tc>
          <w:tcPr>
            <w:tcW w:w="985" w:type="dxa"/>
            <w:tcBorders>
              <w:top w:val="nil"/>
              <w:left w:val="nil"/>
              <w:bottom w:val="single" w:sz="6" w:space="0" w:color="auto"/>
              <w:right w:val="single" w:sz="6" w:space="0" w:color="auto"/>
            </w:tcBorders>
          </w:tcPr>
          <w:p w14:paraId="5786AEB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10 </w:t>
            </w:r>
          </w:p>
        </w:tc>
        <w:tc>
          <w:tcPr>
            <w:tcW w:w="4219" w:type="dxa"/>
            <w:tcBorders>
              <w:top w:val="nil"/>
              <w:left w:val="nil"/>
              <w:bottom w:val="single" w:sz="6" w:space="0" w:color="auto"/>
              <w:right w:val="single" w:sz="6" w:space="0" w:color="auto"/>
            </w:tcBorders>
          </w:tcPr>
          <w:p w14:paraId="64E93330"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 xml:space="preserve">新加坡国立大学（NUS） </w:t>
            </w:r>
          </w:p>
        </w:tc>
        <w:tc>
          <w:tcPr>
            <w:tcW w:w="1851" w:type="dxa"/>
            <w:tcBorders>
              <w:top w:val="nil"/>
              <w:left w:val="nil"/>
              <w:bottom w:val="single" w:sz="6" w:space="0" w:color="auto"/>
              <w:right w:val="single" w:sz="6" w:space="0" w:color="auto"/>
            </w:tcBorders>
          </w:tcPr>
          <w:p w14:paraId="615DA5AE"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新加坡 </w:t>
            </w:r>
          </w:p>
        </w:tc>
      </w:tr>
      <w:tr w:rsidR="00D61BF9" w14:paraId="2D695998" w14:textId="77777777">
        <w:trPr>
          <w:trHeight w:val="285"/>
        </w:trPr>
        <w:tc>
          <w:tcPr>
            <w:tcW w:w="970" w:type="dxa"/>
            <w:tcBorders>
              <w:top w:val="nil"/>
              <w:left w:val="single" w:sz="6" w:space="0" w:color="auto"/>
              <w:bottom w:val="single" w:sz="6" w:space="0" w:color="auto"/>
              <w:right w:val="single" w:sz="6" w:space="0" w:color="auto"/>
            </w:tcBorders>
          </w:tcPr>
          <w:p w14:paraId="7480F34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8 </w:t>
            </w:r>
          </w:p>
        </w:tc>
        <w:tc>
          <w:tcPr>
            <w:tcW w:w="985" w:type="dxa"/>
            <w:tcBorders>
              <w:top w:val="nil"/>
              <w:left w:val="nil"/>
              <w:bottom w:val="single" w:sz="6" w:space="0" w:color="auto"/>
              <w:right w:val="single" w:sz="6" w:space="0" w:color="auto"/>
            </w:tcBorders>
          </w:tcPr>
          <w:p w14:paraId="1202B38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3 </w:t>
            </w:r>
          </w:p>
        </w:tc>
        <w:tc>
          <w:tcPr>
            <w:tcW w:w="985" w:type="dxa"/>
            <w:tcBorders>
              <w:top w:val="nil"/>
              <w:left w:val="nil"/>
              <w:bottom w:val="single" w:sz="6" w:space="0" w:color="auto"/>
              <w:right w:val="single" w:sz="6" w:space="0" w:color="auto"/>
            </w:tcBorders>
          </w:tcPr>
          <w:p w14:paraId="0CAD305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12 </w:t>
            </w:r>
          </w:p>
        </w:tc>
        <w:tc>
          <w:tcPr>
            <w:tcW w:w="4219" w:type="dxa"/>
            <w:tcBorders>
              <w:top w:val="nil"/>
              <w:left w:val="nil"/>
              <w:bottom w:val="single" w:sz="6" w:space="0" w:color="auto"/>
              <w:right w:val="single" w:sz="6" w:space="0" w:color="auto"/>
            </w:tcBorders>
          </w:tcPr>
          <w:p w14:paraId="6B23155F"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新加坡南洋理工大学（NTU Singapore） </w:t>
            </w:r>
          </w:p>
        </w:tc>
        <w:tc>
          <w:tcPr>
            <w:tcW w:w="1851" w:type="dxa"/>
            <w:tcBorders>
              <w:top w:val="nil"/>
              <w:left w:val="nil"/>
              <w:bottom w:val="single" w:sz="6" w:space="0" w:color="auto"/>
              <w:right w:val="single" w:sz="6" w:space="0" w:color="auto"/>
            </w:tcBorders>
          </w:tcPr>
          <w:p w14:paraId="3BF7D313"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新加坡 </w:t>
            </w:r>
          </w:p>
        </w:tc>
      </w:tr>
      <w:tr w:rsidR="00D61BF9" w14:paraId="4593AB7E" w14:textId="77777777">
        <w:trPr>
          <w:trHeight w:val="285"/>
        </w:trPr>
        <w:tc>
          <w:tcPr>
            <w:tcW w:w="970" w:type="dxa"/>
            <w:tcBorders>
              <w:top w:val="nil"/>
              <w:left w:val="single" w:sz="6" w:space="0" w:color="auto"/>
              <w:bottom w:val="single" w:sz="6" w:space="0" w:color="auto"/>
              <w:right w:val="single" w:sz="6" w:space="0" w:color="auto"/>
            </w:tcBorders>
          </w:tcPr>
          <w:p w14:paraId="3D9EDFF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9 </w:t>
            </w:r>
          </w:p>
        </w:tc>
        <w:tc>
          <w:tcPr>
            <w:tcW w:w="985" w:type="dxa"/>
            <w:tcBorders>
              <w:top w:val="nil"/>
              <w:left w:val="nil"/>
              <w:bottom w:val="single" w:sz="6" w:space="0" w:color="auto"/>
              <w:right w:val="single" w:sz="6" w:space="0" w:color="auto"/>
            </w:tcBorders>
          </w:tcPr>
          <w:p w14:paraId="1302754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10 </w:t>
            </w:r>
          </w:p>
        </w:tc>
        <w:tc>
          <w:tcPr>
            <w:tcW w:w="985" w:type="dxa"/>
            <w:tcBorders>
              <w:top w:val="nil"/>
              <w:left w:val="nil"/>
              <w:bottom w:val="single" w:sz="6" w:space="0" w:color="auto"/>
              <w:right w:val="single" w:sz="6" w:space="0" w:color="auto"/>
            </w:tcBorders>
          </w:tcPr>
          <w:p w14:paraId="6059CBE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50 </w:t>
            </w:r>
          </w:p>
        </w:tc>
        <w:tc>
          <w:tcPr>
            <w:tcW w:w="4219" w:type="dxa"/>
            <w:tcBorders>
              <w:top w:val="nil"/>
              <w:left w:val="nil"/>
              <w:bottom w:val="single" w:sz="6" w:space="0" w:color="auto"/>
              <w:right w:val="single" w:sz="6" w:space="0" w:color="auto"/>
            </w:tcBorders>
          </w:tcPr>
          <w:p w14:paraId="6FF05613"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香港理工大学 </w:t>
            </w:r>
          </w:p>
        </w:tc>
        <w:tc>
          <w:tcPr>
            <w:tcW w:w="1851" w:type="dxa"/>
            <w:tcBorders>
              <w:top w:val="nil"/>
              <w:left w:val="nil"/>
              <w:bottom w:val="single" w:sz="6" w:space="0" w:color="auto"/>
              <w:right w:val="single" w:sz="6" w:space="0" w:color="auto"/>
            </w:tcBorders>
          </w:tcPr>
          <w:p w14:paraId="72230C16"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中国香港特别行政区 </w:t>
            </w:r>
          </w:p>
        </w:tc>
      </w:tr>
      <w:tr w:rsidR="00D61BF9" w14:paraId="19D85ED5" w14:textId="77777777">
        <w:trPr>
          <w:trHeight w:val="285"/>
        </w:trPr>
        <w:tc>
          <w:tcPr>
            <w:tcW w:w="970" w:type="dxa"/>
            <w:tcBorders>
              <w:top w:val="nil"/>
              <w:left w:val="single" w:sz="6" w:space="0" w:color="auto"/>
              <w:bottom w:val="single" w:sz="6" w:space="0" w:color="auto"/>
              <w:right w:val="single" w:sz="6" w:space="0" w:color="auto"/>
            </w:tcBorders>
          </w:tcPr>
          <w:p w14:paraId="4D26D23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9 </w:t>
            </w:r>
          </w:p>
        </w:tc>
        <w:tc>
          <w:tcPr>
            <w:tcW w:w="985" w:type="dxa"/>
            <w:tcBorders>
              <w:top w:val="nil"/>
              <w:left w:val="nil"/>
              <w:bottom w:val="single" w:sz="6" w:space="0" w:color="auto"/>
              <w:right w:val="single" w:sz="6" w:space="0" w:color="auto"/>
            </w:tcBorders>
          </w:tcPr>
          <w:p w14:paraId="655B993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6 </w:t>
            </w:r>
          </w:p>
        </w:tc>
        <w:tc>
          <w:tcPr>
            <w:tcW w:w="985" w:type="dxa"/>
            <w:tcBorders>
              <w:top w:val="nil"/>
              <w:left w:val="nil"/>
              <w:bottom w:val="single" w:sz="6" w:space="0" w:color="auto"/>
              <w:right w:val="single" w:sz="6" w:space="0" w:color="auto"/>
            </w:tcBorders>
          </w:tcPr>
          <w:p w14:paraId="0610C76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33 </w:t>
            </w:r>
          </w:p>
        </w:tc>
        <w:tc>
          <w:tcPr>
            <w:tcW w:w="4219" w:type="dxa"/>
            <w:tcBorders>
              <w:top w:val="nil"/>
              <w:left w:val="nil"/>
              <w:bottom w:val="single" w:sz="6" w:space="0" w:color="auto"/>
              <w:right w:val="single" w:sz="6" w:space="0" w:color="auto"/>
            </w:tcBorders>
          </w:tcPr>
          <w:p w14:paraId="4CBE11F5"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香港科技大学 </w:t>
            </w:r>
          </w:p>
        </w:tc>
        <w:tc>
          <w:tcPr>
            <w:tcW w:w="1851" w:type="dxa"/>
            <w:tcBorders>
              <w:top w:val="nil"/>
              <w:left w:val="nil"/>
              <w:bottom w:val="single" w:sz="6" w:space="0" w:color="auto"/>
              <w:right w:val="single" w:sz="6" w:space="0" w:color="auto"/>
            </w:tcBorders>
          </w:tcPr>
          <w:p w14:paraId="32C3BA8C"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xml:space="preserve">中国香港特别行政区 </w:t>
            </w:r>
          </w:p>
        </w:tc>
      </w:tr>
    </w:tbl>
    <w:p w14:paraId="1CBAE048" w14:textId="77777777" w:rsidR="00D61BF9" w:rsidRDefault="00D61BF9">
      <w:pPr>
        <w:rPr>
          <w:rFonts w:ascii="Calibri" w:hAnsi="Calibri" w:cs="Calibri"/>
          <w:b/>
          <w:bCs/>
          <w:color w:val="000000"/>
          <w:sz w:val="22"/>
          <w:szCs w:val="22"/>
          <w:u w:val="single"/>
          <w:shd w:val="clear" w:color="auto" w:fill="FFFFFF"/>
        </w:rPr>
      </w:pPr>
    </w:p>
    <w:p w14:paraId="483AE7E6" w14:textId="77777777" w:rsidR="00D61BF9" w:rsidRDefault="00000000">
      <w:pPr>
        <w:rPr>
          <w:rFonts w:ascii="Calibri" w:hAnsi="Calibri" w:cs="Calibri"/>
          <w:b/>
          <w:bCs/>
          <w:color w:val="000000"/>
          <w:sz w:val="22"/>
          <w:szCs w:val="22"/>
          <w:shd w:val="clear" w:color="auto" w:fill="FFFFFF"/>
        </w:rPr>
      </w:pPr>
      <w:r>
        <w:rPr>
          <w:rFonts w:ascii="Calibri" w:hAnsi="Calibri" w:cs="Calibri"/>
          <w:b/>
          <w:bCs/>
          <w:color w:val="000000"/>
          <w:sz w:val="22"/>
          <w:szCs w:val="22"/>
          <w:shd w:val="clear" w:color="auto" w:fill="FFFFFF"/>
          <w:lang w:eastAsia="zh-CN"/>
        </w:rPr>
        <w:t>QS</w:t>
      </w:r>
      <w:r>
        <w:rPr>
          <w:rFonts w:ascii="Calibri" w:hAnsi="Calibri" w:cs="Calibri"/>
          <w:b/>
          <w:bCs/>
          <w:color w:val="000000"/>
          <w:sz w:val="22"/>
          <w:szCs w:val="22"/>
          <w:shd w:val="clear" w:color="auto" w:fill="FFFFFF"/>
          <w:lang w:eastAsia="zh-CN"/>
        </w:rPr>
        <w:t>高级副总裁本</w:t>
      </w:r>
      <w:r>
        <w:rPr>
          <w:rFonts w:ascii="Calibri" w:hAnsi="Calibri" w:cs="Calibri"/>
          <w:b/>
          <w:bCs/>
          <w:color w:val="000000"/>
          <w:sz w:val="22"/>
          <w:szCs w:val="22"/>
          <w:shd w:val="clear" w:color="auto" w:fill="FFFFFF"/>
          <w:lang w:eastAsia="zh-CN"/>
        </w:rPr>
        <w:t>·</w:t>
      </w:r>
      <w:r>
        <w:rPr>
          <w:rFonts w:ascii="Calibri" w:hAnsi="Calibri" w:cs="Calibri"/>
          <w:b/>
          <w:bCs/>
          <w:color w:val="000000"/>
          <w:sz w:val="22"/>
          <w:szCs w:val="22"/>
          <w:shd w:val="clear" w:color="auto" w:fill="FFFFFF"/>
          <w:lang w:eastAsia="zh-CN"/>
        </w:rPr>
        <w:t>索特表示：</w:t>
      </w:r>
      <w:r>
        <w:rPr>
          <w:rFonts w:ascii="Calibri" w:hAnsi="Calibri" w:cs="Calibri"/>
          <w:i/>
          <w:iCs/>
          <w:color w:val="000000"/>
          <w:sz w:val="22"/>
          <w:szCs w:val="22"/>
          <w:shd w:val="clear" w:color="auto" w:fill="FFFFFF"/>
          <w:lang w:eastAsia="zh-CN"/>
        </w:rPr>
        <w:t>“</w:t>
      </w:r>
      <w:r>
        <w:rPr>
          <w:rFonts w:ascii="Calibri" w:hAnsi="Calibri" w:cs="Calibri"/>
          <w:i/>
          <w:iCs/>
          <w:color w:val="000000"/>
          <w:sz w:val="22"/>
          <w:szCs w:val="22"/>
          <w:shd w:val="clear" w:color="auto" w:fill="FFFFFF"/>
          <w:lang w:eastAsia="zh-CN"/>
        </w:rPr>
        <w:t>中国</w:t>
      </w:r>
      <w:r>
        <w:rPr>
          <w:rFonts w:ascii="Calibri" w:eastAsia="SimSun" w:hAnsi="Calibri" w:cs="Calibri" w:hint="eastAsia"/>
          <w:i/>
          <w:iCs/>
          <w:color w:val="000000"/>
          <w:sz w:val="22"/>
          <w:szCs w:val="22"/>
          <w:shd w:val="clear" w:color="auto" w:fill="FFFFFF"/>
          <w:lang w:eastAsia="zh-CN"/>
        </w:rPr>
        <w:t>（</w:t>
      </w:r>
      <w:r>
        <w:rPr>
          <w:rFonts w:ascii="Calibri" w:eastAsia="SimSun" w:hAnsi="Calibri" w:cs="Calibri" w:hint="eastAsia"/>
          <w:i/>
          <w:iCs/>
          <w:color w:val="000000"/>
          <w:sz w:val="22"/>
          <w:szCs w:val="22"/>
          <w:shd w:val="clear" w:color="auto" w:fill="FFFFFF"/>
          <w:lang w:val="en-US" w:eastAsia="zh-CN"/>
        </w:rPr>
        <w:t>内地）</w:t>
      </w:r>
      <w:r>
        <w:rPr>
          <w:rFonts w:ascii="Calibri" w:hAnsi="Calibri" w:cs="Calibri"/>
          <w:i/>
          <w:iCs/>
          <w:color w:val="000000"/>
          <w:sz w:val="22"/>
          <w:szCs w:val="22"/>
          <w:shd w:val="clear" w:color="auto" w:fill="FFFFFF"/>
          <w:lang w:eastAsia="zh-CN"/>
        </w:rPr>
        <w:t>的排名结果彰显了其高等教育体系日益增强的实力与深度。中国</w:t>
      </w:r>
      <w:r>
        <w:rPr>
          <w:rFonts w:ascii="Calibri" w:eastAsia="SimSun" w:hAnsi="Calibri" w:cs="Calibri" w:hint="eastAsia"/>
          <w:i/>
          <w:iCs/>
          <w:color w:val="000000"/>
          <w:sz w:val="22"/>
          <w:szCs w:val="22"/>
          <w:shd w:val="clear" w:color="auto" w:fill="FFFFFF"/>
          <w:lang w:eastAsia="zh-CN"/>
        </w:rPr>
        <w:t>（</w:t>
      </w:r>
      <w:r>
        <w:rPr>
          <w:rFonts w:ascii="Calibri" w:eastAsia="SimSun" w:hAnsi="Calibri" w:cs="Calibri" w:hint="eastAsia"/>
          <w:i/>
          <w:iCs/>
          <w:color w:val="000000"/>
          <w:sz w:val="22"/>
          <w:szCs w:val="22"/>
          <w:shd w:val="clear" w:color="auto" w:fill="FFFFFF"/>
          <w:lang w:val="en-US" w:eastAsia="zh-CN"/>
        </w:rPr>
        <w:t>内地）</w:t>
      </w:r>
      <w:r>
        <w:rPr>
          <w:rFonts w:ascii="Calibri" w:hAnsi="Calibri" w:cs="Calibri"/>
          <w:i/>
          <w:iCs/>
          <w:color w:val="000000"/>
          <w:sz w:val="22"/>
          <w:szCs w:val="22"/>
          <w:shd w:val="clear" w:color="auto" w:fill="FFFFFF"/>
          <w:lang w:eastAsia="zh-CN"/>
        </w:rPr>
        <w:t>有两所大学跻身亚洲前三，上榜院校数量超过其他任何教育体系，且在研究成果、科研合作及声誉方面持续表现卓越，中国</w:t>
      </w:r>
      <w:r>
        <w:rPr>
          <w:rFonts w:ascii="Calibri" w:eastAsia="SimSun" w:hAnsi="Calibri" w:cs="Calibri" w:hint="eastAsia"/>
          <w:i/>
          <w:iCs/>
          <w:color w:val="000000"/>
          <w:sz w:val="22"/>
          <w:szCs w:val="22"/>
          <w:shd w:val="clear" w:color="auto" w:fill="FFFFFF"/>
          <w:lang w:eastAsia="zh-CN"/>
        </w:rPr>
        <w:t>（</w:t>
      </w:r>
      <w:r>
        <w:rPr>
          <w:rFonts w:ascii="Calibri" w:eastAsia="SimSun" w:hAnsi="Calibri" w:cs="Calibri" w:hint="eastAsia"/>
          <w:i/>
          <w:iCs/>
          <w:color w:val="000000"/>
          <w:sz w:val="22"/>
          <w:szCs w:val="22"/>
          <w:shd w:val="clear" w:color="auto" w:fill="FFFFFF"/>
          <w:lang w:val="en-US" w:eastAsia="zh-CN"/>
        </w:rPr>
        <w:t>内地）</w:t>
      </w:r>
      <w:r>
        <w:rPr>
          <w:rFonts w:ascii="Calibri" w:hAnsi="Calibri" w:cs="Calibri"/>
          <w:i/>
          <w:iCs/>
          <w:color w:val="000000"/>
          <w:sz w:val="22"/>
          <w:szCs w:val="22"/>
          <w:shd w:val="clear" w:color="auto" w:fill="FFFFFF"/>
          <w:lang w:eastAsia="zh-CN"/>
        </w:rPr>
        <w:t>高校在该地区学术版图中继续发挥着引领作用。</w:t>
      </w:r>
      <w:r>
        <w:rPr>
          <w:rFonts w:ascii="Calibri" w:hAnsi="Calibri" w:cs="Calibri"/>
          <w:i/>
          <w:iCs/>
          <w:color w:val="000000"/>
          <w:sz w:val="22"/>
          <w:szCs w:val="22"/>
          <w:shd w:val="clear" w:color="auto" w:fill="FFFFFF"/>
          <w:lang w:eastAsia="zh-CN"/>
        </w:rPr>
        <w:t xml:space="preserve"> </w:t>
      </w:r>
      <w:r>
        <w:rPr>
          <w:rFonts w:ascii="Calibri" w:hAnsi="Calibri" w:cs="Calibri"/>
          <w:i/>
          <w:iCs/>
          <w:color w:val="000000"/>
          <w:sz w:val="22"/>
          <w:szCs w:val="22"/>
          <w:shd w:val="clear" w:color="auto" w:fill="FFFFFF"/>
          <w:lang w:eastAsia="zh-CN"/>
        </w:rPr>
        <w:t>与此同时，该排名也凸显了亚洲地区竞争日趋激烈。要保持领先地位，不仅需要增加研究量，还需加强博士培养能力、提升研究影响力并推进国际化</w:t>
      </w:r>
      <w:r>
        <w:rPr>
          <w:rFonts w:ascii="Calibri" w:hAnsi="Calibri" w:cs="Calibri"/>
          <w:i/>
          <w:iCs/>
          <w:color w:val="000000"/>
          <w:sz w:val="22"/>
          <w:szCs w:val="22"/>
          <w:shd w:val="clear" w:color="auto" w:fill="FFFFFF"/>
          <w:lang w:eastAsia="zh-CN"/>
        </w:rPr>
        <w:t>——</w:t>
      </w:r>
      <w:r>
        <w:rPr>
          <w:rFonts w:ascii="Calibri" w:hAnsi="Calibri" w:cs="Calibri"/>
          <w:i/>
          <w:iCs/>
          <w:color w:val="000000"/>
          <w:sz w:val="22"/>
          <w:szCs w:val="22"/>
          <w:shd w:val="clear" w:color="auto" w:fill="FFFFFF"/>
          <w:lang w:eastAsia="zh-CN"/>
        </w:rPr>
        <w:t>这些领域正日益成为衡量全球竞争力的重要指标。</w:t>
      </w:r>
      <w:r>
        <w:rPr>
          <w:rFonts w:ascii="Calibri" w:hAnsi="Calibri" w:cs="Calibri"/>
          <w:i/>
          <w:iCs/>
          <w:color w:val="000000"/>
          <w:sz w:val="22"/>
          <w:szCs w:val="22"/>
          <w:shd w:val="clear" w:color="auto" w:fill="FFFFFF"/>
        </w:rPr>
        <w:t>”</w:t>
      </w:r>
    </w:p>
    <w:p w14:paraId="16DF2FCF" w14:textId="77777777" w:rsidR="00D61BF9" w:rsidRDefault="00000000">
      <w:pPr>
        <w:rPr>
          <w:rFonts w:ascii="Calibri" w:eastAsia="SimSun" w:hAnsi="Calibri" w:cs="Calibri"/>
          <w:b/>
          <w:bCs/>
          <w:color w:val="000000"/>
          <w:sz w:val="22"/>
          <w:szCs w:val="22"/>
          <w:u w:val="single"/>
          <w:shd w:val="clear" w:color="auto" w:fill="FFFFFF"/>
          <w:lang w:val="en-US" w:eastAsia="zh-CN"/>
        </w:rPr>
      </w:pPr>
      <w:r>
        <w:rPr>
          <w:rFonts w:ascii="Calibri" w:eastAsia="SimSun" w:hAnsi="Calibri" w:cs="Calibri" w:hint="eastAsia"/>
          <w:b/>
          <w:bCs/>
          <w:color w:val="000000"/>
          <w:sz w:val="22"/>
          <w:szCs w:val="22"/>
          <w:u w:val="single"/>
          <w:shd w:val="clear" w:color="auto" w:fill="FFFFFF"/>
          <w:lang w:val="en-US" w:eastAsia="zh-CN"/>
        </w:rPr>
        <w:t>排名</w:t>
      </w:r>
      <w:r>
        <w:rPr>
          <w:rFonts w:ascii="Calibri" w:hAnsi="Calibri" w:cs="Calibri"/>
          <w:b/>
          <w:bCs/>
          <w:color w:val="000000"/>
          <w:sz w:val="22"/>
          <w:szCs w:val="22"/>
          <w:u w:val="single"/>
          <w:shd w:val="clear" w:color="auto" w:fill="FFFFFF"/>
        </w:rPr>
        <w:t>摘要：中国</w:t>
      </w:r>
      <w:r>
        <w:rPr>
          <w:rFonts w:ascii="Calibri" w:eastAsia="SimSun" w:hAnsi="Calibri" w:cs="Calibri" w:hint="eastAsia"/>
          <w:b/>
          <w:bCs/>
          <w:color w:val="000000"/>
          <w:sz w:val="22"/>
          <w:szCs w:val="22"/>
          <w:u w:val="single"/>
          <w:shd w:val="clear" w:color="auto" w:fill="FFFFFF"/>
          <w:lang w:eastAsia="zh-CN"/>
        </w:rPr>
        <w:t>（</w:t>
      </w:r>
      <w:r>
        <w:rPr>
          <w:rFonts w:ascii="Calibri" w:eastAsia="SimSun" w:hAnsi="Calibri" w:cs="Calibri" w:hint="eastAsia"/>
          <w:b/>
          <w:bCs/>
          <w:color w:val="000000"/>
          <w:sz w:val="22"/>
          <w:szCs w:val="22"/>
          <w:u w:val="single"/>
          <w:shd w:val="clear" w:color="auto" w:fill="FFFFFF"/>
          <w:lang w:val="en-US" w:eastAsia="zh-CN"/>
        </w:rPr>
        <w:t>内地）</w:t>
      </w:r>
    </w:p>
    <w:p w14:paraId="0B39D618" w14:textId="77777777" w:rsidR="00D61BF9" w:rsidRDefault="00000000">
      <w:pPr>
        <w:pStyle w:val="ListParagraph"/>
        <w:numPr>
          <w:ilvl w:val="0"/>
          <w:numId w:val="1"/>
        </w:numPr>
        <w:ind w:left="714" w:hanging="357"/>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中国</w:t>
      </w:r>
      <w:r>
        <w:rPr>
          <w:rFonts w:ascii="Calibri" w:eastAsia="SimSun" w:hAnsi="Calibri" w:cs="Calibri" w:hint="eastAsia"/>
          <w:kern w:val="0"/>
          <w:sz w:val="22"/>
          <w:szCs w:val="22"/>
          <w:lang w:eastAsia="zh-CN"/>
          <w14:ligatures w14:val="none"/>
        </w:rPr>
        <w:t>（内地）</w:t>
      </w:r>
      <w:r>
        <w:rPr>
          <w:rFonts w:ascii="Calibri" w:eastAsia="Times New Roman" w:hAnsi="Calibri" w:cs="Calibri"/>
          <w:kern w:val="0"/>
          <w:sz w:val="22"/>
          <w:szCs w:val="22"/>
          <w:lang w:eastAsia="zh-CN"/>
          <w14:ligatures w14:val="none"/>
        </w:rPr>
        <w:t>巩固了其作为亚洲高等教育体系的</w:t>
      </w:r>
      <w:r>
        <w:rPr>
          <w:rFonts w:ascii="Calibri" w:eastAsia="SimSun" w:hAnsi="Calibri" w:cs="Calibri" w:hint="eastAsia"/>
          <w:kern w:val="0"/>
          <w:sz w:val="22"/>
          <w:szCs w:val="22"/>
          <w:lang w:val="en-US" w:eastAsia="zh-CN"/>
          <w14:ligatures w14:val="none"/>
        </w:rPr>
        <w:t>领先</w:t>
      </w:r>
      <w:r>
        <w:rPr>
          <w:rFonts w:ascii="Calibri" w:eastAsia="Times New Roman" w:hAnsi="Calibri" w:cs="Calibri"/>
          <w:kern w:val="0"/>
          <w:sz w:val="22"/>
          <w:szCs w:val="22"/>
          <w:lang w:eastAsia="zh-CN"/>
          <w14:ligatures w14:val="none"/>
        </w:rPr>
        <w:t xml:space="preserve">地位，共有448所上榜高校，新增53所，净提升率达5%。 </w:t>
      </w:r>
    </w:p>
    <w:p w14:paraId="44D70B8B" w14:textId="77777777" w:rsidR="00D61BF9" w:rsidRDefault="00000000">
      <w:pPr>
        <w:pStyle w:val="ListParagraph"/>
        <w:numPr>
          <w:ilvl w:val="0"/>
          <w:numId w:val="1"/>
        </w:numPr>
        <w:ind w:left="714" w:hanging="357"/>
        <w:contextualSpacing w:val="0"/>
        <w:rPr>
          <w:rFonts w:ascii="Segoe UI" w:eastAsia="Times New Roman" w:hAnsi="Segoe UI" w:cs="Segoe UI"/>
          <w:kern w:val="0"/>
          <w:sz w:val="21"/>
          <w:szCs w:val="21"/>
          <w:lang w:eastAsia="zh-CN"/>
          <w14:ligatures w14:val="none"/>
        </w:rPr>
      </w:pPr>
      <w:r>
        <w:rPr>
          <w:rFonts w:ascii="Segoe UI" w:eastAsia="Times New Roman" w:hAnsi="Segoe UI" w:cs="Segoe UI"/>
          <w:kern w:val="0"/>
          <w:sz w:val="21"/>
          <w:szCs w:val="21"/>
          <w:lang w:eastAsia="zh-CN"/>
          <w14:ligatures w14:val="none"/>
        </w:rPr>
        <w:t>目前，跻身亚洲前100名的中国</w:t>
      </w:r>
      <w:r>
        <w:rPr>
          <w:rFonts w:ascii="Segoe UI" w:eastAsia="SimSun" w:hAnsi="Segoe UI" w:cs="Segoe UI" w:hint="eastAsia"/>
          <w:kern w:val="0"/>
          <w:sz w:val="21"/>
          <w:szCs w:val="21"/>
          <w:lang w:eastAsia="zh-CN"/>
          <w14:ligatures w14:val="none"/>
        </w:rPr>
        <w:t>（</w:t>
      </w:r>
      <w:r>
        <w:rPr>
          <w:rFonts w:ascii="Segoe UI" w:eastAsia="SimSun" w:hAnsi="Segoe UI" w:cs="Segoe UI" w:hint="eastAsia"/>
          <w:kern w:val="0"/>
          <w:sz w:val="21"/>
          <w:szCs w:val="21"/>
          <w:lang w:val="en-US" w:eastAsia="zh-CN"/>
          <w14:ligatures w14:val="none"/>
        </w:rPr>
        <w:t>内地）</w:t>
      </w:r>
      <w:r>
        <w:rPr>
          <w:rFonts w:ascii="Segoe UI" w:eastAsia="Times New Roman" w:hAnsi="Segoe UI" w:cs="Segoe UI"/>
          <w:kern w:val="0"/>
          <w:sz w:val="21"/>
          <w:szCs w:val="21"/>
          <w:lang w:eastAsia="zh-CN"/>
          <w14:ligatures w14:val="none"/>
        </w:rPr>
        <w:t>高校数量达到创纪录的28所，较去年的25所有所增加，而跻身前50名的高校数量也创下新高。</w:t>
      </w:r>
    </w:p>
    <w:p w14:paraId="08E2AF83" w14:textId="77777777" w:rsidR="00D61BF9" w:rsidRDefault="00000000">
      <w:pPr>
        <w:pStyle w:val="ListParagraph"/>
        <w:numPr>
          <w:ilvl w:val="0"/>
          <w:numId w:val="1"/>
        </w:numPr>
        <w:ind w:left="714" w:hanging="357"/>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清华大学重返亚洲前三，这使得中国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自2023年以来首次有两所高校——清华大学和北京大学——跻身该地区前三名。</w:t>
      </w:r>
    </w:p>
    <w:p w14:paraId="7B73EA29"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继续在排行榜上游占据主导地位，共有14所大学跻身前50名，28所进入前100名，数量超过亚洲任何其他高等教育体系。</w:t>
      </w:r>
    </w:p>
    <w:p w14:paraId="28EB223A"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科研实力依然是其显著优势，在“每名</w:t>
      </w:r>
      <w:r>
        <w:rPr>
          <w:rFonts w:ascii="Calibri" w:eastAsia="SimSun" w:hAnsi="Calibri" w:cs="Calibri" w:hint="eastAsia"/>
          <w:kern w:val="0"/>
          <w:sz w:val="22"/>
          <w:szCs w:val="22"/>
          <w:lang w:val="en-US" w:eastAsia="zh-CN"/>
          <w14:ligatures w14:val="none"/>
        </w:rPr>
        <w:t>教师</w:t>
      </w:r>
      <w:r>
        <w:rPr>
          <w:rFonts w:ascii="Calibri" w:eastAsia="Times New Roman" w:hAnsi="Calibri" w:cs="Calibri"/>
          <w:kern w:val="0"/>
          <w:sz w:val="22"/>
          <w:szCs w:val="22"/>
          <w:lang w:eastAsia="zh-CN"/>
          <w14:ligatures w14:val="none"/>
        </w:rPr>
        <w:t>发表论文数”指标上，有三所中国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高校跻身亚洲前十，且</w:t>
      </w:r>
      <w:r>
        <w:rPr>
          <w:rFonts w:ascii="SimSun" w:eastAsia="SimSun" w:hAnsi="SimSun" w:cs="SimSun" w:hint="eastAsia"/>
          <w:kern w:val="0"/>
          <w:sz w:val="22"/>
          <w:szCs w:val="22"/>
          <w:lang w:eastAsia="zh-CN"/>
          <w14:ligatures w14:val="none"/>
        </w:rPr>
        <w:t>在</w:t>
      </w:r>
      <w:r>
        <w:rPr>
          <w:rFonts w:ascii="Calibri" w:eastAsia="Times New Roman" w:hAnsi="Calibri" w:cs="Calibri"/>
          <w:kern w:val="0"/>
          <w:sz w:val="22"/>
          <w:szCs w:val="22"/>
          <w:lang w:eastAsia="zh-CN"/>
          <w14:ligatures w14:val="none"/>
        </w:rPr>
        <w:t>该指标36所跻身全球前100的</w:t>
      </w:r>
      <w:r>
        <w:rPr>
          <w:rFonts w:ascii="SimSun" w:eastAsia="SimSun" w:hAnsi="SimSun" w:cs="SimSun" w:hint="eastAsia"/>
          <w:kern w:val="0"/>
          <w:sz w:val="22"/>
          <w:szCs w:val="22"/>
          <w:lang w:eastAsia="zh-CN"/>
          <w14:ligatures w14:val="none"/>
        </w:rPr>
        <w:t>中国（内地）</w:t>
      </w:r>
      <w:r>
        <w:rPr>
          <w:rFonts w:ascii="Calibri" w:eastAsia="Times New Roman" w:hAnsi="Calibri" w:cs="Calibri"/>
          <w:kern w:val="0"/>
          <w:sz w:val="22"/>
          <w:szCs w:val="22"/>
          <w:lang w:eastAsia="zh-CN"/>
          <w14:ligatures w14:val="none"/>
        </w:rPr>
        <w:t>高校中有26所排名上升。</w:t>
      </w:r>
    </w:p>
    <w:p w14:paraId="5F8CE44F" w14:textId="77777777" w:rsidR="00D61BF9" w:rsidRDefault="00000000">
      <w:pPr>
        <w:pStyle w:val="ListParagraph"/>
        <w:numPr>
          <w:ilvl w:val="0"/>
          <w:numId w:val="1"/>
        </w:numPr>
        <w:contextualSpacing w:val="0"/>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在中国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排名前</w:t>
      </w:r>
      <w:r>
        <w:rPr>
          <w:rFonts w:ascii="Calibri" w:hAnsi="Calibri" w:cs="Calibri"/>
          <w:color w:val="000000"/>
          <w:sz w:val="22"/>
          <w:szCs w:val="22"/>
          <w:shd w:val="clear" w:color="auto" w:fill="FFFFFF"/>
          <w:lang w:eastAsia="zh-CN"/>
        </w:rPr>
        <w:t>100</w:t>
      </w:r>
      <w:r>
        <w:rPr>
          <w:rFonts w:ascii="Calibri" w:hAnsi="Calibri" w:cs="Calibri"/>
          <w:color w:val="000000"/>
          <w:sz w:val="22"/>
          <w:szCs w:val="22"/>
          <w:shd w:val="clear" w:color="auto" w:fill="FFFFFF"/>
          <w:lang w:eastAsia="zh-CN"/>
        </w:rPr>
        <w:t>的高校中，有</w:t>
      </w:r>
      <w:r>
        <w:rPr>
          <w:rFonts w:ascii="Calibri" w:hAnsi="Calibri" w:cs="Calibri"/>
          <w:color w:val="000000"/>
          <w:sz w:val="22"/>
          <w:szCs w:val="22"/>
          <w:shd w:val="clear" w:color="auto" w:fill="FFFFFF"/>
          <w:lang w:eastAsia="zh-CN"/>
        </w:rPr>
        <w:t>12</w:t>
      </w:r>
      <w:r>
        <w:rPr>
          <w:rFonts w:ascii="Calibri" w:hAnsi="Calibri" w:cs="Calibri"/>
          <w:color w:val="000000"/>
          <w:sz w:val="22"/>
          <w:szCs w:val="22"/>
          <w:shd w:val="clear" w:color="auto" w:fill="FFFFFF"/>
          <w:lang w:eastAsia="zh-CN"/>
        </w:rPr>
        <w:t>所创下历史最佳排名，包括南京大学、中国科学技术大学、天津大学、同济大学、武汉大学和哈尔滨工业大学。</w:t>
      </w:r>
    </w:p>
    <w:p w14:paraId="3B1F915A"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lastRenderedPageBreak/>
        <w:t>教学能力仍是其竞争优势，在“师生比”指标上，有四所中国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大学跻身亚洲前十，数量超过其他任何高等教育体系。</w:t>
      </w:r>
    </w:p>
    <w:p w14:paraId="4517FDB1"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 xml:space="preserve">高校仍位居亚洲最受推崇之列，有三所高校在“学术声誉”和“雇主声誉”两项指标中均跻身前十。 </w:t>
      </w:r>
    </w:p>
    <w:p w14:paraId="446C3A87"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博士培养能力面临新的挑战，尽管中国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一直在努力扩大博士教育规模和培养科研人才，但在“拥有博士学位的教职员工”这一指标上，尚无中国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高校跻身亚洲前50名</w:t>
      </w:r>
    </w:p>
    <w:p w14:paraId="070E34F9" w14:textId="77777777" w:rsidR="00D61BF9" w:rsidRDefault="00000000">
      <w:pPr>
        <w:pStyle w:val="ListParagraph"/>
        <w:numPr>
          <w:ilvl w:val="0"/>
          <w:numId w:val="1"/>
        </w:numPr>
        <w:contextualSpacing w:val="0"/>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国际化仍然是中国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内地）高校</w:t>
      </w:r>
      <w:r>
        <w:rPr>
          <w:rFonts w:ascii="Calibri" w:eastAsia="Times New Roman" w:hAnsi="Calibri" w:cs="Calibri"/>
          <w:kern w:val="0"/>
          <w:sz w:val="22"/>
          <w:szCs w:val="22"/>
          <w:lang w:eastAsia="zh-CN"/>
          <w14:ligatures w14:val="none"/>
        </w:rPr>
        <w:t>表现最薄弱的领域，学生流动和</w:t>
      </w:r>
      <w:r>
        <w:rPr>
          <w:rFonts w:ascii="Calibri" w:eastAsiaTheme="minorEastAsia" w:hAnsi="Calibri" w:cs="Calibri" w:hint="eastAsia"/>
          <w:kern w:val="0"/>
          <w:sz w:val="22"/>
          <w:szCs w:val="22"/>
          <w:lang w:eastAsia="zh-CN"/>
          <w14:ligatures w14:val="none"/>
        </w:rPr>
        <w:t>出入境交换</w:t>
      </w:r>
      <w:r>
        <w:rPr>
          <w:rFonts w:ascii="Calibri" w:eastAsia="Times New Roman" w:hAnsi="Calibri" w:cs="Calibri"/>
          <w:kern w:val="0"/>
          <w:sz w:val="22"/>
          <w:szCs w:val="22"/>
          <w:lang w:eastAsia="zh-CN"/>
          <w14:ligatures w14:val="none"/>
        </w:rPr>
        <w:t>方面仍落后于其在研究和声誉方面的优势。</w:t>
      </w:r>
    </w:p>
    <w:tbl>
      <w:tblPr>
        <w:tblW w:w="5524" w:type="dxa"/>
        <w:jc w:val="center"/>
        <w:tblLook w:val="04A0" w:firstRow="1" w:lastRow="0" w:firstColumn="1" w:lastColumn="0" w:noHBand="0" w:noVBand="1"/>
      </w:tblPr>
      <w:tblGrid>
        <w:gridCol w:w="1129"/>
        <w:gridCol w:w="1023"/>
        <w:gridCol w:w="3402"/>
      </w:tblGrid>
      <w:tr w:rsidR="00D61BF9" w14:paraId="3AF9B1C4" w14:textId="77777777">
        <w:trPr>
          <w:trHeight w:val="300"/>
          <w:jc w:val="center"/>
        </w:trPr>
        <w:tc>
          <w:tcPr>
            <w:tcW w:w="5524" w:type="dxa"/>
            <w:gridSpan w:val="3"/>
            <w:tcBorders>
              <w:top w:val="single" w:sz="4" w:space="0" w:color="auto"/>
              <w:left w:val="single" w:sz="4" w:space="0" w:color="auto"/>
              <w:bottom w:val="single" w:sz="4" w:space="0" w:color="auto"/>
              <w:right w:val="single" w:sz="4" w:space="0" w:color="auto"/>
            </w:tcBorders>
            <w:noWrap/>
            <w:vAlign w:val="bottom"/>
          </w:tcPr>
          <w:p w14:paraId="4712E576" w14:textId="77777777" w:rsidR="00D61BF9" w:rsidRDefault="00000000">
            <w:pPr>
              <w:spacing w:after="0" w:line="240" w:lineRule="auto"/>
              <w:jc w:val="center"/>
              <w:rPr>
                <w:rFonts w:ascii="Calibri" w:eastAsia="Times New Roman" w:hAnsi="Calibri" w:cs="Calibri"/>
                <w:b/>
                <w:bCs/>
                <w:kern w:val="0"/>
                <w:sz w:val="20"/>
                <w:szCs w:val="20"/>
                <w:lang w:eastAsia="zh-CN"/>
                <w14:ligatures w14:val="none"/>
              </w:rPr>
            </w:pPr>
            <w:r>
              <w:rPr>
                <w:rFonts w:ascii="Calibri" w:eastAsia="Times New Roman" w:hAnsi="Calibri" w:cs="Calibri"/>
                <w:b/>
                <w:bCs/>
                <w:kern w:val="0"/>
                <w:sz w:val="20"/>
                <w:szCs w:val="20"/>
                <w:lang w:eastAsia="zh-CN"/>
                <w14:ligatures w14:val="none"/>
              </w:rPr>
              <w:t>表2：中国</w:t>
            </w:r>
            <w:r>
              <w:rPr>
                <w:rFonts w:ascii="Calibri" w:eastAsia="SimSun" w:hAnsi="Calibri" w:cs="Calibri" w:hint="eastAsia"/>
                <w:b/>
                <w:bCs/>
                <w:kern w:val="0"/>
                <w:sz w:val="20"/>
                <w:szCs w:val="20"/>
                <w:lang w:eastAsia="zh-CN"/>
                <w14:ligatures w14:val="none"/>
              </w:rPr>
              <w:t>（</w:t>
            </w:r>
            <w:r>
              <w:rPr>
                <w:rFonts w:ascii="Calibri" w:eastAsia="SimSun" w:hAnsi="Calibri" w:cs="Calibri" w:hint="eastAsia"/>
                <w:b/>
                <w:bCs/>
                <w:kern w:val="0"/>
                <w:sz w:val="20"/>
                <w:szCs w:val="20"/>
                <w:lang w:val="en-US" w:eastAsia="zh-CN"/>
                <w14:ligatures w14:val="none"/>
              </w:rPr>
              <w:t>内地）</w:t>
            </w:r>
            <w:r>
              <w:rPr>
                <w:rFonts w:ascii="Calibri" w:eastAsia="Times New Roman" w:hAnsi="Calibri" w:cs="Calibri"/>
                <w:b/>
                <w:bCs/>
                <w:kern w:val="0"/>
                <w:sz w:val="20"/>
                <w:szCs w:val="20"/>
                <w:lang w:eastAsia="zh-CN"/>
                <w14:ligatures w14:val="none"/>
              </w:rPr>
              <w:t>高校前50名</w:t>
            </w:r>
          </w:p>
        </w:tc>
      </w:tr>
      <w:tr w:rsidR="00D61BF9" w14:paraId="0A739182"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18257423"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2027年排名</w:t>
            </w:r>
          </w:p>
        </w:tc>
        <w:tc>
          <w:tcPr>
            <w:tcW w:w="993" w:type="dxa"/>
            <w:tcBorders>
              <w:top w:val="nil"/>
              <w:left w:val="nil"/>
              <w:bottom w:val="single" w:sz="4" w:space="0" w:color="auto"/>
              <w:right w:val="single" w:sz="4" w:space="0" w:color="auto"/>
            </w:tcBorders>
            <w:noWrap/>
            <w:vAlign w:val="bottom"/>
          </w:tcPr>
          <w:p w14:paraId="6FE52493"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2026年排名</w:t>
            </w:r>
          </w:p>
        </w:tc>
        <w:tc>
          <w:tcPr>
            <w:tcW w:w="3402" w:type="dxa"/>
            <w:tcBorders>
              <w:top w:val="nil"/>
              <w:left w:val="nil"/>
              <w:bottom w:val="single" w:sz="4" w:space="0" w:color="auto"/>
              <w:right w:val="single" w:sz="4" w:space="0" w:color="auto"/>
            </w:tcBorders>
            <w:noWrap/>
            <w:vAlign w:val="bottom"/>
          </w:tcPr>
          <w:p w14:paraId="44B90EA4" w14:textId="77777777" w:rsidR="00D61BF9" w:rsidRDefault="00000000">
            <w:pPr>
              <w:spacing w:after="0" w:line="240" w:lineRule="auto"/>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院校</w:t>
            </w:r>
          </w:p>
        </w:tc>
      </w:tr>
      <w:tr w:rsidR="00D61BF9" w14:paraId="2B80CF6D"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0EA1D93C"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w:t>
            </w:r>
          </w:p>
        </w:tc>
        <w:tc>
          <w:tcPr>
            <w:tcW w:w="993" w:type="dxa"/>
            <w:tcBorders>
              <w:top w:val="nil"/>
              <w:left w:val="nil"/>
              <w:bottom w:val="single" w:sz="4" w:space="0" w:color="auto"/>
              <w:right w:val="single" w:sz="4" w:space="0" w:color="auto"/>
            </w:tcBorders>
            <w:noWrap/>
            <w:vAlign w:val="bottom"/>
          </w:tcPr>
          <w:p w14:paraId="72177E5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w:t>
            </w:r>
          </w:p>
        </w:tc>
        <w:tc>
          <w:tcPr>
            <w:tcW w:w="3402" w:type="dxa"/>
            <w:tcBorders>
              <w:top w:val="nil"/>
              <w:left w:val="nil"/>
              <w:bottom w:val="single" w:sz="4" w:space="0" w:color="auto"/>
              <w:right w:val="single" w:sz="4" w:space="0" w:color="auto"/>
            </w:tcBorders>
            <w:noWrap/>
            <w:vAlign w:val="bottom"/>
          </w:tcPr>
          <w:p w14:paraId="0A564AD0"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北京大学</w:t>
            </w:r>
          </w:p>
        </w:tc>
      </w:tr>
      <w:tr w:rsidR="00D61BF9" w14:paraId="00FE74B7"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07A2557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w:t>
            </w:r>
          </w:p>
        </w:tc>
        <w:tc>
          <w:tcPr>
            <w:tcW w:w="993" w:type="dxa"/>
            <w:tcBorders>
              <w:top w:val="nil"/>
              <w:left w:val="nil"/>
              <w:bottom w:val="single" w:sz="4" w:space="0" w:color="auto"/>
              <w:right w:val="single" w:sz="4" w:space="0" w:color="auto"/>
            </w:tcBorders>
            <w:noWrap/>
            <w:vAlign w:val="bottom"/>
          </w:tcPr>
          <w:p w14:paraId="79B5EAB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9</w:t>
            </w:r>
          </w:p>
        </w:tc>
        <w:tc>
          <w:tcPr>
            <w:tcW w:w="3402" w:type="dxa"/>
            <w:tcBorders>
              <w:top w:val="nil"/>
              <w:left w:val="nil"/>
              <w:bottom w:val="single" w:sz="4" w:space="0" w:color="auto"/>
              <w:right w:val="single" w:sz="4" w:space="0" w:color="auto"/>
            </w:tcBorders>
            <w:noWrap/>
            <w:vAlign w:val="bottom"/>
          </w:tcPr>
          <w:p w14:paraId="52FAF7BA"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清华大学</w:t>
            </w:r>
          </w:p>
        </w:tc>
      </w:tr>
      <w:tr w:rsidR="00D61BF9" w14:paraId="06C2C11D"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3CD0314D"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6</w:t>
            </w:r>
          </w:p>
        </w:tc>
        <w:tc>
          <w:tcPr>
            <w:tcW w:w="993" w:type="dxa"/>
            <w:tcBorders>
              <w:top w:val="nil"/>
              <w:left w:val="nil"/>
              <w:bottom w:val="single" w:sz="4" w:space="0" w:color="auto"/>
              <w:right w:val="single" w:sz="4" w:space="0" w:color="auto"/>
            </w:tcBorders>
            <w:noWrap/>
            <w:vAlign w:val="bottom"/>
          </w:tcPr>
          <w:p w14:paraId="1A001FE2"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w:t>
            </w:r>
          </w:p>
        </w:tc>
        <w:tc>
          <w:tcPr>
            <w:tcW w:w="3402" w:type="dxa"/>
            <w:tcBorders>
              <w:top w:val="nil"/>
              <w:left w:val="nil"/>
              <w:bottom w:val="single" w:sz="4" w:space="0" w:color="auto"/>
              <w:right w:val="single" w:sz="4" w:space="0" w:color="auto"/>
            </w:tcBorders>
            <w:noWrap/>
            <w:vAlign w:val="bottom"/>
          </w:tcPr>
          <w:p w14:paraId="11D3D5EE"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复旦大学</w:t>
            </w:r>
          </w:p>
        </w:tc>
      </w:tr>
      <w:tr w:rsidR="00D61BF9" w14:paraId="1662E615"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78772B1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13</w:t>
            </w:r>
          </w:p>
        </w:tc>
        <w:tc>
          <w:tcPr>
            <w:tcW w:w="993" w:type="dxa"/>
            <w:tcBorders>
              <w:top w:val="nil"/>
              <w:left w:val="nil"/>
              <w:bottom w:val="single" w:sz="4" w:space="0" w:color="auto"/>
              <w:right w:val="single" w:sz="4" w:space="0" w:color="auto"/>
            </w:tcBorders>
            <w:noWrap/>
            <w:vAlign w:val="bottom"/>
          </w:tcPr>
          <w:p w14:paraId="0EBDA625"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13</w:t>
            </w:r>
          </w:p>
        </w:tc>
        <w:tc>
          <w:tcPr>
            <w:tcW w:w="3402" w:type="dxa"/>
            <w:tcBorders>
              <w:top w:val="nil"/>
              <w:left w:val="nil"/>
              <w:bottom w:val="single" w:sz="4" w:space="0" w:color="auto"/>
              <w:right w:val="single" w:sz="4" w:space="0" w:color="auto"/>
            </w:tcBorders>
            <w:noWrap/>
            <w:vAlign w:val="bottom"/>
          </w:tcPr>
          <w:p w14:paraId="1C9B8C52"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上海交通大学</w:t>
            </w:r>
          </w:p>
        </w:tc>
      </w:tr>
      <w:tr w:rsidR="00D61BF9" w14:paraId="4461E763"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6B216142"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14</w:t>
            </w:r>
          </w:p>
        </w:tc>
        <w:tc>
          <w:tcPr>
            <w:tcW w:w="993" w:type="dxa"/>
            <w:tcBorders>
              <w:top w:val="nil"/>
              <w:left w:val="nil"/>
              <w:bottom w:val="single" w:sz="4" w:space="0" w:color="auto"/>
              <w:right w:val="single" w:sz="4" w:space="0" w:color="auto"/>
            </w:tcBorders>
            <w:noWrap/>
            <w:vAlign w:val="bottom"/>
          </w:tcPr>
          <w:p w14:paraId="7A9D129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14</w:t>
            </w:r>
          </w:p>
        </w:tc>
        <w:tc>
          <w:tcPr>
            <w:tcW w:w="3402" w:type="dxa"/>
            <w:tcBorders>
              <w:top w:val="nil"/>
              <w:left w:val="nil"/>
              <w:bottom w:val="single" w:sz="4" w:space="0" w:color="auto"/>
              <w:right w:val="single" w:sz="4" w:space="0" w:color="auto"/>
            </w:tcBorders>
            <w:noWrap/>
            <w:vAlign w:val="bottom"/>
          </w:tcPr>
          <w:p w14:paraId="76DE2C99"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浙江大学</w:t>
            </w:r>
          </w:p>
        </w:tc>
      </w:tr>
      <w:tr w:rsidR="00D61BF9" w14:paraId="7E2B2EEE"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7AF699E7"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17</w:t>
            </w:r>
          </w:p>
        </w:tc>
        <w:tc>
          <w:tcPr>
            <w:tcW w:w="993" w:type="dxa"/>
            <w:tcBorders>
              <w:top w:val="nil"/>
              <w:left w:val="nil"/>
              <w:bottom w:val="single" w:sz="4" w:space="0" w:color="auto"/>
              <w:right w:val="single" w:sz="4" w:space="0" w:color="auto"/>
            </w:tcBorders>
            <w:noWrap/>
            <w:vAlign w:val="bottom"/>
          </w:tcPr>
          <w:p w14:paraId="617B240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19</w:t>
            </w:r>
          </w:p>
        </w:tc>
        <w:tc>
          <w:tcPr>
            <w:tcW w:w="3402" w:type="dxa"/>
            <w:tcBorders>
              <w:top w:val="nil"/>
              <w:left w:val="nil"/>
              <w:bottom w:val="single" w:sz="4" w:space="0" w:color="auto"/>
              <w:right w:val="single" w:sz="4" w:space="0" w:color="auto"/>
            </w:tcBorders>
            <w:noWrap/>
            <w:vAlign w:val="bottom"/>
          </w:tcPr>
          <w:p w14:paraId="4C233814"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南京大学</w:t>
            </w:r>
          </w:p>
        </w:tc>
      </w:tr>
      <w:tr w:rsidR="00D61BF9" w14:paraId="694746EE"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59B44E3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20</w:t>
            </w:r>
          </w:p>
        </w:tc>
        <w:tc>
          <w:tcPr>
            <w:tcW w:w="993" w:type="dxa"/>
            <w:tcBorders>
              <w:top w:val="nil"/>
              <w:left w:val="nil"/>
              <w:bottom w:val="single" w:sz="4" w:space="0" w:color="auto"/>
              <w:right w:val="single" w:sz="4" w:space="0" w:color="auto"/>
            </w:tcBorders>
            <w:noWrap/>
            <w:vAlign w:val="bottom"/>
          </w:tcPr>
          <w:p w14:paraId="752A0B5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21</w:t>
            </w:r>
          </w:p>
        </w:tc>
        <w:tc>
          <w:tcPr>
            <w:tcW w:w="3402" w:type="dxa"/>
            <w:tcBorders>
              <w:top w:val="nil"/>
              <w:left w:val="nil"/>
              <w:bottom w:val="single" w:sz="4" w:space="0" w:color="auto"/>
              <w:right w:val="single" w:sz="4" w:space="0" w:color="auto"/>
            </w:tcBorders>
            <w:noWrap/>
            <w:vAlign w:val="bottom"/>
          </w:tcPr>
          <w:p w14:paraId="6901131E"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中国科学技术大学</w:t>
            </w:r>
          </w:p>
        </w:tc>
      </w:tr>
      <w:tr w:rsidR="00D61BF9" w14:paraId="4898064B"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6E78FAE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26</w:t>
            </w:r>
          </w:p>
        </w:tc>
        <w:tc>
          <w:tcPr>
            <w:tcW w:w="993" w:type="dxa"/>
            <w:tcBorders>
              <w:top w:val="nil"/>
              <w:left w:val="nil"/>
              <w:bottom w:val="single" w:sz="4" w:space="0" w:color="auto"/>
              <w:right w:val="single" w:sz="4" w:space="0" w:color="auto"/>
            </w:tcBorders>
            <w:noWrap/>
            <w:vAlign w:val="bottom"/>
          </w:tcPr>
          <w:p w14:paraId="323ED6C6"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32</w:t>
            </w:r>
          </w:p>
        </w:tc>
        <w:tc>
          <w:tcPr>
            <w:tcW w:w="3402" w:type="dxa"/>
            <w:tcBorders>
              <w:top w:val="nil"/>
              <w:left w:val="nil"/>
              <w:bottom w:val="single" w:sz="4" w:space="0" w:color="auto"/>
              <w:right w:val="single" w:sz="4" w:space="0" w:color="auto"/>
            </w:tcBorders>
            <w:noWrap/>
            <w:vAlign w:val="bottom"/>
          </w:tcPr>
          <w:p w14:paraId="2FC235D5"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同济大学</w:t>
            </w:r>
          </w:p>
        </w:tc>
      </w:tr>
      <w:tr w:rsidR="00D61BF9" w14:paraId="3892C1C9"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0B3643E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29</w:t>
            </w:r>
          </w:p>
        </w:tc>
        <w:tc>
          <w:tcPr>
            <w:tcW w:w="993" w:type="dxa"/>
            <w:tcBorders>
              <w:top w:val="nil"/>
              <w:left w:val="nil"/>
              <w:bottom w:val="single" w:sz="4" w:space="0" w:color="auto"/>
              <w:right w:val="single" w:sz="4" w:space="0" w:color="auto"/>
            </w:tcBorders>
            <w:noWrap/>
            <w:vAlign w:val="bottom"/>
          </w:tcPr>
          <w:p w14:paraId="3BD730BC"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31</w:t>
            </w:r>
          </w:p>
        </w:tc>
        <w:tc>
          <w:tcPr>
            <w:tcW w:w="3402" w:type="dxa"/>
            <w:tcBorders>
              <w:top w:val="nil"/>
              <w:left w:val="nil"/>
              <w:bottom w:val="single" w:sz="4" w:space="0" w:color="auto"/>
              <w:right w:val="single" w:sz="4" w:space="0" w:color="auto"/>
            </w:tcBorders>
            <w:noWrap/>
            <w:vAlign w:val="bottom"/>
          </w:tcPr>
          <w:p w14:paraId="49756AE5"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武汉大学</w:t>
            </w:r>
          </w:p>
        </w:tc>
      </w:tr>
      <w:tr w:rsidR="00D61BF9" w14:paraId="64C0932E"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712119C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34</w:t>
            </w:r>
          </w:p>
        </w:tc>
        <w:tc>
          <w:tcPr>
            <w:tcW w:w="993" w:type="dxa"/>
            <w:tcBorders>
              <w:top w:val="nil"/>
              <w:left w:val="nil"/>
              <w:bottom w:val="single" w:sz="4" w:space="0" w:color="auto"/>
              <w:right w:val="single" w:sz="4" w:space="0" w:color="auto"/>
            </w:tcBorders>
            <w:noWrap/>
            <w:vAlign w:val="bottom"/>
          </w:tcPr>
          <w:p w14:paraId="1DE5E3D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49</w:t>
            </w:r>
          </w:p>
        </w:tc>
        <w:tc>
          <w:tcPr>
            <w:tcW w:w="3402" w:type="dxa"/>
            <w:tcBorders>
              <w:top w:val="nil"/>
              <w:left w:val="nil"/>
              <w:bottom w:val="single" w:sz="4" w:space="0" w:color="auto"/>
              <w:right w:val="single" w:sz="4" w:space="0" w:color="auto"/>
            </w:tcBorders>
            <w:noWrap/>
            <w:vAlign w:val="bottom"/>
          </w:tcPr>
          <w:p w14:paraId="1763A513"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哈尔滨工业大学</w:t>
            </w:r>
          </w:p>
        </w:tc>
      </w:tr>
      <w:tr w:rsidR="00D61BF9" w14:paraId="51618244"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4ADB3E47"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43</w:t>
            </w:r>
          </w:p>
        </w:tc>
        <w:tc>
          <w:tcPr>
            <w:tcW w:w="993" w:type="dxa"/>
            <w:tcBorders>
              <w:top w:val="nil"/>
              <w:left w:val="nil"/>
              <w:bottom w:val="single" w:sz="4" w:space="0" w:color="auto"/>
              <w:right w:val="single" w:sz="4" w:space="0" w:color="auto"/>
            </w:tcBorders>
            <w:noWrap/>
            <w:vAlign w:val="bottom"/>
          </w:tcPr>
          <w:p w14:paraId="57F0F937"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51</w:t>
            </w:r>
          </w:p>
        </w:tc>
        <w:tc>
          <w:tcPr>
            <w:tcW w:w="3402" w:type="dxa"/>
            <w:tcBorders>
              <w:top w:val="nil"/>
              <w:left w:val="nil"/>
              <w:bottom w:val="single" w:sz="4" w:space="0" w:color="auto"/>
              <w:right w:val="single" w:sz="4" w:space="0" w:color="auto"/>
            </w:tcBorders>
            <w:noWrap/>
            <w:vAlign w:val="bottom"/>
          </w:tcPr>
          <w:p w14:paraId="5295A180"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天津大学</w:t>
            </w:r>
          </w:p>
        </w:tc>
      </w:tr>
      <w:tr w:rsidR="00D61BF9" w14:paraId="3C35AD99"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24CF5195"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44</w:t>
            </w:r>
          </w:p>
        </w:tc>
        <w:tc>
          <w:tcPr>
            <w:tcW w:w="993" w:type="dxa"/>
            <w:tcBorders>
              <w:top w:val="nil"/>
              <w:left w:val="nil"/>
              <w:bottom w:val="single" w:sz="4" w:space="0" w:color="auto"/>
              <w:right w:val="single" w:sz="4" w:space="0" w:color="auto"/>
            </w:tcBorders>
            <w:noWrap/>
            <w:vAlign w:val="bottom"/>
          </w:tcPr>
          <w:p w14:paraId="407983A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48</w:t>
            </w:r>
          </w:p>
        </w:tc>
        <w:tc>
          <w:tcPr>
            <w:tcW w:w="3402" w:type="dxa"/>
            <w:tcBorders>
              <w:top w:val="nil"/>
              <w:left w:val="nil"/>
              <w:bottom w:val="single" w:sz="4" w:space="0" w:color="auto"/>
              <w:right w:val="single" w:sz="4" w:space="0" w:color="auto"/>
            </w:tcBorders>
            <w:noWrap/>
            <w:vAlign w:val="bottom"/>
          </w:tcPr>
          <w:p w14:paraId="10BCF5FD"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北京师范大学</w:t>
            </w:r>
          </w:p>
        </w:tc>
      </w:tr>
      <w:tr w:rsidR="00D61BF9" w14:paraId="623F3A6D"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7251936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48</w:t>
            </w:r>
          </w:p>
        </w:tc>
        <w:tc>
          <w:tcPr>
            <w:tcW w:w="993" w:type="dxa"/>
            <w:tcBorders>
              <w:top w:val="nil"/>
              <w:left w:val="nil"/>
              <w:bottom w:val="single" w:sz="4" w:space="0" w:color="auto"/>
              <w:right w:val="single" w:sz="4" w:space="0" w:color="auto"/>
            </w:tcBorders>
            <w:noWrap/>
            <w:vAlign w:val="bottom"/>
          </w:tcPr>
          <w:p w14:paraId="3E8FF769"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49</w:t>
            </w:r>
          </w:p>
        </w:tc>
        <w:tc>
          <w:tcPr>
            <w:tcW w:w="3402" w:type="dxa"/>
            <w:tcBorders>
              <w:top w:val="nil"/>
              <w:left w:val="nil"/>
              <w:bottom w:val="single" w:sz="4" w:space="0" w:color="auto"/>
              <w:right w:val="single" w:sz="4" w:space="0" w:color="auto"/>
            </w:tcBorders>
            <w:noWrap/>
            <w:vAlign w:val="bottom"/>
          </w:tcPr>
          <w:p w14:paraId="341344B2"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中山大学</w:t>
            </w:r>
          </w:p>
        </w:tc>
      </w:tr>
      <w:tr w:rsidR="00D61BF9" w14:paraId="687C21A5" w14:textId="77777777">
        <w:trPr>
          <w:trHeight w:val="300"/>
          <w:jc w:val="center"/>
        </w:trPr>
        <w:tc>
          <w:tcPr>
            <w:tcW w:w="1129" w:type="dxa"/>
            <w:tcBorders>
              <w:top w:val="nil"/>
              <w:left w:val="single" w:sz="4" w:space="0" w:color="auto"/>
              <w:bottom w:val="single" w:sz="4" w:space="0" w:color="auto"/>
              <w:right w:val="single" w:sz="4" w:space="0" w:color="auto"/>
            </w:tcBorders>
            <w:noWrap/>
            <w:vAlign w:val="bottom"/>
          </w:tcPr>
          <w:p w14:paraId="2EB158A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49</w:t>
            </w:r>
          </w:p>
        </w:tc>
        <w:tc>
          <w:tcPr>
            <w:tcW w:w="993" w:type="dxa"/>
            <w:tcBorders>
              <w:top w:val="nil"/>
              <w:left w:val="nil"/>
              <w:bottom w:val="single" w:sz="4" w:space="0" w:color="auto"/>
              <w:right w:val="single" w:sz="4" w:space="0" w:color="auto"/>
            </w:tcBorders>
            <w:noWrap/>
            <w:vAlign w:val="bottom"/>
          </w:tcPr>
          <w:p w14:paraId="64A34F4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45</w:t>
            </w:r>
          </w:p>
        </w:tc>
        <w:tc>
          <w:tcPr>
            <w:tcW w:w="3402" w:type="dxa"/>
            <w:tcBorders>
              <w:top w:val="nil"/>
              <w:left w:val="nil"/>
              <w:bottom w:val="single" w:sz="4" w:space="0" w:color="auto"/>
              <w:right w:val="single" w:sz="4" w:space="0" w:color="auto"/>
            </w:tcBorders>
            <w:noWrap/>
            <w:vAlign w:val="bottom"/>
          </w:tcPr>
          <w:p w14:paraId="6824D7EA"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北京理工大学</w:t>
            </w:r>
          </w:p>
        </w:tc>
      </w:tr>
    </w:tbl>
    <w:p w14:paraId="7D239785" w14:textId="77777777" w:rsidR="00D61BF9" w:rsidRDefault="00000000">
      <w:pPr>
        <w:jc w:val="center"/>
        <w:rPr>
          <w:rFonts w:ascii="Calibri" w:eastAsia="Calibri" w:hAnsi="Calibri" w:cs="Calibri"/>
          <w:color w:val="FF0000"/>
          <w:sz w:val="22"/>
          <w:szCs w:val="22"/>
          <w:lang w:eastAsia="zh-CN"/>
        </w:rPr>
      </w:pPr>
      <w:r>
        <w:rPr>
          <w:rFonts w:ascii="Calibri" w:eastAsia="Calibri" w:hAnsi="Calibri" w:cs="Calibri"/>
          <w:sz w:val="22"/>
          <w:szCs w:val="22"/>
          <w:lang w:eastAsia="zh-CN"/>
        </w:rPr>
        <w:t>中国</w:t>
      </w:r>
      <w:r>
        <w:rPr>
          <w:rFonts w:ascii="Calibri" w:eastAsia="SimSun" w:hAnsi="Calibri" w:cs="Calibri" w:hint="eastAsia"/>
          <w:sz w:val="22"/>
          <w:szCs w:val="22"/>
          <w:lang w:eastAsia="zh-CN"/>
        </w:rPr>
        <w:t>（</w:t>
      </w:r>
      <w:r>
        <w:rPr>
          <w:rFonts w:ascii="Calibri" w:eastAsia="SimSun" w:hAnsi="Calibri" w:cs="Calibri" w:hint="eastAsia"/>
          <w:sz w:val="22"/>
          <w:szCs w:val="22"/>
          <w:lang w:val="en-US" w:eastAsia="zh-CN"/>
        </w:rPr>
        <w:t>内地）</w:t>
      </w:r>
      <w:r>
        <w:rPr>
          <w:rFonts w:ascii="Calibri" w:eastAsia="Calibri" w:hAnsi="Calibri" w:cs="Calibri"/>
          <w:sz w:val="22"/>
          <w:szCs w:val="22"/>
          <w:lang w:eastAsia="zh-CN"/>
        </w:rPr>
        <w:t>大学排名完整榜单请点击</w:t>
      </w:r>
      <w:hyperlink r:id="rId12">
        <w:r>
          <w:rPr>
            <w:rStyle w:val="Hyperlink"/>
            <w:rFonts w:ascii="Calibri" w:eastAsia="Calibri" w:hAnsi="Calibri" w:cs="Calibri"/>
            <w:b/>
            <w:bCs/>
            <w:lang w:eastAsia="zh-CN"/>
          </w:rPr>
          <w:t>此处</w:t>
        </w:r>
      </w:hyperlink>
      <w:r>
        <w:rPr>
          <w:rFonts w:ascii="Calibri" w:eastAsia="Calibri" w:hAnsi="Calibri" w:cs="Calibri"/>
          <w:color w:val="FF0000"/>
          <w:sz w:val="22"/>
          <w:szCs w:val="22"/>
          <w:lang w:eastAsia="zh-CN"/>
        </w:rPr>
        <w:t xml:space="preserve"> </w:t>
      </w:r>
    </w:p>
    <w:p w14:paraId="5978CEB0" w14:textId="77777777" w:rsidR="00D61BF9" w:rsidRDefault="00000000">
      <w:pPr>
        <w:rPr>
          <w:rFonts w:ascii="Calibri" w:hAnsi="Calibri" w:cs="Calibri"/>
          <w:b/>
          <w:bCs/>
          <w:color w:val="000000"/>
          <w:sz w:val="22"/>
          <w:szCs w:val="22"/>
          <w:u w:val="single"/>
          <w:shd w:val="clear" w:color="auto" w:fill="FFFFFF"/>
          <w:lang w:eastAsia="zh-CN"/>
        </w:rPr>
      </w:pPr>
      <w:r>
        <w:rPr>
          <w:rFonts w:ascii="Calibri" w:hAnsi="Calibri" w:cs="Calibri"/>
          <w:b/>
          <w:bCs/>
          <w:color w:val="000000"/>
          <w:sz w:val="22"/>
          <w:szCs w:val="22"/>
          <w:u w:val="single"/>
          <w:shd w:val="clear" w:color="auto" w:fill="FFFFFF"/>
          <w:lang w:eastAsia="zh-CN"/>
        </w:rPr>
        <w:t>中国</w:t>
      </w:r>
      <w:r>
        <w:rPr>
          <w:rFonts w:ascii="Calibri" w:eastAsia="SimSun" w:hAnsi="Calibri" w:cs="Calibri" w:hint="eastAsia"/>
          <w:b/>
          <w:bCs/>
          <w:color w:val="000000"/>
          <w:sz w:val="22"/>
          <w:szCs w:val="22"/>
          <w:u w:val="single"/>
          <w:shd w:val="clear" w:color="auto" w:fill="FFFFFF"/>
          <w:lang w:eastAsia="zh-CN"/>
        </w:rPr>
        <w:t>（</w:t>
      </w:r>
      <w:r>
        <w:rPr>
          <w:rFonts w:ascii="Calibri" w:eastAsia="SimSun" w:hAnsi="Calibri" w:cs="Calibri" w:hint="eastAsia"/>
          <w:b/>
          <w:bCs/>
          <w:color w:val="000000"/>
          <w:sz w:val="22"/>
          <w:szCs w:val="22"/>
          <w:u w:val="single"/>
          <w:shd w:val="clear" w:color="auto" w:fill="FFFFFF"/>
          <w:lang w:val="en-US" w:eastAsia="zh-CN"/>
        </w:rPr>
        <w:t>内地）排名</w:t>
      </w:r>
      <w:r>
        <w:rPr>
          <w:rFonts w:ascii="Calibri" w:hAnsi="Calibri" w:cs="Calibri"/>
          <w:b/>
          <w:bCs/>
          <w:color w:val="000000"/>
          <w:sz w:val="22"/>
          <w:szCs w:val="22"/>
          <w:u w:val="single"/>
          <w:shd w:val="clear" w:color="auto" w:fill="FFFFFF"/>
          <w:lang w:eastAsia="zh-CN"/>
        </w:rPr>
        <w:t>概况</w:t>
      </w:r>
    </w:p>
    <w:p w14:paraId="0A9E1C11" w14:textId="77777777" w:rsidR="00D61BF9" w:rsidRDefault="00000000">
      <w:pPr>
        <w:rPr>
          <w:rFonts w:ascii="Calibri" w:hAnsi="Calibri" w:cs="Calibri"/>
          <w:color w:val="000000"/>
          <w:sz w:val="22"/>
          <w:szCs w:val="22"/>
          <w:shd w:val="clear" w:color="auto" w:fill="FFFFFF"/>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共有</w:t>
      </w:r>
      <w:r>
        <w:rPr>
          <w:rFonts w:ascii="Calibri" w:hAnsi="Calibri" w:cs="Calibri"/>
          <w:color w:val="000000"/>
          <w:sz w:val="22"/>
          <w:szCs w:val="22"/>
          <w:shd w:val="clear" w:color="auto" w:fill="FFFFFF"/>
          <w:lang w:eastAsia="zh-CN"/>
        </w:rPr>
        <w:t>448</w:t>
      </w:r>
      <w:r>
        <w:rPr>
          <w:rFonts w:ascii="Calibri" w:hAnsi="Calibri" w:cs="Calibri"/>
          <w:color w:val="000000"/>
          <w:sz w:val="22"/>
          <w:szCs w:val="22"/>
          <w:shd w:val="clear" w:color="auto" w:fill="FFFFFF"/>
          <w:lang w:eastAsia="zh-CN"/>
        </w:rPr>
        <w:t>所上榜高校，其中</w:t>
      </w:r>
      <w:r>
        <w:rPr>
          <w:rFonts w:ascii="Calibri" w:hAnsi="Calibri" w:cs="Calibri"/>
          <w:color w:val="000000"/>
          <w:sz w:val="22"/>
          <w:szCs w:val="22"/>
          <w:shd w:val="clear" w:color="auto" w:fill="FFFFFF"/>
          <w:lang w:eastAsia="zh-CN"/>
        </w:rPr>
        <w:t>14</w:t>
      </w:r>
      <w:r>
        <w:rPr>
          <w:rFonts w:ascii="Calibri" w:hAnsi="Calibri" w:cs="Calibri"/>
          <w:color w:val="000000"/>
          <w:sz w:val="22"/>
          <w:szCs w:val="22"/>
          <w:shd w:val="clear" w:color="auto" w:fill="FFFFFF"/>
          <w:lang w:eastAsia="zh-CN"/>
        </w:rPr>
        <w:t>所跻身前</w:t>
      </w:r>
      <w:r>
        <w:rPr>
          <w:rFonts w:ascii="Calibri" w:hAnsi="Calibri" w:cs="Calibri"/>
          <w:color w:val="000000"/>
          <w:sz w:val="22"/>
          <w:szCs w:val="22"/>
          <w:shd w:val="clear" w:color="auto" w:fill="FFFFFF"/>
          <w:lang w:eastAsia="zh-CN"/>
        </w:rPr>
        <w:t>50</w:t>
      </w:r>
      <w:r>
        <w:rPr>
          <w:rFonts w:ascii="Calibri" w:hAnsi="Calibri" w:cs="Calibri"/>
          <w:color w:val="000000"/>
          <w:sz w:val="22"/>
          <w:szCs w:val="22"/>
          <w:shd w:val="clear" w:color="auto" w:fill="FFFFFF"/>
          <w:lang w:eastAsia="zh-CN"/>
        </w:rPr>
        <w:t>名，</w:t>
      </w:r>
      <w:r>
        <w:rPr>
          <w:rFonts w:ascii="Calibri" w:hAnsi="Calibri" w:cs="Calibri"/>
          <w:color w:val="000000"/>
          <w:sz w:val="22"/>
          <w:szCs w:val="22"/>
          <w:shd w:val="clear" w:color="auto" w:fill="FFFFFF"/>
          <w:lang w:eastAsia="zh-CN"/>
        </w:rPr>
        <w:t>28</w:t>
      </w:r>
      <w:r>
        <w:rPr>
          <w:rFonts w:ascii="Calibri" w:hAnsi="Calibri" w:cs="Calibri"/>
          <w:color w:val="000000"/>
          <w:sz w:val="22"/>
          <w:szCs w:val="22"/>
          <w:shd w:val="clear" w:color="auto" w:fill="FFFFFF"/>
          <w:lang w:eastAsia="zh-CN"/>
        </w:rPr>
        <w:t>所跻身前</w:t>
      </w:r>
      <w:r>
        <w:rPr>
          <w:rFonts w:ascii="Calibri" w:hAnsi="Calibri" w:cs="Calibri"/>
          <w:color w:val="000000"/>
          <w:sz w:val="22"/>
          <w:szCs w:val="22"/>
          <w:shd w:val="clear" w:color="auto" w:fill="FFFFFF"/>
          <w:lang w:eastAsia="zh-CN"/>
        </w:rPr>
        <w:t>100</w:t>
      </w:r>
      <w:r>
        <w:rPr>
          <w:rFonts w:ascii="Calibri" w:hAnsi="Calibri" w:cs="Calibri"/>
          <w:color w:val="000000"/>
          <w:sz w:val="22"/>
          <w:szCs w:val="22"/>
          <w:shd w:val="clear" w:color="auto" w:fill="FFFFFF"/>
          <w:lang w:eastAsia="zh-CN"/>
        </w:rPr>
        <w:t>名，数量超过亚洲任何其他高等教育体系。在</w:t>
      </w:r>
      <w:r>
        <w:rPr>
          <w:rFonts w:ascii="Calibri" w:eastAsia="SimSun" w:hAnsi="Calibri" w:cs="Calibri" w:hint="eastAsia"/>
          <w:color w:val="000000"/>
          <w:sz w:val="22"/>
          <w:szCs w:val="22"/>
          <w:shd w:val="clear" w:color="auto" w:fill="FFFFFF"/>
          <w:lang w:val="en-US" w:eastAsia="zh-CN"/>
        </w:rPr>
        <w:t>先前</w:t>
      </w:r>
      <w:r>
        <w:rPr>
          <w:rFonts w:ascii="Calibri" w:hAnsi="Calibri" w:cs="Calibri"/>
          <w:color w:val="000000"/>
          <w:sz w:val="22"/>
          <w:szCs w:val="22"/>
          <w:shd w:val="clear" w:color="auto" w:fill="FFFFFF"/>
          <w:lang w:eastAsia="zh-CN"/>
        </w:rPr>
        <w:t>入选排名的</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中，</w:t>
      </w:r>
      <w:r>
        <w:rPr>
          <w:rFonts w:ascii="Calibri" w:hAnsi="Calibri" w:cs="Calibri"/>
          <w:color w:val="000000"/>
          <w:sz w:val="22"/>
          <w:szCs w:val="22"/>
          <w:shd w:val="clear" w:color="auto" w:fill="FFFFFF"/>
          <w:lang w:eastAsia="zh-CN"/>
        </w:rPr>
        <w:t>177</w:t>
      </w:r>
      <w:r>
        <w:rPr>
          <w:rFonts w:ascii="Calibri" w:hAnsi="Calibri" w:cs="Calibri"/>
          <w:color w:val="000000"/>
          <w:sz w:val="22"/>
          <w:szCs w:val="22"/>
          <w:shd w:val="clear" w:color="auto" w:fill="FFFFFF"/>
          <w:lang w:eastAsia="zh-CN"/>
        </w:rPr>
        <w:t>所排名上升，</w:t>
      </w:r>
      <w:r>
        <w:rPr>
          <w:rFonts w:ascii="Calibri" w:hAnsi="Calibri" w:cs="Calibri"/>
          <w:color w:val="000000"/>
          <w:sz w:val="22"/>
          <w:szCs w:val="22"/>
          <w:shd w:val="clear" w:color="auto" w:fill="FFFFFF"/>
          <w:lang w:eastAsia="zh-CN"/>
        </w:rPr>
        <w:t>159</w:t>
      </w:r>
      <w:r>
        <w:rPr>
          <w:rFonts w:ascii="Calibri" w:hAnsi="Calibri" w:cs="Calibri"/>
          <w:color w:val="000000"/>
          <w:sz w:val="22"/>
          <w:szCs w:val="22"/>
          <w:shd w:val="clear" w:color="auto" w:fill="FFFFFF"/>
          <w:lang w:eastAsia="zh-CN"/>
        </w:rPr>
        <w:lastRenderedPageBreak/>
        <w:t>所排名下降，</w:t>
      </w:r>
      <w:r>
        <w:rPr>
          <w:rFonts w:ascii="Calibri" w:hAnsi="Calibri" w:cs="Calibri"/>
          <w:color w:val="000000"/>
          <w:sz w:val="22"/>
          <w:szCs w:val="22"/>
          <w:shd w:val="clear" w:color="auto" w:fill="FFFFFF"/>
          <w:lang w:eastAsia="zh-CN"/>
        </w:rPr>
        <w:t>59</w:t>
      </w:r>
      <w:r>
        <w:rPr>
          <w:rFonts w:ascii="Calibri" w:hAnsi="Calibri" w:cs="Calibri"/>
          <w:color w:val="000000"/>
          <w:sz w:val="22"/>
          <w:szCs w:val="22"/>
          <w:shd w:val="clear" w:color="auto" w:fill="FFFFFF"/>
          <w:lang w:eastAsia="zh-CN"/>
        </w:rPr>
        <w:t>所保持稳定，整体净提升率为</w:t>
      </w:r>
      <w:r>
        <w:rPr>
          <w:rFonts w:ascii="Calibri" w:hAnsi="Calibri" w:cs="Calibri"/>
          <w:color w:val="000000"/>
          <w:sz w:val="22"/>
          <w:szCs w:val="22"/>
          <w:shd w:val="clear" w:color="auto" w:fill="FFFFFF"/>
          <w:lang w:eastAsia="zh-CN"/>
        </w:rPr>
        <w:t>5%</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rPr>
        <w:t>本届排名中有</w:t>
      </w:r>
      <w:r>
        <w:rPr>
          <w:rFonts w:ascii="Calibri" w:hAnsi="Calibri" w:cs="Calibri"/>
          <w:color w:val="000000"/>
          <w:sz w:val="22"/>
          <w:szCs w:val="22"/>
          <w:shd w:val="clear" w:color="auto" w:fill="FFFFFF"/>
        </w:rPr>
        <w:t>53</w:t>
      </w:r>
      <w:r>
        <w:rPr>
          <w:rFonts w:ascii="Calibri" w:hAnsi="Calibri" w:cs="Calibri"/>
          <w:color w:val="000000"/>
          <w:sz w:val="22"/>
          <w:szCs w:val="22"/>
          <w:shd w:val="clear" w:color="auto" w:fill="FFFFFF"/>
        </w:rPr>
        <w:t>所</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rPr>
        <w:t>首次上榜。</w:t>
      </w:r>
    </w:p>
    <w:tbl>
      <w:tblPr>
        <w:tblW w:w="89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30"/>
        <w:gridCol w:w="585"/>
        <w:gridCol w:w="525"/>
        <w:gridCol w:w="540"/>
        <w:gridCol w:w="615"/>
        <w:gridCol w:w="720"/>
        <w:gridCol w:w="555"/>
        <w:gridCol w:w="435"/>
        <w:gridCol w:w="525"/>
        <w:gridCol w:w="525"/>
        <w:gridCol w:w="2265"/>
        <w:gridCol w:w="703"/>
      </w:tblGrid>
      <w:tr w:rsidR="00D61BF9" w14:paraId="2B29B131" w14:textId="77777777">
        <w:trPr>
          <w:trHeight w:val="285"/>
        </w:trPr>
        <w:tc>
          <w:tcPr>
            <w:tcW w:w="8923" w:type="dxa"/>
            <w:gridSpan w:val="12"/>
            <w:tcBorders>
              <w:top w:val="single" w:sz="6" w:space="0" w:color="auto"/>
              <w:left w:val="single" w:sz="6" w:space="0" w:color="auto"/>
              <w:bottom w:val="single" w:sz="6" w:space="0" w:color="auto"/>
              <w:right w:val="single" w:sz="6" w:space="0" w:color="auto"/>
            </w:tcBorders>
          </w:tcPr>
          <w:p w14:paraId="6EA781C1" w14:textId="77777777" w:rsidR="00D61BF9" w:rsidRDefault="00000000">
            <w:pPr>
              <w:spacing w:after="0" w:line="240" w:lineRule="auto"/>
              <w:jc w:val="cente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b/>
                <w:bCs/>
                <w:color w:val="1D1D1B"/>
                <w:kern w:val="0"/>
                <w:sz w:val="20"/>
                <w:szCs w:val="20"/>
                <w:lang w:eastAsia="zh-CN"/>
                <w14:ligatures w14:val="none"/>
              </w:rPr>
              <w:t>表3：按上榜高校总数排序的顶尖教育体系   </w:t>
            </w:r>
          </w:p>
        </w:tc>
      </w:tr>
      <w:tr w:rsidR="00D61BF9" w14:paraId="1F7FFD1F" w14:textId="77777777">
        <w:trPr>
          <w:trHeight w:val="285"/>
        </w:trPr>
        <w:tc>
          <w:tcPr>
            <w:tcW w:w="930" w:type="dxa"/>
            <w:vMerge w:val="restart"/>
            <w:tcBorders>
              <w:top w:val="nil"/>
              <w:left w:val="single" w:sz="6" w:space="0" w:color="auto"/>
              <w:bottom w:val="single" w:sz="6" w:space="0" w:color="auto"/>
              <w:right w:val="single" w:sz="6" w:space="0" w:color="auto"/>
            </w:tcBorders>
          </w:tcPr>
          <w:p w14:paraId="797F63D0"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高等教育体系   </w:t>
            </w:r>
          </w:p>
        </w:tc>
        <w:tc>
          <w:tcPr>
            <w:tcW w:w="585" w:type="dxa"/>
            <w:vMerge w:val="restart"/>
            <w:tcBorders>
              <w:top w:val="nil"/>
              <w:left w:val="single" w:sz="6" w:space="0" w:color="auto"/>
              <w:bottom w:val="single" w:sz="6" w:space="0" w:color="auto"/>
              <w:right w:val="single" w:sz="6" w:space="0" w:color="auto"/>
            </w:tcBorders>
          </w:tcPr>
          <w:p w14:paraId="2725198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总数   </w:t>
            </w:r>
          </w:p>
        </w:tc>
        <w:tc>
          <w:tcPr>
            <w:tcW w:w="525" w:type="dxa"/>
            <w:vMerge w:val="restart"/>
            <w:tcBorders>
              <w:top w:val="nil"/>
              <w:left w:val="single" w:sz="6" w:space="0" w:color="auto"/>
              <w:bottom w:val="single" w:sz="6" w:space="0" w:color="auto"/>
              <w:right w:val="single" w:sz="6" w:space="0" w:color="auto"/>
            </w:tcBorders>
          </w:tcPr>
          <w:p w14:paraId="5551FAC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color w:val="00B050"/>
                <w:kern w:val="0"/>
                <w:sz w:val="16"/>
                <w:szCs w:val="16"/>
                <w:lang w:eastAsia="en-GB"/>
                <w14:ligatures w14:val="none"/>
              </w:rPr>
              <w:t>上升   </w:t>
            </w:r>
          </w:p>
        </w:tc>
        <w:tc>
          <w:tcPr>
            <w:tcW w:w="540" w:type="dxa"/>
            <w:vMerge w:val="restart"/>
            <w:tcBorders>
              <w:top w:val="nil"/>
              <w:left w:val="single" w:sz="6" w:space="0" w:color="auto"/>
              <w:bottom w:val="single" w:sz="6" w:space="0" w:color="auto"/>
              <w:right w:val="single" w:sz="6" w:space="0" w:color="auto"/>
            </w:tcBorders>
          </w:tcPr>
          <w:p w14:paraId="450EAC3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color w:val="FFC000"/>
                <w:kern w:val="0"/>
                <w:sz w:val="16"/>
                <w:szCs w:val="16"/>
                <w:lang w:eastAsia="en-GB"/>
                <w14:ligatures w14:val="none"/>
              </w:rPr>
              <w:t>持平   </w:t>
            </w:r>
          </w:p>
        </w:tc>
        <w:tc>
          <w:tcPr>
            <w:tcW w:w="615" w:type="dxa"/>
            <w:vMerge w:val="restart"/>
            <w:tcBorders>
              <w:top w:val="nil"/>
              <w:left w:val="single" w:sz="6" w:space="0" w:color="auto"/>
              <w:bottom w:val="single" w:sz="6" w:space="0" w:color="auto"/>
              <w:right w:val="single" w:sz="6" w:space="0" w:color="auto"/>
            </w:tcBorders>
          </w:tcPr>
          <w:p w14:paraId="5EF1807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color w:val="C00000"/>
                <w:kern w:val="0"/>
                <w:sz w:val="16"/>
                <w:szCs w:val="16"/>
                <w:lang w:eastAsia="en-GB"/>
                <w14:ligatures w14:val="none"/>
              </w:rPr>
              <w:t>下降   </w:t>
            </w:r>
          </w:p>
        </w:tc>
        <w:tc>
          <w:tcPr>
            <w:tcW w:w="720" w:type="dxa"/>
            <w:vMerge w:val="restart"/>
            <w:tcBorders>
              <w:top w:val="nil"/>
              <w:left w:val="single" w:sz="6" w:space="0" w:color="auto"/>
              <w:bottom w:val="single" w:sz="6" w:space="0" w:color="auto"/>
              <w:right w:val="single" w:sz="6" w:space="0" w:color="auto"/>
            </w:tcBorders>
          </w:tcPr>
          <w:p w14:paraId="71DB125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SimSun" w:eastAsia="SimSun" w:hAnsi="SimSun" w:cs="SimSun" w:hint="eastAsia"/>
                <w:b/>
                <w:bCs/>
                <w:kern w:val="0"/>
                <w:sz w:val="16"/>
                <w:szCs w:val="16"/>
                <w:lang w:eastAsia="zh-CN"/>
                <w14:ligatures w14:val="none"/>
              </w:rPr>
              <w:t>变化</w:t>
            </w:r>
            <w:r>
              <w:rPr>
                <w:rFonts w:ascii="Calibri" w:eastAsia="Times New Roman" w:hAnsi="Calibri" w:cs="Calibri"/>
                <w:b/>
                <w:bCs/>
                <w:kern w:val="0"/>
                <w:sz w:val="16"/>
                <w:szCs w:val="16"/>
                <w:lang w:eastAsia="en-GB"/>
                <w14:ligatures w14:val="none"/>
              </w:rPr>
              <w:t>   </w:t>
            </w:r>
          </w:p>
        </w:tc>
        <w:tc>
          <w:tcPr>
            <w:tcW w:w="555" w:type="dxa"/>
            <w:vMerge w:val="restart"/>
            <w:tcBorders>
              <w:top w:val="nil"/>
              <w:left w:val="single" w:sz="6" w:space="0" w:color="auto"/>
              <w:bottom w:val="single" w:sz="6" w:space="0" w:color="auto"/>
              <w:right w:val="single" w:sz="6" w:space="0" w:color="auto"/>
            </w:tcBorders>
          </w:tcPr>
          <w:p w14:paraId="7C5AEEF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新增    </w:t>
            </w:r>
          </w:p>
        </w:tc>
        <w:tc>
          <w:tcPr>
            <w:tcW w:w="435" w:type="dxa"/>
            <w:vMerge w:val="restart"/>
            <w:tcBorders>
              <w:top w:val="nil"/>
              <w:left w:val="single" w:sz="6" w:space="0" w:color="auto"/>
              <w:bottom w:val="single" w:sz="6" w:space="0" w:color="auto"/>
              <w:right w:val="single" w:sz="6" w:space="0" w:color="auto"/>
            </w:tcBorders>
            <w:shd w:val="clear" w:color="auto" w:fill="E9E9E7"/>
          </w:tcPr>
          <w:p w14:paraId="478E5A7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前50名 </w:t>
            </w:r>
          </w:p>
        </w:tc>
        <w:tc>
          <w:tcPr>
            <w:tcW w:w="525" w:type="dxa"/>
            <w:vMerge w:val="restart"/>
            <w:tcBorders>
              <w:top w:val="nil"/>
              <w:left w:val="single" w:sz="6" w:space="0" w:color="auto"/>
              <w:bottom w:val="single" w:sz="6" w:space="0" w:color="auto"/>
              <w:right w:val="single" w:sz="6" w:space="0" w:color="auto"/>
            </w:tcBorders>
            <w:shd w:val="clear" w:color="auto" w:fill="E9E9E7"/>
          </w:tcPr>
          <w:p w14:paraId="3B314DE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前100名 </w:t>
            </w:r>
          </w:p>
        </w:tc>
        <w:tc>
          <w:tcPr>
            <w:tcW w:w="525" w:type="dxa"/>
            <w:vMerge w:val="restart"/>
            <w:tcBorders>
              <w:top w:val="nil"/>
              <w:left w:val="single" w:sz="6" w:space="0" w:color="auto"/>
              <w:bottom w:val="single" w:sz="6" w:space="0" w:color="auto"/>
              <w:right w:val="single" w:sz="6" w:space="0" w:color="auto"/>
            </w:tcBorders>
            <w:shd w:val="clear" w:color="auto" w:fill="E9E9E7"/>
          </w:tcPr>
          <w:p w14:paraId="6D85E25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 xml:space="preserve">前500名 </w:t>
            </w:r>
          </w:p>
        </w:tc>
        <w:tc>
          <w:tcPr>
            <w:tcW w:w="2968" w:type="dxa"/>
            <w:gridSpan w:val="2"/>
            <w:tcBorders>
              <w:top w:val="single" w:sz="6" w:space="0" w:color="auto"/>
              <w:left w:val="nil"/>
              <w:bottom w:val="single" w:sz="6" w:space="0" w:color="auto"/>
              <w:right w:val="single" w:sz="6" w:space="0" w:color="auto"/>
            </w:tcBorders>
            <w:shd w:val="clear" w:color="auto" w:fill="F2F2F2"/>
          </w:tcPr>
          <w:p w14:paraId="444829FF"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SimSun" w:eastAsia="SimSun" w:hAnsi="SimSun" w:cs="SimSun" w:hint="eastAsia"/>
                <w:b/>
                <w:bCs/>
                <w:kern w:val="0"/>
                <w:sz w:val="16"/>
                <w:szCs w:val="16"/>
                <w:lang w:eastAsia="zh-CN"/>
                <w14:ligatures w14:val="none"/>
              </w:rPr>
              <w:t>排名最高的</w:t>
            </w:r>
            <w:r>
              <w:rPr>
                <w:rFonts w:ascii="Calibri" w:eastAsia="Times New Roman" w:hAnsi="Calibri" w:cs="Calibri"/>
                <w:b/>
                <w:bCs/>
                <w:kern w:val="0"/>
                <w:sz w:val="16"/>
                <w:szCs w:val="16"/>
                <w:lang w:eastAsia="en-GB"/>
                <w14:ligatures w14:val="none"/>
              </w:rPr>
              <w:t>大学   </w:t>
            </w:r>
          </w:p>
        </w:tc>
      </w:tr>
      <w:tr w:rsidR="00D61BF9" w14:paraId="50007FBF" w14:textId="77777777">
        <w:trPr>
          <w:trHeight w:val="285"/>
        </w:trPr>
        <w:tc>
          <w:tcPr>
            <w:tcW w:w="930" w:type="dxa"/>
            <w:vMerge/>
            <w:tcBorders>
              <w:top w:val="nil"/>
              <w:left w:val="single" w:sz="6" w:space="0" w:color="auto"/>
              <w:bottom w:val="single" w:sz="6" w:space="0" w:color="auto"/>
              <w:right w:val="single" w:sz="6" w:space="0" w:color="auto"/>
            </w:tcBorders>
            <w:vAlign w:val="center"/>
          </w:tcPr>
          <w:p w14:paraId="0C1E4DCE"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85" w:type="dxa"/>
            <w:vMerge/>
            <w:tcBorders>
              <w:top w:val="nil"/>
              <w:left w:val="single" w:sz="6" w:space="0" w:color="auto"/>
              <w:bottom w:val="single" w:sz="6" w:space="0" w:color="auto"/>
              <w:right w:val="single" w:sz="6" w:space="0" w:color="auto"/>
            </w:tcBorders>
            <w:vAlign w:val="center"/>
          </w:tcPr>
          <w:p w14:paraId="019B8C84"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25" w:type="dxa"/>
            <w:vMerge/>
            <w:tcBorders>
              <w:top w:val="nil"/>
              <w:left w:val="single" w:sz="6" w:space="0" w:color="auto"/>
              <w:bottom w:val="single" w:sz="6" w:space="0" w:color="auto"/>
              <w:right w:val="single" w:sz="6" w:space="0" w:color="auto"/>
            </w:tcBorders>
            <w:vAlign w:val="center"/>
          </w:tcPr>
          <w:p w14:paraId="476A4BAA"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40" w:type="dxa"/>
            <w:vMerge/>
            <w:tcBorders>
              <w:top w:val="nil"/>
              <w:left w:val="single" w:sz="6" w:space="0" w:color="auto"/>
              <w:bottom w:val="single" w:sz="6" w:space="0" w:color="auto"/>
              <w:right w:val="single" w:sz="6" w:space="0" w:color="auto"/>
            </w:tcBorders>
            <w:vAlign w:val="center"/>
          </w:tcPr>
          <w:p w14:paraId="53E59CF0"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615" w:type="dxa"/>
            <w:vMerge/>
            <w:tcBorders>
              <w:top w:val="nil"/>
              <w:left w:val="single" w:sz="6" w:space="0" w:color="auto"/>
              <w:bottom w:val="single" w:sz="6" w:space="0" w:color="auto"/>
              <w:right w:val="single" w:sz="6" w:space="0" w:color="auto"/>
            </w:tcBorders>
            <w:vAlign w:val="center"/>
          </w:tcPr>
          <w:p w14:paraId="2AC282DF"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720" w:type="dxa"/>
            <w:vMerge/>
            <w:tcBorders>
              <w:top w:val="nil"/>
              <w:left w:val="single" w:sz="6" w:space="0" w:color="auto"/>
              <w:bottom w:val="single" w:sz="6" w:space="0" w:color="auto"/>
              <w:right w:val="single" w:sz="6" w:space="0" w:color="auto"/>
            </w:tcBorders>
            <w:vAlign w:val="center"/>
          </w:tcPr>
          <w:p w14:paraId="03237D22"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55" w:type="dxa"/>
            <w:vMerge/>
            <w:tcBorders>
              <w:top w:val="nil"/>
              <w:left w:val="single" w:sz="6" w:space="0" w:color="auto"/>
              <w:bottom w:val="single" w:sz="6" w:space="0" w:color="auto"/>
              <w:right w:val="single" w:sz="6" w:space="0" w:color="auto"/>
            </w:tcBorders>
            <w:vAlign w:val="center"/>
          </w:tcPr>
          <w:p w14:paraId="038425D8"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435" w:type="dxa"/>
            <w:vMerge/>
            <w:tcBorders>
              <w:top w:val="nil"/>
              <w:left w:val="single" w:sz="6" w:space="0" w:color="auto"/>
              <w:bottom w:val="single" w:sz="6" w:space="0" w:color="auto"/>
              <w:right w:val="single" w:sz="6" w:space="0" w:color="auto"/>
            </w:tcBorders>
            <w:vAlign w:val="center"/>
          </w:tcPr>
          <w:p w14:paraId="7FAC948D"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25" w:type="dxa"/>
            <w:vMerge/>
            <w:tcBorders>
              <w:top w:val="nil"/>
              <w:left w:val="single" w:sz="6" w:space="0" w:color="auto"/>
              <w:bottom w:val="single" w:sz="6" w:space="0" w:color="auto"/>
              <w:right w:val="single" w:sz="6" w:space="0" w:color="auto"/>
            </w:tcBorders>
            <w:vAlign w:val="center"/>
          </w:tcPr>
          <w:p w14:paraId="1ACBE831"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525" w:type="dxa"/>
            <w:vMerge/>
            <w:tcBorders>
              <w:top w:val="nil"/>
              <w:left w:val="single" w:sz="6" w:space="0" w:color="auto"/>
              <w:bottom w:val="single" w:sz="6" w:space="0" w:color="auto"/>
              <w:right w:val="single" w:sz="6" w:space="0" w:color="auto"/>
            </w:tcBorders>
            <w:vAlign w:val="center"/>
          </w:tcPr>
          <w:p w14:paraId="1B9757A0" w14:textId="77777777" w:rsidR="00D61BF9" w:rsidRDefault="00D61BF9">
            <w:pPr>
              <w:spacing w:after="0" w:line="240" w:lineRule="auto"/>
              <w:rPr>
                <w:rFonts w:ascii="Segoe UI" w:eastAsia="Times New Roman" w:hAnsi="Segoe UI" w:cs="Segoe UI"/>
                <w:kern w:val="0"/>
                <w:sz w:val="18"/>
                <w:szCs w:val="18"/>
                <w:lang w:eastAsia="en-GB"/>
                <w14:ligatures w14:val="none"/>
              </w:rPr>
            </w:pPr>
          </w:p>
        </w:tc>
        <w:tc>
          <w:tcPr>
            <w:tcW w:w="2265" w:type="dxa"/>
            <w:tcBorders>
              <w:top w:val="nil"/>
              <w:left w:val="nil"/>
              <w:bottom w:val="single" w:sz="6" w:space="0" w:color="auto"/>
              <w:right w:val="single" w:sz="6" w:space="0" w:color="auto"/>
            </w:tcBorders>
            <w:shd w:val="clear" w:color="auto" w:fill="F2F2F2"/>
          </w:tcPr>
          <w:p w14:paraId="180954F7"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名称   </w:t>
            </w:r>
          </w:p>
        </w:tc>
        <w:tc>
          <w:tcPr>
            <w:tcW w:w="703" w:type="dxa"/>
            <w:tcBorders>
              <w:top w:val="nil"/>
              <w:left w:val="nil"/>
              <w:bottom w:val="single" w:sz="6" w:space="0" w:color="auto"/>
              <w:right w:val="single" w:sz="6" w:space="0" w:color="auto"/>
            </w:tcBorders>
            <w:shd w:val="clear" w:color="auto" w:fill="F2F2F2"/>
          </w:tcPr>
          <w:p w14:paraId="390D584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kern w:val="0"/>
                <w:sz w:val="16"/>
                <w:szCs w:val="16"/>
                <w:lang w:eastAsia="en-GB"/>
                <w14:ligatures w14:val="none"/>
              </w:rPr>
              <w:t>排名   </w:t>
            </w:r>
          </w:p>
        </w:tc>
      </w:tr>
      <w:tr w:rsidR="00D61BF9" w14:paraId="35485ECD" w14:textId="77777777">
        <w:trPr>
          <w:trHeight w:val="285"/>
        </w:trPr>
        <w:tc>
          <w:tcPr>
            <w:tcW w:w="930" w:type="dxa"/>
            <w:tcBorders>
              <w:top w:val="nil"/>
              <w:left w:val="single" w:sz="6" w:space="0" w:color="auto"/>
              <w:bottom w:val="single" w:sz="6" w:space="0" w:color="auto"/>
              <w:right w:val="single" w:sz="6" w:space="0" w:color="auto"/>
            </w:tcBorders>
          </w:tcPr>
          <w:p w14:paraId="3E31A811"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中国（</w:t>
            </w:r>
            <w:r>
              <w:rPr>
                <w:rFonts w:ascii="Calibri" w:eastAsia="SimSun" w:hAnsi="Calibri" w:cs="Calibri" w:hint="eastAsia"/>
                <w:kern w:val="0"/>
                <w:sz w:val="16"/>
                <w:szCs w:val="16"/>
                <w:lang w:eastAsia="zh-CN"/>
                <w14:ligatures w14:val="none"/>
              </w:rPr>
              <w:t>内地）</w:t>
            </w:r>
          </w:p>
        </w:tc>
        <w:tc>
          <w:tcPr>
            <w:tcW w:w="585" w:type="dxa"/>
            <w:tcBorders>
              <w:top w:val="nil"/>
              <w:left w:val="nil"/>
              <w:bottom w:val="single" w:sz="6" w:space="0" w:color="auto"/>
              <w:right w:val="single" w:sz="6" w:space="0" w:color="auto"/>
            </w:tcBorders>
          </w:tcPr>
          <w:p w14:paraId="12095A5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448   </w:t>
            </w:r>
          </w:p>
        </w:tc>
        <w:tc>
          <w:tcPr>
            <w:tcW w:w="525" w:type="dxa"/>
            <w:tcBorders>
              <w:top w:val="nil"/>
              <w:left w:val="nil"/>
              <w:bottom w:val="single" w:sz="6" w:space="0" w:color="auto"/>
              <w:right w:val="single" w:sz="6" w:space="0" w:color="auto"/>
            </w:tcBorders>
          </w:tcPr>
          <w:p w14:paraId="0BDA632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45%   </w:t>
            </w:r>
          </w:p>
        </w:tc>
        <w:tc>
          <w:tcPr>
            <w:tcW w:w="540" w:type="dxa"/>
            <w:tcBorders>
              <w:top w:val="nil"/>
              <w:left w:val="nil"/>
              <w:bottom w:val="single" w:sz="6" w:space="0" w:color="auto"/>
              <w:right w:val="single" w:sz="6" w:space="0" w:color="auto"/>
            </w:tcBorders>
          </w:tcPr>
          <w:p w14:paraId="541A18C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15%   </w:t>
            </w:r>
          </w:p>
        </w:tc>
        <w:tc>
          <w:tcPr>
            <w:tcW w:w="615" w:type="dxa"/>
            <w:tcBorders>
              <w:top w:val="nil"/>
              <w:left w:val="nil"/>
              <w:bottom w:val="single" w:sz="6" w:space="0" w:color="auto"/>
              <w:right w:val="single" w:sz="6" w:space="0" w:color="auto"/>
            </w:tcBorders>
          </w:tcPr>
          <w:p w14:paraId="08351C5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40%   </w:t>
            </w:r>
          </w:p>
        </w:tc>
        <w:tc>
          <w:tcPr>
            <w:tcW w:w="720" w:type="dxa"/>
            <w:tcBorders>
              <w:top w:val="nil"/>
              <w:left w:val="nil"/>
              <w:bottom w:val="single" w:sz="6" w:space="0" w:color="auto"/>
              <w:right w:val="single" w:sz="6" w:space="0" w:color="auto"/>
            </w:tcBorders>
          </w:tcPr>
          <w:p w14:paraId="788D79EA"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00B050"/>
                <w:kern w:val="0"/>
                <w:sz w:val="16"/>
                <w:szCs w:val="16"/>
                <w:lang w:eastAsia="en-GB"/>
                <w14:ligatures w14:val="none"/>
              </w:rPr>
              <w:t>5%   </w:t>
            </w:r>
          </w:p>
        </w:tc>
        <w:tc>
          <w:tcPr>
            <w:tcW w:w="555" w:type="dxa"/>
            <w:tcBorders>
              <w:top w:val="nil"/>
              <w:left w:val="nil"/>
              <w:bottom w:val="single" w:sz="6" w:space="0" w:color="auto"/>
              <w:right w:val="single" w:sz="6" w:space="0" w:color="auto"/>
            </w:tcBorders>
          </w:tcPr>
          <w:p w14:paraId="668B025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53   </w:t>
            </w:r>
          </w:p>
        </w:tc>
        <w:tc>
          <w:tcPr>
            <w:tcW w:w="435" w:type="dxa"/>
            <w:tcBorders>
              <w:top w:val="nil"/>
              <w:left w:val="nil"/>
              <w:bottom w:val="single" w:sz="6" w:space="0" w:color="auto"/>
              <w:right w:val="single" w:sz="6" w:space="0" w:color="auto"/>
            </w:tcBorders>
            <w:shd w:val="clear" w:color="auto" w:fill="E9E9E7"/>
          </w:tcPr>
          <w:p w14:paraId="7DE49E1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14   </w:t>
            </w:r>
          </w:p>
        </w:tc>
        <w:tc>
          <w:tcPr>
            <w:tcW w:w="525" w:type="dxa"/>
            <w:tcBorders>
              <w:top w:val="nil"/>
              <w:left w:val="nil"/>
              <w:bottom w:val="single" w:sz="6" w:space="0" w:color="auto"/>
              <w:right w:val="single" w:sz="6" w:space="0" w:color="auto"/>
            </w:tcBorders>
            <w:shd w:val="clear" w:color="auto" w:fill="E9E9E7"/>
          </w:tcPr>
          <w:p w14:paraId="4691A8D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28   </w:t>
            </w:r>
          </w:p>
        </w:tc>
        <w:tc>
          <w:tcPr>
            <w:tcW w:w="525" w:type="dxa"/>
            <w:tcBorders>
              <w:top w:val="nil"/>
              <w:left w:val="nil"/>
              <w:bottom w:val="single" w:sz="6" w:space="0" w:color="auto"/>
              <w:right w:val="single" w:sz="6" w:space="0" w:color="auto"/>
            </w:tcBorders>
            <w:shd w:val="clear" w:color="auto" w:fill="E9E9E7"/>
          </w:tcPr>
          <w:p w14:paraId="5D06AA2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121   </w:t>
            </w:r>
          </w:p>
        </w:tc>
        <w:tc>
          <w:tcPr>
            <w:tcW w:w="2265" w:type="dxa"/>
            <w:tcBorders>
              <w:top w:val="nil"/>
              <w:left w:val="nil"/>
              <w:bottom w:val="single" w:sz="6" w:space="0" w:color="auto"/>
              <w:right w:val="single" w:sz="6" w:space="0" w:color="auto"/>
            </w:tcBorders>
            <w:shd w:val="clear" w:color="auto" w:fill="F2F2F2"/>
          </w:tcPr>
          <w:p w14:paraId="63BA6B8A"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北京大学   </w:t>
            </w:r>
          </w:p>
        </w:tc>
        <w:tc>
          <w:tcPr>
            <w:tcW w:w="703" w:type="dxa"/>
            <w:tcBorders>
              <w:top w:val="nil"/>
              <w:left w:val="nil"/>
              <w:bottom w:val="single" w:sz="6" w:space="0" w:color="auto"/>
              <w:right w:val="single" w:sz="6" w:space="0" w:color="auto"/>
            </w:tcBorders>
            <w:shd w:val="clear" w:color="auto" w:fill="F2F2F2"/>
          </w:tcPr>
          <w:p w14:paraId="01BC710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   </w:t>
            </w:r>
          </w:p>
        </w:tc>
      </w:tr>
      <w:tr w:rsidR="00D61BF9" w14:paraId="5F512947" w14:textId="77777777">
        <w:trPr>
          <w:trHeight w:val="285"/>
        </w:trPr>
        <w:tc>
          <w:tcPr>
            <w:tcW w:w="930" w:type="dxa"/>
            <w:tcBorders>
              <w:top w:val="nil"/>
              <w:left w:val="single" w:sz="6" w:space="0" w:color="auto"/>
              <w:bottom w:val="single" w:sz="6" w:space="0" w:color="auto"/>
              <w:right w:val="single" w:sz="6" w:space="0" w:color="auto"/>
            </w:tcBorders>
          </w:tcPr>
          <w:p w14:paraId="3469A8BB"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印度   </w:t>
            </w:r>
          </w:p>
        </w:tc>
        <w:tc>
          <w:tcPr>
            <w:tcW w:w="585" w:type="dxa"/>
            <w:tcBorders>
              <w:top w:val="nil"/>
              <w:left w:val="nil"/>
              <w:bottom w:val="single" w:sz="6" w:space="0" w:color="auto"/>
              <w:right w:val="single" w:sz="6" w:space="0" w:color="auto"/>
            </w:tcBorders>
          </w:tcPr>
          <w:p w14:paraId="547AD8A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325   </w:t>
            </w:r>
          </w:p>
        </w:tc>
        <w:tc>
          <w:tcPr>
            <w:tcW w:w="525" w:type="dxa"/>
            <w:tcBorders>
              <w:top w:val="nil"/>
              <w:left w:val="nil"/>
              <w:bottom w:val="single" w:sz="6" w:space="0" w:color="auto"/>
              <w:right w:val="single" w:sz="6" w:space="0" w:color="auto"/>
            </w:tcBorders>
          </w:tcPr>
          <w:p w14:paraId="07D5C2B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18%   </w:t>
            </w:r>
          </w:p>
        </w:tc>
        <w:tc>
          <w:tcPr>
            <w:tcW w:w="540" w:type="dxa"/>
            <w:tcBorders>
              <w:top w:val="nil"/>
              <w:left w:val="nil"/>
              <w:bottom w:val="single" w:sz="6" w:space="0" w:color="auto"/>
              <w:right w:val="single" w:sz="6" w:space="0" w:color="auto"/>
            </w:tcBorders>
          </w:tcPr>
          <w:p w14:paraId="2E9C276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11%   </w:t>
            </w:r>
          </w:p>
        </w:tc>
        <w:tc>
          <w:tcPr>
            <w:tcW w:w="615" w:type="dxa"/>
            <w:tcBorders>
              <w:top w:val="nil"/>
              <w:left w:val="nil"/>
              <w:bottom w:val="single" w:sz="6" w:space="0" w:color="auto"/>
              <w:right w:val="single" w:sz="6" w:space="0" w:color="auto"/>
            </w:tcBorders>
          </w:tcPr>
          <w:p w14:paraId="37A1298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71%   </w:t>
            </w:r>
          </w:p>
        </w:tc>
        <w:tc>
          <w:tcPr>
            <w:tcW w:w="720" w:type="dxa"/>
            <w:tcBorders>
              <w:top w:val="nil"/>
              <w:left w:val="nil"/>
              <w:bottom w:val="single" w:sz="6" w:space="0" w:color="auto"/>
              <w:right w:val="single" w:sz="6" w:space="0" w:color="auto"/>
            </w:tcBorders>
          </w:tcPr>
          <w:p w14:paraId="3CC240CF"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-54%   </w:t>
            </w:r>
          </w:p>
        </w:tc>
        <w:tc>
          <w:tcPr>
            <w:tcW w:w="555" w:type="dxa"/>
            <w:tcBorders>
              <w:top w:val="nil"/>
              <w:left w:val="nil"/>
              <w:bottom w:val="single" w:sz="6" w:space="0" w:color="auto"/>
              <w:right w:val="single" w:sz="6" w:space="0" w:color="auto"/>
            </w:tcBorders>
          </w:tcPr>
          <w:p w14:paraId="033D243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34   </w:t>
            </w:r>
          </w:p>
        </w:tc>
        <w:tc>
          <w:tcPr>
            <w:tcW w:w="435" w:type="dxa"/>
            <w:tcBorders>
              <w:top w:val="nil"/>
              <w:left w:val="nil"/>
              <w:bottom w:val="single" w:sz="6" w:space="0" w:color="auto"/>
              <w:right w:val="single" w:sz="6" w:space="0" w:color="auto"/>
            </w:tcBorders>
            <w:shd w:val="clear" w:color="auto" w:fill="E9E9E7"/>
          </w:tcPr>
          <w:p w14:paraId="5BA2EB6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w:t>
            </w:r>
          </w:p>
        </w:tc>
        <w:tc>
          <w:tcPr>
            <w:tcW w:w="525" w:type="dxa"/>
            <w:tcBorders>
              <w:top w:val="nil"/>
              <w:left w:val="nil"/>
              <w:bottom w:val="single" w:sz="6" w:space="0" w:color="auto"/>
              <w:right w:val="single" w:sz="6" w:space="0" w:color="auto"/>
            </w:tcBorders>
            <w:shd w:val="clear" w:color="auto" w:fill="E9E9E7"/>
          </w:tcPr>
          <w:p w14:paraId="142CD83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6   </w:t>
            </w:r>
          </w:p>
        </w:tc>
        <w:tc>
          <w:tcPr>
            <w:tcW w:w="525" w:type="dxa"/>
            <w:tcBorders>
              <w:top w:val="nil"/>
              <w:left w:val="nil"/>
              <w:bottom w:val="single" w:sz="6" w:space="0" w:color="auto"/>
              <w:right w:val="single" w:sz="6" w:space="0" w:color="auto"/>
            </w:tcBorders>
            <w:shd w:val="clear" w:color="auto" w:fill="E9E9E7"/>
          </w:tcPr>
          <w:p w14:paraId="176E5BC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67   </w:t>
            </w:r>
          </w:p>
        </w:tc>
        <w:tc>
          <w:tcPr>
            <w:tcW w:w="2265" w:type="dxa"/>
            <w:tcBorders>
              <w:top w:val="nil"/>
              <w:left w:val="nil"/>
              <w:bottom w:val="single" w:sz="6" w:space="0" w:color="auto"/>
              <w:right w:val="single" w:sz="6" w:space="0" w:color="auto"/>
            </w:tcBorders>
            <w:shd w:val="clear" w:color="auto" w:fill="F2F2F2"/>
          </w:tcPr>
          <w:p w14:paraId="7FC4309E"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德里印度理工学院（IITD）   </w:t>
            </w:r>
          </w:p>
        </w:tc>
        <w:tc>
          <w:tcPr>
            <w:tcW w:w="703" w:type="dxa"/>
            <w:tcBorders>
              <w:top w:val="nil"/>
              <w:left w:val="nil"/>
              <w:bottom w:val="single" w:sz="6" w:space="0" w:color="auto"/>
              <w:right w:val="single" w:sz="6" w:space="0" w:color="auto"/>
            </w:tcBorders>
            <w:shd w:val="clear" w:color="auto" w:fill="F2F2F2"/>
          </w:tcPr>
          <w:p w14:paraId="248A0E3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66   </w:t>
            </w:r>
          </w:p>
        </w:tc>
      </w:tr>
      <w:tr w:rsidR="00D61BF9" w14:paraId="70510610" w14:textId="77777777">
        <w:trPr>
          <w:trHeight w:val="285"/>
        </w:trPr>
        <w:tc>
          <w:tcPr>
            <w:tcW w:w="930" w:type="dxa"/>
            <w:tcBorders>
              <w:top w:val="nil"/>
              <w:left w:val="single" w:sz="6" w:space="0" w:color="auto"/>
              <w:bottom w:val="single" w:sz="6" w:space="0" w:color="auto"/>
              <w:right w:val="single" w:sz="6" w:space="0" w:color="auto"/>
            </w:tcBorders>
          </w:tcPr>
          <w:p w14:paraId="47A970F1"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日本   </w:t>
            </w:r>
          </w:p>
        </w:tc>
        <w:tc>
          <w:tcPr>
            <w:tcW w:w="585" w:type="dxa"/>
            <w:tcBorders>
              <w:top w:val="nil"/>
              <w:left w:val="nil"/>
              <w:bottom w:val="single" w:sz="6" w:space="0" w:color="auto"/>
              <w:right w:val="single" w:sz="6" w:space="0" w:color="auto"/>
            </w:tcBorders>
          </w:tcPr>
          <w:p w14:paraId="4A5EB9D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153   </w:t>
            </w:r>
          </w:p>
        </w:tc>
        <w:tc>
          <w:tcPr>
            <w:tcW w:w="525" w:type="dxa"/>
            <w:tcBorders>
              <w:top w:val="nil"/>
              <w:left w:val="nil"/>
              <w:bottom w:val="single" w:sz="6" w:space="0" w:color="auto"/>
              <w:right w:val="single" w:sz="6" w:space="0" w:color="auto"/>
            </w:tcBorders>
          </w:tcPr>
          <w:p w14:paraId="2F0B993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7%   </w:t>
            </w:r>
          </w:p>
        </w:tc>
        <w:tc>
          <w:tcPr>
            <w:tcW w:w="540" w:type="dxa"/>
            <w:tcBorders>
              <w:top w:val="nil"/>
              <w:left w:val="nil"/>
              <w:bottom w:val="single" w:sz="6" w:space="0" w:color="auto"/>
              <w:right w:val="single" w:sz="6" w:space="0" w:color="auto"/>
            </w:tcBorders>
          </w:tcPr>
          <w:p w14:paraId="6B008F7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8%   </w:t>
            </w:r>
          </w:p>
        </w:tc>
        <w:tc>
          <w:tcPr>
            <w:tcW w:w="615" w:type="dxa"/>
            <w:tcBorders>
              <w:top w:val="nil"/>
              <w:left w:val="nil"/>
              <w:bottom w:val="single" w:sz="6" w:space="0" w:color="auto"/>
              <w:right w:val="single" w:sz="6" w:space="0" w:color="auto"/>
            </w:tcBorders>
          </w:tcPr>
          <w:p w14:paraId="0F8DB27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85%   </w:t>
            </w:r>
          </w:p>
        </w:tc>
        <w:tc>
          <w:tcPr>
            <w:tcW w:w="720" w:type="dxa"/>
            <w:tcBorders>
              <w:top w:val="nil"/>
              <w:left w:val="nil"/>
              <w:bottom w:val="single" w:sz="6" w:space="0" w:color="auto"/>
              <w:right w:val="single" w:sz="6" w:space="0" w:color="auto"/>
            </w:tcBorders>
          </w:tcPr>
          <w:p w14:paraId="4A03284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-78%   </w:t>
            </w:r>
          </w:p>
        </w:tc>
        <w:tc>
          <w:tcPr>
            <w:tcW w:w="555" w:type="dxa"/>
            <w:tcBorders>
              <w:top w:val="nil"/>
              <w:left w:val="nil"/>
              <w:bottom w:val="single" w:sz="6" w:space="0" w:color="auto"/>
              <w:right w:val="single" w:sz="6" w:space="0" w:color="auto"/>
            </w:tcBorders>
          </w:tcPr>
          <w:p w14:paraId="762C674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8   </w:t>
            </w:r>
          </w:p>
        </w:tc>
        <w:tc>
          <w:tcPr>
            <w:tcW w:w="435" w:type="dxa"/>
            <w:tcBorders>
              <w:top w:val="nil"/>
              <w:left w:val="nil"/>
              <w:bottom w:val="single" w:sz="6" w:space="0" w:color="auto"/>
              <w:right w:val="single" w:sz="6" w:space="0" w:color="auto"/>
            </w:tcBorders>
            <w:shd w:val="clear" w:color="auto" w:fill="E9E9E7"/>
          </w:tcPr>
          <w:p w14:paraId="20841AC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8   </w:t>
            </w:r>
          </w:p>
        </w:tc>
        <w:tc>
          <w:tcPr>
            <w:tcW w:w="525" w:type="dxa"/>
            <w:tcBorders>
              <w:top w:val="nil"/>
              <w:left w:val="nil"/>
              <w:bottom w:val="single" w:sz="6" w:space="0" w:color="auto"/>
              <w:right w:val="single" w:sz="6" w:space="0" w:color="auto"/>
            </w:tcBorders>
            <w:shd w:val="clear" w:color="auto" w:fill="E9E9E7"/>
          </w:tcPr>
          <w:p w14:paraId="0704902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12   </w:t>
            </w:r>
          </w:p>
        </w:tc>
        <w:tc>
          <w:tcPr>
            <w:tcW w:w="525" w:type="dxa"/>
            <w:tcBorders>
              <w:top w:val="nil"/>
              <w:left w:val="nil"/>
              <w:bottom w:val="single" w:sz="6" w:space="0" w:color="auto"/>
              <w:right w:val="single" w:sz="6" w:space="0" w:color="auto"/>
            </w:tcBorders>
            <w:shd w:val="clear" w:color="auto" w:fill="E9E9E7"/>
          </w:tcPr>
          <w:p w14:paraId="551BCB3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43   </w:t>
            </w:r>
          </w:p>
        </w:tc>
        <w:tc>
          <w:tcPr>
            <w:tcW w:w="2265" w:type="dxa"/>
            <w:tcBorders>
              <w:top w:val="nil"/>
              <w:left w:val="nil"/>
              <w:bottom w:val="single" w:sz="6" w:space="0" w:color="auto"/>
              <w:right w:val="single" w:sz="6" w:space="0" w:color="auto"/>
            </w:tcBorders>
            <w:shd w:val="clear" w:color="auto" w:fill="F2F2F2"/>
          </w:tcPr>
          <w:p w14:paraId="264EDD29"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东京大学   </w:t>
            </w:r>
          </w:p>
        </w:tc>
        <w:tc>
          <w:tcPr>
            <w:tcW w:w="703" w:type="dxa"/>
            <w:tcBorders>
              <w:top w:val="nil"/>
              <w:left w:val="nil"/>
              <w:bottom w:val="single" w:sz="6" w:space="0" w:color="auto"/>
              <w:right w:val="single" w:sz="6" w:space="0" w:color="auto"/>
            </w:tcBorders>
            <w:shd w:val="clear" w:color="auto" w:fill="F2F2F2"/>
          </w:tcPr>
          <w:p w14:paraId="3A8736E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27   </w:t>
            </w:r>
          </w:p>
        </w:tc>
      </w:tr>
      <w:tr w:rsidR="00D61BF9" w14:paraId="43B19784" w14:textId="77777777">
        <w:trPr>
          <w:trHeight w:val="285"/>
        </w:trPr>
        <w:tc>
          <w:tcPr>
            <w:tcW w:w="930" w:type="dxa"/>
            <w:tcBorders>
              <w:top w:val="nil"/>
              <w:left w:val="single" w:sz="6" w:space="0" w:color="auto"/>
              <w:bottom w:val="single" w:sz="6" w:space="0" w:color="auto"/>
              <w:right w:val="single" w:sz="6" w:space="0" w:color="auto"/>
            </w:tcBorders>
          </w:tcPr>
          <w:p w14:paraId="6F629A15"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印度尼西亚   </w:t>
            </w:r>
          </w:p>
        </w:tc>
        <w:tc>
          <w:tcPr>
            <w:tcW w:w="585" w:type="dxa"/>
            <w:tcBorders>
              <w:top w:val="nil"/>
              <w:left w:val="nil"/>
              <w:bottom w:val="single" w:sz="6" w:space="0" w:color="auto"/>
              <w:right w:val="single" w:sz="6" w:space="0" w:color="auto"/>
            </w:tcBorders>
          </w:tcPr>
          <w:p w14:paraId="34BE04A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116   </w:t>
            </w:r>
          </w:p>
        </w:tc>
        <w:tc>
          <w:tcPr>
            <w:tcW w:w="525" w:type="dxa"/>
            <w:tcBorders>
              <w:top w:val="nil"/>
              <w:left w:val="nil"/>
              <w:bottom w:val="single" w:sz="6" w:space="0" w:color="auto"/>
              <w:right w:val="single" w:sz="6" w:space="0" w:color="auto"/>
            </w:tcBorders>
          </w:tcPr>
          <w:p w14:paraId="78C5393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21%   </w:t>
            </w:r>
          </w:p>
        </w:tc>
        <w:tc>
          <w:tcPr>
            <w:tcW w:w="540" w:type="dxa"/>
            <w:tcBorders>
              <w:top w:val="nil"/>
              <w:left w:val="nil"/>
              <w:bottom w:val="single" w:sz="6" w:space="0" w:color="auto"/>
              <w:right w:val="single" w:sz="6" w:space="0" w:color="auto"/>
            </w:tcBorders>
          </w:tcPr>
          <w:p w14:paraId="41317FF9"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9%   </w:t>
            </w:r>
          </w:p>
        </w:tc>
        <w:tc>
          <w:tcPr>
            <w:tcW w:w="615" w:type="dxa"/>
            <w:tcBorders>
              <w:top w:val="nil"/>
              <w:left w:val="nil"/>
              <w:bottom w:val="single" w:sz="6" w:space="0" w:color="auto"/>
              <w:right w:val="single" w:sz="6" w:space="0" w:color="auto"/>
            </w:tcBorders>
          </w:tcPr>
          <w:p w14:paraId="230750E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70%   </w:t>
            </w:r>
          </w:p>
        </w:tc>
        <w:tc>
          <w:tcPr>
            <w:tcW w:w="720" w:type="dxa"/>
            <w:tcBorders>
              <w:top w:val="nil"/>
              <w:left w:val="nil"/>
              <w:bottom w:val="single" w:sz="6" w:space="0" w:color="auto"/>
              <w:right w:val="single" w:sz="6" w:space="0" w:color="auto"/>
            </w:tcBorders>
          </w:tcPr>
          <w:p w14:paraId="6AB7281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-49%   </w:t>
            </w:r>
          </w:p>
        </w:tc>
        <w:tc>
          <w:tcPr>
            <w:tcW w:w="555" w:type="dxa"/>
            <w:tcBorders>
              <w:top w:val="nil"/>
              <w:left w:val="nil"/>
              <w:bottom w:val="single" w:sz="6" w:space="0" w:color="auto"/>
              <w:right w:val="single" w:sz="6" w:space="0" w:color="auto"/>
            </w:tcBorders>
          </w:tcPr>
          <w:p w14:paraId="0F89344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22   </w:t>
            </w:r>
          </w:p>
        </w:tc>
        <w:tc>
          <w:tcPr>
            <w:tcW w:w="435" w:type="dxa"/>
            <w:tcBorders>
              <w:top w:val="nil"/>
              <w:left w:val="nil"/>
              <w:bottom w:val="single" w:sz="6" w:space="0" w:color="auto"/>
              <w:right w:val="single" w:sz="6" w:space="0" w:color="auto"/>
            </w:tcBorders>
            <w:shd w:val="clear" w:color="auto" w:fill="E9E9E7"/>
          </w:tcPr>
          <w:p w14:paraId="1DA827D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w:t>
            </w:r>
          </w:p>
        </w:tc>
        <w:tc>
          <w:tcPr>
            <w:tcW w:w="525" w:type="dxa"/>
            <w:tcBorders>
              <w:top w:val="nil"/>
              <w:left w:val="nil"/>
              <w:bottom w:val="single" w:sz="6" w:space="0" w:color="auto"/>
              <w:right w:val="single" w:sz="6" w:space="0" w:color="auto"/>
            </w:tcBorders>
            <w:shd w:val="clear" w:color="auto" w:fill="E9E9E7"/>
          </w:tcPr>
          <w:p w14:paraId="570C5F7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   </w:t>
            </w:r>
          </w:p>
        </w:tc>
        <w:tc>
          <w:tcPr>
            <w:tcW w:w="525" w:type="dxa"/>
            <w:tcBorders>
              <w:top w:val="nil"/>
              <w:left w:val="nil"/>
              <w:bottom w:val="single" w:sz="6" w:space="0" w:color="auto"/>
              <w:right w:val="single" w:sz="6" w:space="0" w:color="auto"/>
            </w:tcBorders>
            <w:shd w:val="clear" w:color="auto" w:fill="E9E9E7"/>
          </w:tcPr>
          <w:p w14:paraId="10B6DFE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20   </w:t>
            </w:r>
          </w:p>
        </w:tc>
        <w:tc>
          <w:tcPr>
            <w:tcW w:w="2265" w:type="dxa"/>
            <w:tcBorders>
              <w:top w:val="nil"/>
              <w:left w:val="nil"/>
              <w:bottom w:val="single" w:sz="6" w:space="0" w:color="auto"/>
              <w:right w:val="single" w:sz="6" w:space="0" w:color="auto"/>
            </w:tcBorders>
            <w:shd w:val="clear" w:color="auto" w:fill="F2F2F2"/>
          </w:tcPr>
          <w:p w14:paraId="52B75C15"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加贾马达大学   </w:t>
            </w:r>
          </w:p>
        </w:tc>
        <w:tc>
          <w:tcPr>
            <w:tcW w:w="703" w:type="dxa"/>
            <w:tcBorders>
              <w:top w:val="nil"/>
              <w:left w:val="nil"/>
              <w:bottom w:val="single" w:sz="6" w:space="0" w:color="auto"/>
              <w:right w:val="single" w:sz="6" w:space="0" w:color="auto"/>
            </w:tcBorders>
            <w:shd w:val="clear" w:color="auto" w:fill="F2F2F2"/>
          </w:tcPr>
          <w:p w14:paraId="5F5464F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53   </w:t>
            </w:r>
          </w:p>
        </w:tc>
      </w:tr>
      <w:tr w:rsidR="00D61BF9" w14:paraId="3CF46119" w14:textId="77777777">
        <w:trPr>
          <w:trHeight w:val="285"/>
        </w:trPr>
        <w:tc>
          <w:tcPr>
            <w:tcW w:w="930" w:type="dxa"/>
            <w:tcBorders>
              <w:top w:val="nil"/>
              <w:left w:val="single" w:sz="6" w:space="0" w:color="auto"/>
              <w:bottom w:val="single" w:sz="6" w:space="0" w:color="auto"/>
              <w:right w:val="single" w:sz="6" w:space="0" w:color="auto"/>
            </w:tcBorders>
          </w:tcPr>
          <w:p w14:paraId="0F0E899C"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韩国   </w:t>
            </w:r>
          </w:p>
        </w:tc>
        <w:tc>
          <w:tcPr>
            <w:tcW w:w="585" w:type="dxa"/>
            <w:tcBorders>
              <w:top w:val="nil"/>
              <w:left w:val="nil"/>
              <w:bottom w:val="single" w:sz="6" w:space="0" w:color="auto"/>
              <w:right w:val="single" w:sz="6" w:space="0" w:color="auto"/>
            </w:tcBorders>
          </w:tcPr>
          <w:p w14:paraId="3BC1D34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108   </w:t>
            </w:r>
          </w:p>
        </w:tc>
        <w:tc>
          <w:tcPr>
            <w:tcW w:w="525" w:type="dxa"/>
            <w:tcBorders>
              <w:top w:val="nil"/>
              <w:left w:val="nil"/>
              <w:bottom w:val="single" w:sz="6" w:space="0" w:color="auto"/>
              <w:right w:val="single" w:sz="6" w:space="0" w:color="auto"/>
            </w:tcBorders>
          </w:tcPr>
          <w:p w14:paraId="15D4229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35%   </w:t>
            </w:r>
          </w:p>
        </w:tc>
        <w:tc>
          <w:tcPr>
            <w:tcW w:w="540" w:type="dxa"/>
            <w:tcBorders>
              <w:top w:val="nil"/>
              <w:left w:val="nil"/>
              <w:bottom w:val="single" w:sz="6" w:space="0" w:color="auto"/>
              <w:right w:val="single" w:sz="6" w:space="0" w:color="auto"/>
            </w:tcBorders>
          </w:tcPr>
          <w:p w14:paraId="063ED63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9%   </w:t>
            </w:r>
          </w:p>
        </w:tc>
        <w:tc>
          <w:tcPr>
            <w:tcW w:w="615" w:type="dxa"/>
            <w:tcBorders>
              <w:top w:val="nil"/>
              <w:left w:val="nil"/>
              <w:bottom w:val="single" w:sz="6" w:space="0" w:color="auto"/>
              <w:right w:val="single" w:sz="6" w:space="0" w:color="auto"/>
            </w:tcBorders>
          </w:tcPr>
          <w:p w14:paraId="33ADB98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56%   </w:t>
            </w:r>
          </w:p>
        </w:tc>
        <w:tc>
          <w:tcPr>
            <w:tcW w:w="720" w:type="dxa"/>
            <w:tcBorders>
              <w:top w:val="nil"/>
              <w:left w:val="nil"/>
              <w:bottom w:val="single" w:sz="6" w:space="0" w:color="auto"/>
              <w:right w:val="single" w:sz="6" w:space="0" w:color="auto"/>
            </w:tcBorders>
          </w:tcPr>
          <w:p w14:paraId="2AB341F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-21%   </w:t>
            </w:r>
          </w:p>
        </w:tc>
        <w:tc>
          <w:tcPr>
            <w:tcW w:w="555" w:type="dxa"/>
            <w:tcBorders>
              <w:top w:val="nil"/>
              <w:left w:val="nil"/>
              <w:bottom w:val="single" w:sz="6" w:space="0" w:color="auto"/>
              <w:right w:val="single" w:sz="6" w:space="0" w:color="auto"/>
            </w:tcBorders>
          </w:tcPr>
          <w:p w14:paraId="39F5827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   </w:t>
            </w:r>
          </w:p>
        </w:tc>
        <w:tc>
          <w:tcPr>
            <w:tcW w:w="435" w:type="dxa"/>
            <w:tcBorders>
              <w:top w:val="nil"/>
              <w:left w:val="nil"/>
              <w:bottom w:val="single" w:sz="6" w:space="0" w:color="auto"/>
              <w:right w:val="single" w:sz="6" w:space="0" w:color="auto"/>
            </w:tcBorders>
            <w:shd w:val="clear" w:color="auto" w:fill="E9E9E7"/>
          </w:tcPr>
          <w:p w14:paraId="1A9B90E9"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8   </w:t>
            </w:r>
          </w:p>
        </w:tc>
        <w:tc>
          <w:tcPr>
            <w:tcW w:w="525" w:type="dxa"/>
            <w:tcBorders>
              <w:top w:val="nil"/>
              <w:left w:val="nil"/>
              <w:bottom w:val="single" w:sz="6" w:space="0" w:color="auto"/>
              <w:right w:val="single" w:sz="6" w:space="0" w:color="auto"/>
            </w:tcBorders>
            <w:shd w:val="clear" w:color="auto" w:fill="E9E9E7"/>
          </w:tcPr>
          <w:p w14:paraId="5D13078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14   </w:t>
            </w:r>
          </w:p>
        </w:tc>
        <w:tc>
          <w:tcPr>
            <w:tcW w:w="525" w:type="dxa"/>
            <w:tcBorders>
              <w:top w:val="nil"/>
              <w:left w:val="nil"/>
              <w:bottom w:val="single" w:sz="6" w:space="0" w:color="auto"/>
              <w:right w:val="single" w:sz="6" w:space="0" w:color="auto"/>
            </w:tcBorders>
            <w:shd w:val="clear" w:color="auto" w:fill="E9E9E7"/>
          </w:tcPr>
          <w:p w14:paraId="3E14611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46   </w:t>
            </w:r>
          </w:p>
        </w:tc>
        <w:tc>
          <w:tcPr>
            <w:tcW w:w="2265" w:type="dxa"/>
            <w:tcBorders>
              <w:top w:val="nil"/>
              <w:left w:val="nil"/>
              <w:bottom w:val="single" w:sz="6" w:space="0" w:color="auto"/>
              <w:right w:val="single" w:sz="6" w:space="0" w:color="auto"/>
            </w:tcBorders>
            <w:shd w:val="clear" w:color="auto" w:fill="F2F2F2"/>
          </w:tcPr>
          <w:p w14:paraId="2EDD9F26"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延世大学   </w:t>
            </w:r>
          </w:p>
        </w:tc>
        <w:tc>
          <w:tcPr>
            <w:tcW w:w="703" w:type="dxa"/>
            <w:tcBorders>
              <w:top w:val="nil"/>
              <w:left w:val="nil"/>
              <w:bottom w:val="single" w:sz="6" w:space="0" w:color="auto"/>
              <w:right w:val="single" w:sz="6" w:space="0" w:color="auto"/>
            </w:tcBorders>
            <w:shd w:val="clear" w:color="auto" w:fill="F2F2F2"/>
          </w:tcPr>
          <w:p w14:paraId="072F4EF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11   </w:t>
            </w:r>
          </w:p>
        </w:tc>
      </w:tr>
      <w:tr w:rsidR="00D61BF9" w14:paraId="45558D79" w14:textId="77777777">
        <w:trPr>
          <w:trHeight w:val="285"/>
        </w:trPr>
        <w:tc>
          <w:tcPr>
            <w:tcW w:w="930" w:type="dxa"/>
            <w:tcBorders>
              <w:top w:val="nil"/>
              <w:left w:val="single" w:sz="6" w:space="0" w:color="auto"/>
              <w:bottom w:val="single" w:sz="6" w:space="0" w:color="auto"/>
              <w:right w:val="single" w:sz="6" w:space="0" w:color="auto"/>
            </w:tcBorders>
          </w:tcPr>
          <w:p w14:paraId="063DC4FE"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巴基斯坦   </w:t>
            </w:r>
          </w:p>
        </w:tc>
        <w:tc>
          <w:tcPr>
            <w:tcW w:w="585" w:type="dxa"/>
            <w:tcBorders>
              <w:top w:val="nil"/>
              <w:left w:val="nil"/>
              <w:bottom w:val="single" w:sz="6" w:space="0" w:color="auto"/>
              <w:right w:val="single" w:sz="6" w:space="0" w:color="auto"/>
            </w:tcBorders>
          </w:tcPr>
          <w:p w14:paraId="0ABAEDA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90   </w:t>
            </w:r>
          </w:p>
        </w:tc>
        <w:tc>
          <w:tcPr>
            <w:tcW w:w="525" w:type="dxa"/>
            <w:tcBorders>
              <w:top w:val="nil"/>
              <w:left w:val="nil"/>
              <w:bottom w:val="single" w:sz="6" w:space="0" w:color="auto"/>
              <w:right w:val="single" w:sz="6" w:space="0" w:color="auto"/>
            </w:tcBorders>
          </w:tcPr>
          <w:p w14:paraId="403B43E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24%   </w:t>
            </w:r>
          </w:p>
        </w:tc>
        <w:tc>
          <w:tcPr>
            <w:tcW w:w="540" w:type="dxa"/>
            <w:tcBorders>
              <w:top w:val="nil"/>
              <w:left w:val="nil"/>
              <w:bottom w:val="single" w:sz="6" w:space="0" w:color="auto"/>
              <w:right w:val="single" w:sz="6" w:space="0" w:color="auto"/>
            </w:tcBorders>
          </w:tcPr>
          <w:p w14:paraId="3CA7FB6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10%   </w:t>
            </w:r>
          </w:p>
        </w:tc>
        <w:tc>
          <w:tcPr>
            <w:tcW w:w="615" w:type="dxa"/>
            <w:tcBorders>
              <w:top w:val="nil"/>
              <w:left w:val="nil"/>
              <w:bottom w:val="single" w:sz="6" w:space="0" w:color="auto"/>
              <w:right w:val="single" w:sz="6" w:space="0" w:color="auto"/>
            </w:tcBorders>
          </w:tcPr>
          <w:p w14:paraId="1363C6F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66%   </w:t>
            </w:r>
          </w:p>
        </w:tc>
        <w:tc>
          <w:tcPr>
            <w:tcW w:w="720" w:type="dxa"/>
            <w:tcBorders>
              <w:top w:val="nil"/>
              <w:left w:val="nil"/>
              <w:bottom w:val="single" w:sz="6" w:space="0" w:color="auto"/>
              <w:right w:val="single" w:sz="6" w:space="0" w:color="auto"/>
            </w:tcBorders>
          </w:tcPr>
          <w:p w14:paraId="75D53FA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-42%   </w:t>
            </w:r>
          </w:p>
        </w:tc>
        <w:tc>
          <w:tcPr>
            <w:tcW w:w="555" w:type="dxa"/>
            <w:tcBorders>
              <w:top w:val="nil"/>
              <w:left w:val="nil"/>
              <w:bottom w:val="single" w:sz="6" w:space="0" w:color="auto"/>
              <w:right w:val="single" w:sz="6" w:space="0" w:color="auto"/>
            </w:tcBorders>
          </w:tcPr>
          <w:p w14:paraId="10F7096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7   </w:t>
            </w:r>
          </w:p>
        </w:tc>
        <w:tc>
          <w:tcPr>
            <w:tcW w:w="435" w:type="dxa"/>
            <w:tcBorders>
              <w:top w:val="nil"/>
              <w:left w:val="nil"/>
              <w:bottom w:val="single" w:sz="6" w:space="0" w:color="auto"/>
              <w:right w:val="single" w:sz="6" w:space="0" w:color="auto"/>
            </w:tcBorders>
            <w:shd w:val="clear" w:color="auto" w:fill="E9E9E7"/>
          </w:tcPr>
          <w:p w14:paraId="702FE53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w:t>
            </w:r>
          </w:p>
        </w:tc>
        <w:tc>
          <w:tcPr>
            <w:tcW w:w="525" w:type="dxa"/>
            <w:tcBorders>
              <w:top w:val="nil"/>
              <w:left w:val="nil"/>
              <w:bottom w:val="single" w:sz="6" w:space="0" w:color="auto"/>
              <w:right w:val="single" w:sz="6" w:space="0" w:color="auto"/>
            </w:tcBorders>
            <w:shd w:val="clear" w:color="auto" w:fill="E9E9E7"/>
          </w:tcPr>
          <w:p w14:paraId="78796F6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   </w:t>
            </w:r>
          </w:p>
        </w:tc>
        <w:tc>
          <w:tcPr>
            <w:tcW w:w="525" w:type="dxa"/>
            <w:tcBorders>
              <w:top w:val="nil"/>
              <w:left w:val="nil"/>
              <w:bottom w:val="single" w:sz="6" w:space="0" w:color="auto"/>
              <w:right w:val="single" w:sz="6" w:space="0" w:color="auto"/>
            </w:tcBorders>
            <w:shd w:val="clear" w:color="auto" w:fill="E9E9E7"/>
          </w:tcPr>
          <w:p w14:paraId="65B3CF8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28   </w:t>
            </w:r>
          </w:p>
        </w:tc>
        <w:tc>
          <w:tcPr>
            <w:tcW w:w="2265" w:type="dxa"/>
            <w:tcBorders>
              <w:top w:val="nil"/>
              <w:left w:val="nil"/>
              <w:bottom w:val="single" w:sz="6" w:space="0" w:color="auto"/>
              <w:right w:val="single" w:sz="6" w:space="0" w:color="auto"/>
            </w:tcBorders>
            <w:shd w:val="clear" w:color="auto" w:fill="F2F2F2"/>
          </w:tcPr>
          <w:p w14:paraId="3E2C8944"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伊斯兰堡国立科技大学   </w:t>
            </w:r>
          </w:p>
        </w:tc>
        <w:tc>
          <w:tcPr>
            <w:tcW w:w="703" w:type="dxa"/>
            <w:tcBorders>
              <w:top w:val="nil"/>
              <w:left w:val="nil"/>
              <w:bottom w:val="single" w:sz="6" w:space="0" w:color="auto"/>
              <w:right w:val="single" w:sz="6" w:space="0" w:color="auto"/>
            </w:tcBorders>
            <w:shd w:val="clear" w:color="auto" w:fill="F2F2F2"/>
          </w:tcPr>
          <w:p w14:paraId="4D9AC3C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76   </w:t>
            </w:r>
          </w:p>
        </w:tc>
      </w:tr>
      <w:tr w:rsidR="00D61BF9" w14:paraId="469DABFF" w14:textId="77777777">
        <w:trPr>
          <w:trHeight w:val="285"/>
        </w:trPr>
        <w:tc>
          <w:tcPr>
            <w:tcW w:w="930" w:type="dxa"/>
            <w:tcBorders>
              <w:top w:val="nil"/>
              <w:left w:val="single" w:sz="6" w:space="0" w:color="auto"/>
              <w:bottom w:val="single" w:sz="6" w:space="0" w:color="auto"/>
              <w:right w:val="single" w:sz="6" w:space="0" w:color="auto"/>
            </w:tcBorders>
          </w:tcPr>
          <w:p w14:paraId="7E212F2C"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SimSun" w:hAnsi="Calibri" w:cs="Calibri" w:hint="eastAsia"/>
                <w:kern w:val="0"/>
                <w:sz w:val="16"/>
                <w:szCs w:val="16"/>
                <w:lang w:val="en-US" w:eastAsia="zh-CN"/>
                <w14:ligatures w14:val="none"/>
              </w:rPr>
              <w:t>中国</w:t>
            </w:r>
            <w:r>
              <w:rPr>
                <w:rFonts w:ascii="Calibri" w:eastAsia="Times New Roman" w:hAnsi="Calibri" w:cs="Calibri"/>
                <w:kern w:val="0"/>
                <w:sz w:val="16"/>
                <w:szCs w:val="16"/>
                <w:lang w:eastAsia="en-GB"/>
                <w14:ligatures w14:val="none"/>
              </w:rPr>
              <w:t>台湾   </w:t>
            </w:r>
          </w:p>
        </w:tc>
        <w:tc>
          <w:tcPr>
            <w:tcW w:w="585" w:type="dxa"/>
            <w:tcBorders>
              <w:top w:val="nil"/>
              <w:left w:val="nil"/>
              <w:bottom w:val="single" w:sz="6" w:space="0" w:color="auto"/>
              <w:right w:val="single" w:sz="6" w:space="0" w:color="auto"/>
            </w:tcBorders>
          </w:tcPr>
          <w:p w14:paraId="5A1BB17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59   </w:t>
            </w:r>
          </w:p>
        </w:tc>
        <w:tc>
          <w:tcPr>
            <w:tcW w:w="525" w:type="dxa"/>
            <w:tcBorders>
              <w:top w:val="nil"/>
              <w:left w:val="nil"/>
              <w:bottom w:val="single" w:sz="6" w:space="0" w:color="auto"/>
              <w:right w:val="single" w:sz="6" w:space="0" w:color="auto"/>
            </w:tcBorders>
          </w:tcPr>
          <w:p w14:paraId="7374975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21%   </w:t>
            </w:r>
          </w:p>
        </w:tc>
        <w:tc>
          <w:tcPr>
            <w:tcW w:w="540" w:type="dxa"/>
            <w:tcBorders>
              <w:top w:val="nil"/>
              <w:left w:val="nil"/>
              <w:bottom w:val="single" w:sz="6" w:space="0" w:color="auto"/>
              <w:right w:val="single" w:sz="6" w:space="0" w:color="auto"/>
            </w:tcBorders>
          </w:tcPr>
          <w:p w14:paraId="5ADE043F"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9%   </w:t>
            </w:r>
          </w:p>
        </w:tc>
        <w:tc>
          <w:tcPr>
            <w:tcW w:w="615" w:type="dxa"/>
            <w:tcBorders>
              <w:top w:val="nil"/>
              <w:left w:val="nil"/>
              <w:bottom w:val="single" w:sz="6" w:space="0" w:color="auto"/>
              <w:right w:val="single" w:sz="6" w:space="0" w:color="auto"/>
            </w:tcBorders>
          </w:tcPr>
          <w:p w14:paraId="1255CE9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70%   </w:t>
            </w:r>
          </w:p>
        </w:tc>
        <w:tc>
          <w:tcPr>
            <w:tcW w:w="720" w:type="dxa"/>
            <w:tcBorders>
              <w:top w:val="nil"/>
              <w:left w:val="nil"/>
              <w:bottom w:val="single" w:sz="6" w:space="0" w:color="auto"/>
              <w:right w:val="single" w:sz="6" w:space="0" w:color="auto"/>
            </w:tcBorders>
          </w:tcPr>
          <w:p w14:paraId="00E41BD4"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-49%   </w:t>
            </w:r>
          </w:p>
        </w:tc>
        <w:tc>
          <w:tcPr>
            <w:tcW w:w="555" w:type="dxa"/>
            <w:tcBorders>
              <w:top w:val="nil"/>
              <w:left w:val="nil"/>
              <w:bottom w:val="single" w:sz="6" w:space="0" w:color="auto"/>
              <w:right w:val="single" w:sz="6" w:space="0" w:color="auto"/>
            </w:tcBorders>
          </w:tcPr>
          <w:p w14:paraId="4A0C4FB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   </w:t>
            </w:r>
          </w:p>
        </w:tc>
        <w:tc>
          <w:tcPr>
            <w:tcW w:w="435" w:type="dxa"/>
            <w:tcBorders>
              <w:top w:val="nil"/>
              <w:left w:val="nil"/>
              <w:bottom w:val="single" w:sz="6" w:space="0" w:color="auto"/>
              <w:right w:val="single" w:sz="6" w:space="0" w:color="auto"/>
            </w:tcBorders>
            <w:shd w:val="clear" w:color="auto" w:fill="E9E9E7"/>
          </w:tcPr>
          <w:p w14:paraId="555BB03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4   </w:t>
            </w:r>
          </w:p>
        </w:tc>
        <w:tc>
          <w:tcPr>
            <w:tcW w:w="525" w:type="dxa"/>
            <w:tcBorders>
              <w:top w:val="nil"/>
              <w:left w:val="nil"/>
              <w:bottom w:val="single" w:sz="6" w:space="0" w:color="auto"/>
              <w:right w:val="single" w:sz="6" w:space="0" w:color="auto"/>
            </w:tcBorders>
            <w:shd w:val="clear" w:color="auto" w:fill="E9E9E7"/>
          </w:tcPr>
          <w:p w14:paraId="3984403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7   </w:t>
            </w:r>
          </w:p>
        </w:tc>
        <w:tc>
          <w:tcPr>
            <w:tcW w:w="525" w:type="dxa"/>
            <w:tcBorders>
              <w:top w:val="nil"/>
              <w:left w:val="nil"/>
              <w:bottom w:val="single" w:sz="6" w:space="0" w:color="auto"/>
              <w:right w:val="single" w:sz="6" w:space="0" w:color="auto"/>
            </w:tcBorders>
            <w:shd w:val="clear" w:color="auto" w:fill="E9E9E7"/>
          </w:tcPr>
          <w:p w14:paraId="21A1539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31   </w:t>
            </w:r>
          </w:p>
        </w:tc>
        <w:tc>
          <w:tcPr>
            <w:tcW w:w="2265" w:type="dxa"/>
            <w:tcBorders>
              <w:top w:val="nil"/>
              <w:left w:val="nil"/>
              <w:bottom w:val="single" w:sz="6" w:space="0" w:color="auto"/>
              <w:right w:val="single" w:sz="6" w:space="0" w:color="auto"/>
            </w:tcBorders>
            <w:shd w:val="clear" w:color="auto" w:fill="F2F2F2"/>
          </w:tcPr>
          <w:p w14:paraId="4510326D"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国立台湾大学（NTU）   </w:t>
            </w:r>
          </w:p>
        </w:tc>
        <w:tc>
          <w:tcPr>
            <w:tcW w:w="703" w:type="dxa"/>
            <w:tcBorders>
              <w:top w:val="nil"/>
              <w:left w:val="nil"/>
              <w:bottom w:val="single" w:sz="6" w:space="0" w:color="auto"/>
              <w:right w:val="single" w:sz="6" w:space="0" w:color="auto"/>
            </w:tcBorders>
            <w:shd w:val="clear" w:color="auto" w:fill="F2F2F2"/>
          </w:tcPr>
          <w:p w14:paraId="196B5B6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23   </w:t>
            </w:r>
          </w:p>
        </w:tc>
      </w:tr>
      <w:tr w:rsidR="00D61BF9" w14:paraId="2E5B1004" w14:textId="77777777">
        <w:trPr>
          <w:trHeight w:val="285"/>
        </w:trPr>
        <w:tc>
          <w:tcPr>
            <w:tcW w:w="930" w:type="dxa"/>
            <w:tcBorders>
              <w:top w:val="nil"/>
              <w:left w:val="single" w:sz="6" w:space="0" w:color="auto"/>
              <w:bottom w:val="single" w:sz="6" w:space="0" w:color="auto"/>
              <w:right w:val="single" w:sz="6" w:space="0" w:color="auto"/>
            </w:tcBorders>
          </w:tcPr>
          <w:p w14:paraId="29DC36F8"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马来西亚   </w:t>
            </w:r>
          </w:p>
        </w:tc>
        <w:tc>
          <w:tcPr>
            <w:tcW w:w="585" w:type="dxa"/>
            <w:tcBorders>
              <w:top w:val="nil"/>
              <w:left w:val="nil"/>
              <w:bottom w:val="single" w:sz="6" w:space="0" w:color="auto"/>
              <w:right w:val="single" w:sz="6" w:space="0" w:color="auto"/>
            </w:tcBorders>
          </w:tcPr>
          <w:p w14:paraId="0035A01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55   </w:t>
            </w:r>
          </w:p>
        </w:tc>
        <w:tc>
          <w:tcPr>
            <w:tcW w:w="525" w:type="dxa"/>
            <w:tcBorders>
              <w:top w:val="nil"/>
              <w:left w:val="nil"/>
              <w:bottom w:val="single" w:sz="6" w:space="0" w:color="auto"/>
              <w:right w:val="single" w:sz="6" w:space="0" w:color="auto"/>
            </w:tcBorders>
          </w:tcPr>
          <w:p w14:paraId="244A42BB"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41%   </w:t>
            </w:r>
          </w:p>
        </w:tc>
        <w:tc>
          <w:tcPr>
            <w:tcW w:w="540" w:type="dxa"/>
            <w:tcBorders>
              <w:top w:val="nil"/>
              <w:left w:val="nil"/>
              <w:bottom w:val="single" w:sz="6" w:space="0" w:color="auto"/>
              <w:right w:val="single" w:sz="6" w:space="0" w:color="auto"/>
            </w:tcBorders>
          </w:tcPr>
          <w:p w14:paraId="4FEECD4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8%   </w:t>
            </w:r>
          </w:p>
        </w:tc>
        <w:tc>
          <w:tcPr>
            <w:tcW w:w="615" w:type="dxa"/>
            <w:tcBorders>
              <w:top w:val="nil"/>
              <w:left w:val="nil"/>
              <w:bottom w:val="single" w:sz="6" w:space="0" w:color="auto"/>
              <w:right w:val="single" w:sz="6" w:space="0" w:color="auto"/>
            </w:tcBorders>
          </w:tcPr>
          <w:p w14:paraId="17455697"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51%   </w:t>
            </w:r>
          </w:p>
        </w:tc>
        <w:tc>
          <w:tcPr>
            <w:tcW w:w="720" w:type="dxa"/>
            <w:tcBorders>
              <w:top w:val="nil"/>
              <w:left w:val="nil"/>
              <w:bottom w:val="single" w:sz="6" w:space="0" w:color="auto"/>
              <w:right w:val="single" w:sz="6" w:space="0" w:color="auto"/>
            </w:tcBorders>
          </w:tcPr>
          <w:p w14:paraId="5A178AC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-10%   </w:t>
            </w:r>
          </w:p>
        </w:tc>
        <w:tc>
          <w:tcPr>
            <w:tcW w:w="555" w:type="dxa"/>
            <w:tcBorders>
              <w:top w:val="nil"/>
              <w:left w:val="nil"/>
              <w:bottom w:val="single" w:sz="6" w:space="0" w:color="auto"/>
              <w:right w:val="single" w:sz="6" w:space="0" w:color="auto"/>
            </w:tcBorders>
          </w:tcPr>
          <w:p w14:paraId="5433459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6   </w:t>
            </w:r>
          </w:p>
        </w:tc>
        <w:tc>
          <w:tcPr>
            <w:tcW w:w="435" w:type="dxa"/>
            <w:tcBorders>
              <w:top w:val="nil"/>
              <w:left w:val="nil"/>
              <w:bottom w:val="single" w:sz="6" w:space="0" w:color="auto"/>
              <w:right w:val="single" w:sz="6" w:space="0" w:color="auto"/>
            </w:tcBorders>
            <w:shd w:val="clear" w:color="auto" w:fill="E9E9E7"/>
          </w:tcPr>
          <w:p w14:paraId="4E026BA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8   </w:t>
            </w:r>
          </w:p>
        </w:tc>
        <w:tc>
          <w:tcPr>
            <w:tcW w:w="525" w:type="dxa"/>
            <w:tcBorders>
              <w:top w:val="nil"/>
              <w:left w:val="nil"/>
              <w:bottom w:val="single" w:sz="6" w:space="0" w:color="auto"/>
              <w:right w:val="single" w:sz="6" w:space="0" w:color="auto"/>
            </w:tcBorders>
            <w:shd w:val="clear" w:color="auto" w:fill="E9E9E7"/>
          </w:tcPr>
          <w:p w14:paraId="4DE8DAC8"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11   </w:t>
            </w:r>
          </w:p>
        </w:tc>
        <w:tc>
          <w:tcPr>
            <w:tcW w:w="525" w:type="dxa"/>
            <w:tcBorders>
              <w:top w:val="nil"/>
              <w:left w:val="nil"/>
              <w:bottom w:val="single" w:sz="6" w:space="0" w:color="auto"/>
              <w:right w:val="single" w:sz="6" w:space="0" w:color="auto"/>
            </w:tcBorders>
            <w:shd w:val="clear" w:color="auto" w:fill="E9E9E7"/>
          </w:tcPr>
          <w:p w14:paraId="791E00D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35   </w:t>
            </w:r>
          </w:p>
        </w:tc>
        <w:tc>
          <w:tcPr>
            <w:tcW w:w="2265" w:type="dxa"/>
            <w:tcBorders>
              <w:top w:val="nil"/>
              <w:left w:val="nil"/>
              <w:bottom w:val="single" w:sz="6" w:space="0" w:color="auto"/>
              <w:right w:val="single" w:sz="6" w:space="0" w:color="auto"/>
            </w:tcBorders>
            <w:shd w:val="clear" w:color="auto" w:fill="F2F2F2"/>
          </w:tcPr>
          <w:p w14:paraId="0F127426" w14:textId="77777777" w:rsidR="00D61BF9" w:rsidRDefault="00000000">
            <w:pPr>
              <w:spacing w:after="0" w:line="240" w:lineRule="auto"/>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16"/>
                <w:szCs w:val="16"/>
                <w:lang w:eastAsia="zh-CN"/>
                <w14:ligatures w14:val="none"/>
              </w:rPr>
              <w:t>马来亚大学（UM）   </w:t>
            </w:r>
          </w:p>
        </w:tc>
        <w:tc>
          <w:tcPr>
            <w:tcW w:w="703" w:type="dxa"/>
            <w:tcBorders>
              <w:top w:val="nil"/>
              <w:left w:val="nil"/>
              <w:bottom w:val="single" w:sz="6" w:space="0" w:color="auto"/>
              <w:right w:val="single" w:sz="6" w:space="0" w:color="auto"/>
            </w:tcBorders>
            <w:shd w:val="clear" w:color="auto" w:fill="F2F2F2"/>
          </w:tcPr>
          <w:p w14:paraId="51FE9305"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17   </w:t>
            </w:r>
          </w:p>
        </w:tc>
      </w:tr>
      <w:tr w:rsidR="00D61BF9" w14:paraId="1016C827" w14:textId="77777777">
        <w:trPr>
          <w:trHeight w:val="285"/>
        </w:trPr>
        <w:tc>
          <w:tcPr>
            <w:tcW w:w="930" w:type="dxa"/>
            <w:tcBorders>
              <w:top w:val="nil"/>
              <w:left w:val="single" w:sz="6" w:space="0" w:color="auto"/>
              <w:bottom w:val="single" w:sz="6" w:space="0" w:color="auto"/>
              <w:right w:val="single" w:sz="6" w:space="0" w:color="auto"/>
            </w:tcBorders>
          </w:tcPr>
          <w:p w14:paraId="76824430"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孟加拉国   </w:t>
            </w:r>
          </w:p>
        </w:tc>
        <w:tc>
          <w:tcPr>
            <w:tcW w:w="585" w:type="dxa"/>
            <w:tcBorders>
              <w:top w:val="nil"/>
              <w:left w:val="nil"/>
              <w:bottom w:val="single" w:sz="6" w:space="0" w:color="auto"/>
              <w:right w:val="single" w:sz="6" w:space="0" w:color="auto"/>
            </w:tcBorders>
          </w:tcPr>
          <w:p w14:paraId="7E7EE45D"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52   </w:t>
            </w:r>
          </w:p>
        </w:tc>
        <w:tc>
          <w:tcPr>
            <w:tcW w:w="525" w:type="dxa"/>
            <w:tcBorders>
              <w:top w:val="nil"/>
              <w:left w:val="nil"/>
              <w:bottom w:val="single" w:sz="6" w:space="0" w:color="auto"/>
              <w:right w:val="single" w:sz="6" w:space="0" w:color="auto"/>
            </w:tcBorders>
          </w:tcPr>
          <w:p w14:paraId="650BB899"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26%   </w:t>
            </w:r>
          </w:p>
        </w:tc>
        <w:tc>
          <w:tcPr>
            <w:tcW w:w="540" w:type="dxa"/>
            <w:tcBorders>
              <w:top w:val="nil"/>
              <w:left w:val="nil"/>
              <w:bottom w:val="single" w:sz="6" w:space="0" w:color="auto"/>
              <w:right w:val="single" w:sz="6" w:space="0" w:color="auto"/>
            </w:tcBorders>
          </w:tcPr>
          <w:p w14:paraId="0DB5A65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15%   </w:t>
            </w:r>
          </w:p>
        </w:tc>
        <w:tc>
          <w:tcPr>
            <w:tcW w:w="615" w:type="dxa"/>
            <w:tcBorders>
              <w:top w:val="nil"/>
              <w:left w:val="nil"/>
              <w:bottom w:val="single" w:sz="6" w:space="0" w:color="auto"/>
              <w:right w:val="single" w:sz="6" w:space="0" w:color="auto"/>
            </w:tcBorders>
          </w:tcPr>
          <w:p w14:paraId="0CBA3803"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59%   </w:t>
            </w:r>
          </w:p>
        </w:tc>
        <w:tc>
          <w:tcPr>
            <w:tcW w:w="720" w:type="dxa"/>
            <w:tcBorders>
              <w:top w:val="nil"/>
              <w:left w:val="nil"/>
              <w:bottom w:val="single" w:sz="6" w:space="0" w:color="auto"/>
              <w:right w:val="single" w:sz="6" w:space="0" w:color="auto"/>
            </w:tcBorders>
          </w:tcPr>
          <w:p w14:paraId="5F03829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-33%   </w:t>
            </w:r>
          </w:p>
        </w:tc>
        <w:tc>
          <w:tcPr>
            <w:tcW w:w="555" w:type="dxa"/>
            <w:tcBorders>
              <w:top w:val="nil"/>
              <w:left w:val="nil"/>
              <w:bottom w:val="single" w:sz="6" w:space="0" w:color="auto"/>
              <w:right w:val="single" w:sz="6" w:space="0" w:color="auto"/>
            </w:tcBorders>
          </w:tcPr>
          <w:p w14:paraId="24B68B5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6   </w:t>
            </w:r>
          </w:p>
        </w:tc>
        <w:tc>
          <w:tcPr>
            <w:tcW w:w="435" w:type="dxa"/>
            <w:tcBorders>
              <w:top w:val="nil"/>
              <w:left w:val="nil"/>
              <w:bottom w:val="single" w:sz="6" w:space="0" w:color="auto"/>
              <w:right w:val="single" w:sz="6" w:space="0" w:color="auto"/>
            </w:tcBorders>
            <w:shd w:val="clear" w:color="auto" w:fill="E9E9E7"/>
          </w:tcPr>
          <w:p w14:paraId="0A0D4FD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w:t>
            </w:r>
          </w:p>
        </w:tc>
        <w:tc>
          <w:tcPr>
            <w:tcW w:w="525" w:type="dxa"/>
            <w:tcBorders>
              <w:top w:val="nil"/>
              <w:left w:val="nil"/>
              <w:bottom w:val="single" w:sz="6" w:space="0" w:color="auto"/>
              <w:right w:val="single" w:sz="6" w:space="0" w:color="auto"/>
            </w:tcBorders>
            <w:shd w:val="clear" w:color="auto" w:fill="E9E9E7"/>
          </w:tcPr>
          <w:p w14:paraId="3BBBE76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    </w:t>
            </w:r>
          </w:p>
        </w:tc>
        <w:tc>
          <w:tcPr>
            <w:tcW w:w="525" w:type="dxa"/>
            <w:tcBorders>
              <w:top w:val="nil"/>
              <w:left w:val="nil"/>
              <w:bottom w:val="single" w:sz="6" w:space="0" w:color="auto"/>
              <w:right w:val="single" w:sz="6" w:space="0" w:color="auto"/>
            </w:tcBorders>
            <w:shd w:val="clear" w:color="auto" w:fill="E9E9E7"/>
          </w:tcPr>
          <w:p w14:paraId="32A8680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14   </w:t>
            </w:r>
          </w:p>
        </w:tc>
        <w:tc>
          <w:tcPr>
            <w:tcW w:w="2265" w:type="dxa"/>
            <w:tcBorders>
              <w:top w:val="nil"/>
              <w:left w:val="nil"/>
              <w:bottom w:val="single" w:sz="6" w:space="0" w:color="auto"/>
              <w:right w:val="single" w:sz="6" w:space="0" w:color="auto"/>
            </w:tcBorders>
            <w:shd w:val="clear" w:color="auto" w:fill="F2F2F2"/>
          </w:tcPr>
          <w:p w14:paraId="01AABA32"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达卡大学   </w:t>
            </w:r>
          </w:p>
        </w:tc>
        <w:tc>
          <w:tcPr>
            <w:tcW w:w="703" w:type="dxa"/>
            <w:tcBorders>
              <w:top w:val="nil"/>
              <w:left w:val="nil"/>
              <w:bottom w:val="single" w:sz="6" w:space="0" w:color="auto"/>
              <w:right w:val="single" w:sz="6" w:space="0" w:color="auto"/>
            </w:tcBorders>
            <w:shd w:val="clear" w:color="auto" w:fill="F2F2F2"/>
          </w:tcPr>
          <w:p w14:paraId="0DB5BCC0"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136   </w:t>
            </w:r>
          </w:p>
        </w:tc>
      </w:tr>
      <w:tr w:rsidR="00D61BF9" w14:paraId="62F54894" w14:textId="77777777">
        <w:trPr>
          <w:trHeight w:val="285"/>
        </w:trPr>
        <w:tc>
          <w:tcPr>
            <w:tcW w:w="930" w:type="dxa"/>
            <w:tcBorders>
              <w:top w:val="nil"/>
              <w:left w:val="single" w:sz="6" w:space="0" w:color="auto"/>
              <w:bottom w:val="single" w:sz="6" w:space="0" w:color="auto"/>
              <w:right w:val="single" w:sz="6" w:space="0" w:color="auto"/>
            </w:tcBorders>
          </w:tcPr>
          <w:p w14:paraId="550945B3"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哈萨克斯坦   </w:t>
            </w:r>
          </w:p>
        </w:tc>
        <w:tc>
          <w:tcPr>
            <w:tcW w:w="585" w:type="dxa"/>
            <w:tcBorders>
              <w:top w:val="nil"/>
              <w:left w:val="nil"/>
              <w:bottom w:val="single" w:sz="6" w:space="0" w:color="auto"/>
              <w:right w:val="single" w:sz="6" w:space="0" w:color="auto"/>
            </w:tcBorders>
          </w:tcPr>
          <w:p w14:paraId="5FC3D37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51   </w:t>
            </w:r>
          </w:p>
        </w:tc>
        <w:tc>
          <w:tcPr>
            <w:tcW w:w="525" w:type="dxa"/>
            <w:tcBorders>
              <w:top w:val="nil"/>
              <w:left w:val="nil"/>
              <w:bottom w:val="single" w:sz="6" w:space="0" w:color="auto"/>
              <w:right w:val="single" w:sz="6" w:space="0" w:color="auto"/>
            </w:tcBorders>
          </w:tcPr>
          <w:p w14:paraId="76939A12"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00B050"/>
                <w:kern w:val="0"/>
                <w:sz w:val="16"/>
                <w:szCs w:val="16"/>
                <w:lang w:eastAsia="en-GB"/>
                <w14:ligatures w14:val="none"/>
              </w:rPr>
              <w:t>32%   </w:t>
            </w:r>
          </w:p>
        </w:tc>
        <w:tc>
          <w:tcPr>
            <w:tcW w:w="540" w:type="dxa"/>
            <w:tcBorders>
              <w:top w:val="nil"/>
              <w:left w:val="nil"/>
              <w:bottom w:val="single" w:sz="6" w:space="0" w:color="auto"/>
              <w:right w:val="single" w:sz="6" w:space="0" w:color="auto"/>
            </w:tcBorders>
          </w:tcPr>
          <w:p w14:paraId="178AA6B1"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FFC000"/>
                <w:kern w:val="0"/>
                <w:sz w:val="16"/>
                <w:szCs w:val="16"/>
                <w:lang w:eastAsia="en-GB"/>
                <w14:ligatures w14:val="none"/>
              </w:rPr>
              <w:t>14%   </w:t>
            </w:r>
          </w:p>
        </w:tc>
        <w:tc>
          <w:tcPr>
            <w:tcW w:w="615" w:type="dxa"/>
            <w:tcBorders>
              <w:top w:val="nil"/>
              <w:left w:val="nil"/>
              <w:bottom w:val="single" w:sz="6" w:space="0" w:color="auto"/>
              <w:right w:val="single" w:sz="6" w:space="0" w:color="auto"/>
            </w:tcBorders>
          </w:tcPr>
          <w:p w14:paraId="3D299B69"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color w:val="C00000"/>
                <w:kern w:val="0"/>
                <w:sz w:val="16"/>
                <w:szCs w:val="16"/>
                <w:lang w:eastAsia="en-GB"/>
                <w14:ligatures w14:val="none"/>
              </w:rPr>
              <w:t>55%   </w:t>
            </w:r>
          </w:p>
        </w:tc>
        <w:tc>
          <w:tcPr>
            <w:tcW w:w="720" w:type="dxa"/>
            <w:tcBorders>
              <w:top w:val="nil"/>
              <w:left w:val="nil"/>
              <w:bottom w:val="single" w:sz="6" w:space="0" w:color="auto"/>
              <w:right w:val="single" w:sz="6" w:space="0" w:color="auto"/>
            </w:tcBorders>
          </w:tcPr>
          <w:p w14:paraId="003BCD1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Red Hat Text" w:eastAsia="Times New Roman" w:hAnsi="Red Hat Text" w:cs="Red Hat Text"/>
                <w:color w:val="C00000"/>
                <w:kern w:val="0"/>
                <w:sz w:val="16"/>
                <w:szCs w:val="16"/>
                <w:lang w:eastAsia="en-GB"/>
                <w14:ligatures w14:val="none"/>
              </w:rPr>
              <w:t>-23%   </w:t>
            </w:r>
          </w:p>
        </w:tc>
        <w:tc>
          <w:tcPr>
            <w:tcW w:w="555" w:type="dxa"/>
            <w:tcBorders>
              <w:top w:val="nil"/>
              <w:left w:val="nil"/>
              <w:bottom w:val="single" w:sz="6" w:space="0" w:color="auto"/>
              <w:right w:val="single" w:sz="6" w:space="0" w:color="auto"/>
            </w:tcBorders>
          </w:tcPr>
          <w:p w14:paraId="1137727A"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7   </w:t>
            </w:r>
          </w:p>
        </w:tc>
        <w:tc>
          <w:tcPr>
            <w:tcW w:w="435" w:type="dxa"/>
            <w:tcBorders>
              <w:top w:val="nil"/>
              <w:left w:val="nil"/>
              <w:bottom w:val="single" w:sz="6" w:space="0" w:color="auto"/>
              <w:right w:val="single" w:sz="6" w:space="0" w:color="auto"/>
            </w:tcBorders>
            <w:shd w:val="clear" w:color="auto" w:fill="E9E9E7"/>
          </w:tcPr>
          <w:p w14:paraId="172F6F9E"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   </w:t>
            </w:r>
          </w:p>
        </w:tc>
        <w:tc>
          <w:tcPr>
            <w:tcW w:w="525" w:type="dxa"/>
            <w:tcBorders>
              <w:top w:val="nil"/>
              <w:left w:val="nil"/>
              <w:bottom w:val="single" w:sz="6" w:space="0" w:color="auto"/>
              <w:right w:val="single" w:sz="6" w:space="0" w:color="auto"/>
            </w:tcBorders>
            <w:shd w:val="clear" w:color="auto" w:fill="E9E9E7"/>
          </w:tcPr>
          <w:p w14:paraId="11D9B236"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3   </w:t>
            </w:r>
          </w:p>
        </w:tc>
        <w:tc>
          <w:tcPr>
            <w:tcW w:w="525" w:type="dxa"/>
            <w:tcBorders>
              <w:top w:val="nil"/>
              <w:left w:val="nil"/>
              <w:bottom w:val="single" w:sz="6" w:space="0" w:color="auto"/>
              <w:right w:val="single" w:sz="6" w:space="0" w:color="auto"/>
            </w:tcBorders>
            <w:shd w:val="clear" w:color="auto" w:fill="E9E9E7"/>
          </w:tcPr>
          <w:p w14:paraId="679674E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19   </w:t>
            </w:r>
          </w:p>
        </w:tc>
        <w:tc>
          <w:tcPr>
            <w:tcW w:w="2265" w:type="dxa"/>
            <w:tcBorders>
              <w:top w:val="nil"/>
              <w:left w:val="nil"/>
              <w:bottom w:val="single" w:sz="6" w:space="0" w:color="auto"/>
              <w:right w:val="single" w:sz="6" w:space="0" w:color="auto"/>
            </w:tcBorders>
            <w:shd w:val="clear" w:color="auto" w:fill="F2F2F2"/>
          </w:tcPr>
          <w:p w14:paraId="121073AF" w14:textId="77777777" w:rsidR="00D61BF9" w:rsidRDefault="00000000">
            <w:pPr>
              <w:spacing w:after="0" w:line="240" w:lineRule="auto"/>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法拉比大学   </w:t>
            </w:r>
          </w:p>
        </w:tc>
        <w:tc>
          <w:tcPr>
            <w:tcW w:w="703" w:type="dxa"/>
            <w:tcBorders>
              <w:top w:val="nil"/>
              <w:left w:val="nil"/>
              <w:bottom w:val="single" w:sz="6" w:space="0" w:color="auto"/>
              <w:right w:val="single" w:sz="6" w:space="0" w:color="auto"/>
            </w:tcBorders>
            <w:shd w:val="clear" w:color="auto" w:fill="F2F2F2"/>
          </w:tcPr>
          <w:p w14:paraId="1C32C67C" w14:textId="77777777" w:rsidR="00D61BF9" w:rsidRDefault="00000000">
            <w:pPr>
              <w:spacing w:after="0" w:line="240" w:lineRule="auto"/>
              <w:jc w:val="cente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kern w:val="0"/>
                <w:sz w:val="16"/>
                <w:szCs w:val="16"/>
                <w:lang w:eastAsia="en-GB"/>
                <w14:ligatures w14:val="none"/>
              </w:rPr>
              <w:t>46   </w:t>
            </w:r>
          </w:p>
        </w:tc>
      </w:tr>
    </w:tbl>
    <w:p w14:paraId="76EE452E" w14:textId="77777777" w:rsidR="00D61BF9" w:rsidRDefault="00D61BF9">
      <w:pPr>
        <w:rPr>
          <w:rFonts w:ascii="Calibri" w:hAnsi="Calibri" w:cs="Calibri"/>
          <w:color w:val="000000"/>
          <w:sz w:val="22"/>
          <w:szCs w:val="22"/>
          <w:shd w:val="clear" w:color="auto" w:fill="FFFFFF"/>
        </w:rPr>
      </w:pPr>
    </w:p>
    <w:p w14:paraId="2DE0F9BC"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eastAsia="zh-CN"/>
        </w:rPr>
        <w:t>2027QS</w:t>
      </w:r>
      <w:r>
        <w:rPr>
          <w:rFonts w:ascii="Calibri" w:eastAsia="SimSun" w:hAnsi="Calibri" w:cs="Calibri" w:hint="eastAsia"/>
          <w:color w:val="000000"/>
          <w:sz w:val="22"/>
          <w:szCs w:val="22"/>
          <w:shd w:val="clear" w:color="auto" w:fill="FFFFFF"/>
          <w:lang w:eastAsia="zh-CN"/>
        </w:rPr>
        <w:t>亚洲大学排名</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val="en-US" w:eastAsia="zh-CN"/>
        </w:rPr>
        <w:t>是根据各高校在</w:t>
      </w:r>
      <w:r>
        <w:rPr>
          <w:rFonts w:ascii="Calibri" w:hAnsi="Calibri" w:cs="Calibri"/>
          <w:color w:val="000000"/>
          <w:sz w:val="22"/>
          <w:szCs w:val="22"/>
          <w:shd w:val="clear" w:color="auto" w:fill="FFFFFF"/>
          <w:lang w:val="en-US" w:eastAsia="zh-CN"/>
        </w:rPr>
        <w:t>11</w:t>
      </w:r>
      <w:r>
        <w:rPr>
          <w:rFonts w:ascii="Calibri" w:hAnsi="Calibri" w:cs="Calibri"/>
          <w:color w:val="000000"/>
          <w:sz w:val="22"/>
          <w:szCs w:val="22"/>
          <w:shd w:val="clear" w:color="auto" w:fill="FFFFFF"/>
          <w:lang w:val="en-US" w:eastAsia="zh-CN"/>
        </w:rPr>
        <w:t>项关键指标上的得分确定的</w:t>
      </w:r>
      <w:r>
        <w:rPr>
          <w:rFonts w:ascii="Calibri" w:hAnsi="Calibri" w:cs="Calibri"/>
          <w:color w:val="000000"/>
          <w:sz w:val="22"/>
          <w:szCs w:val="22"/>
          <w:shd w:val="clear" w:color="auto" w:fill="FFFFFF"/>
          <w:lang w:eastAsia="zh-CN"/>
        </w:rPr>
        <w:t>，这些指标经过专门调整，旨在反映该地区的独特性，并使其与《</w:t>
      </w:r>
      <w:hyperlink r:id="rId13" w:tgtFrame="_blank" w:history="1">
        <w:r>
          <w:rPr>
            <w:rStyle w:val="Hyperlink"/>
            <w:rFonts w:ascii="Calibri" w:hAnsi="Calibri" w:cs="Calibri"/>
            <w:sz w:val="22"/>
            <w:szCs w:val="22"/>
            <w:shd w:val="clear" w:color="auto" w:fill="FFFFFF"/>
            <w:lang w:eastAsia="zh-CN"/>
          </w:rPr>
          <w:t>QS</w:t>
        </w:r>
        <w:r>
          <w:rPr>
            <w:rStyle w:val="Hyperlink"/>
            <w:rFonts w:ascii="Calibri" w:hAnsi="Calibri" w:cs="Calibri"/>
            <w:sz w:val="22"/>
            <w:szCs w:val="22"/>
            <w:shd w:val="clear" w:color="auto" w:fill="FFFFFF"/>
            <w:lang w:eastAsia="zh-CN"/>
          </w:rPr>
          <w:t>世界大学排名</w:t>
        </w:r>
      </w:hyperlink>
      <w:r>
        <w:rPr>
          <w:rFonts w:ascii="Calibri" w:hAnsi="Calibri" w:cs="Calibri"/>
          <w:color w:val="000000"/>
          <w:sz w:val="22"/>
          <w:szCs w:val="22"/>
          <w:shd w:val="clear" w:color="auto" w:fill="FFFFFF"/>
          <w:lang w:eastAsia="zh-CN"/>
        </w:rPr>
        <w:t>》有所区别。</w:t>
      </w:r>
      <w:r>
        <w:rPr>
          <w:rFonts w:ascii="Calibri" w:hAnsi="Calibri" w:cs="Calibri"/>
          <w:color w:val="000000"/>
          <w:sz w:val="22"/>
          <w:szCs w:val="22"/>
          <w:shd w:val="clear" w:color="auto" w:fill="FFFFFF"/>
          <w:lang w:eastAsia="zh-CN"/>
        </w:rPr>
        <w:t>   </w:t>
      </w:r>
    </w:p>
    <w:p w14:paraId="2AD97D3C"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下表显示了中国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内地）高校</w:t>
      </w:r>
      <w:r>
        <w:rPr>
          <w:rFonts w:ascii="Calibri" w:hAnsi="Calibri" w:cs="Calibri"/>
          <w:color w:val="000000"/>
          <w:sz w:val="22"/>
          <w:szCs w:val="22"/>
          <w:shd w:val="clear" w:color="auto" w:fill="FFFFFF"/>
          <w:lang w:eastAsia="zh-CN"/>
        </w:rPr>
        <w:t>在</w:t>
      </w:r>
      <w:r>
        <w:rPr>
          <w:rFonts w:ascii="Calibri" w:hAnsi="Calibri" w:cs="Calibri"/>
          <w:color w:val="000000"/>
          <w:sz w:val="22"/>
          <w:szCs w:val="22"/>
          <w:shd w:val="clear" w:color="auto" w:fill="FFFFFF"/>
          <w:lang w:eastAsia="zh-CN"/>
        </w:rPr>
        <w:t>QS</w:t>
      </w:r>
      <w:r>
        <w:rPr>
          <w:rFonts w:ascii="Calibri" w:hAnsi="Calibri" w:cs="Calibri"/>
          <w:color w:val="000000"/>
          <w:sz w:val="22"/>
          <w:szCs w:val="22"/>
          <w:shd w:val="clear" w:color="auto" w:fill="FFFFFF"/>
          <w:lang w:eastAsia="zh-CN"/>
        </w:rPr>
        <w:t>各项指标中的表现。中国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在六项指标上表现优于区域平均水平，其中</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每篇论文被引用次数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最为突出，尽管在此指标上未跻身前十。</w:t>
      </w:r>
      <w:r>
        <w:rPr>
          <w:rFonts w:ascii="Calibri" w:hAnsi="Calibri" w:cs="Calibri"/>
          <w:color w:val="000000"/>
          <w:sz w:val="22"/>
          <w:szCs w:val="22"/>
          <w:shd w:val="clear" w:color="auto" w:fill="FFFFFF"/>
          <w:lang w:eastAsia="zh-CN"/>
        </w:rPr>
        <w:t xml:space="preserve"> </w:t>
      </w:r>
    </w:p>
    <w:p w14:paraId="74A63BC3"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在各项指标中排名最高的是</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师生比</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eastAsia="Times New Roman" w:hAnsi="Calibri" w:cs="Calibri"/>
          <w:kern w:val="0"/>
          <w:sz w:val="22"/>
          <w:szCs w:val="22"/>
          <w:lang w:eastAsia="zh-CN"/>
          <w14:ligatures w14:val="none"/>
        </w:rPr>
        <w:t>上海中医药大学</w:t>
      </w:r>
      <w:r>
        <w:rPr>
          <w:rFonts w:ascii="Calibri" w:hAnsi="Calibri" w:cs="Calibri"/>
          <w:color w:val="000000"/>
          <w:sz w:val="22"/>
          <w:szCs w:val="22"/>
          <w:shd w:val="clear" w:color="auto" w:fill="FFFFFF"/>
          <w:lang w:eastAsia="zh-CN"/>
        </w:rPr>
        <w:t>在此指标上与该地区其他高校并列第一。中国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在</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学术声誉</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雇主声誉</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每名</w:t>
      </w:r>
      <w:r>
        <w:rPr>
          <w:rFonts w:ascii="Calibri" w:eastAsia="SimSun" w:hAnsi="Calibri" w:cs="Calibri" w:hint="eastAsia"/>
          <w:color w:val="000000"/>
          <w:sz w:val="22"/>
          <w:szCs w:val="22"/>
          <w:shd w:val="clear" w:color="auto" w:fill="FFFFFF"/>
          <w:lang w:val="en-US" w:eastAsia="zh-CN"/>
        </w:rPr>
        <w:t>教师</w:t>
      </w:r>
      <w:r>
        <w:rPr>
          <w:rFonts w:ascii="Calibri" w:hAnsi="Calibri" w:cs="Calibri"/>
          <w:color w:val="000000"/>
          <w:sz w:val="22"/>
          <w:szCs w:val="22"/>
          <w:shd w:val="clear" w:color="auto" w:fill="FFFFFF"/>
          <w:lang w:eastAsia="zh-CN"/>
        </w:rPr>
        <w:t>发表论文数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方面取得了最显著的进步。</w:t>
      </w:r>
    </w:p>
    <w:p w14:paraId="284FA74B"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内地）高校</w:t>
      </w:r>
      <w:r>
        <w:rPr>
          <w:rFonts w:ascii="Calibri" w:hAnsi="Calibri" w:cs="Calibri"/>
          <w:color w:val="000000"/>
          <w:sz w:val="22"/>
          <w:szCs w:val="22"/>
          <w:shd w:val="clear" w:color="auto" w:fill="FFFFFF"/>
          <w:lang w:eastAsia="zh-CN"/>
        </w:rPr>
        <w:t>面临的主要挑战在于拥有博士学位的教职员工比例、学生入境与出境交流以及国际学生</w:t>
      </w:r>
      <w:r>
        <w:rPr>
          <w:rFonts w:ascii="Calibri" w:eastAsiaTheme="minorEastAsia" w:hAnsi="Calibri" w:cs="Calibri" w:hint="eastAsia"/>
          <w:color w:val="000000"/>
          <w:sz w:val="22"/>
          <w:szCs w:val="22"/>
          <w:shd w:val="clear" w:color="auto" w:fill="FFFFFF"/>
          <w:lang w:eastAsia="zh-CN"/>
        </w:rPr>
        <w:t>比例</w:t>
      </w:r>
      <w:r>
        <w:rPr>
          <w:rFonts w:ascii="Calibri" w:hAnsi="Calibri" w:cs="Calibri"/>
          <w:color w:val="000000"/>
          <w:sz w:val="22"/>
          <w:szCs w:val="22"/>
          <w:shd w:val="clear" w:color="auto" w:fill="FFFFFF"/>
          <w:lang w:eastAsia="zh-CN"/>
        </w:rPr>
        <w:t>。</w:t>
      </w:r>
    </w:p>
    <w:tbl>
      <w:tblPr>
        <w:tblW w:w="10201" w:type="dxa"/>
        <w:jc w:val="center"/>
        <w:tblLayout w:type="fixed"/>
        <w:tblLook w:val="04A0" w:firstRow="1" w:lastRow="0" w:firstColumn="1" w:lastColumn="0" w:noHBand="0" w:noVBand="1"/>
      </w:tblPr>
      <w:tblGrid>
        <w:gridCol w:w="1701"/>
        <w:gridCol w:w="709"/>
        <w:gridCol w:w="567"/>
        <w:gridCol w:w="709"/>
        <w:gridCol w:w="709"/>
        <w:gridCol w:w="987"/>
        <w:gridCol w:w="992"/>
        <w:gridCol w:w="1985"/>
        <w:gridCol w:w="992"/>
        <w:gridCol w:w="850"/>
      </w:tblGrid>
      <w:tr w:rsidR="00D61BF9" w14:paraId="13E7597A" w14:textId="77777777">
        <w:trPr>
          <w:trHeight w:val="300"/>
          <w:jc w:val="center"/>
        </w:trPr>
        <w:tc>
          <w:tcPr>
            <w:tcW w:w="10201" w:type="dxa"/>
            <w:gridSpan w:val="10"/>
            <w:tcBorders>
              <w:top w:val="single" w:sz="4" w:space="0" w:color="auto"/>
              <w:left w:val="single" w:sz="4" w:space="0" w:color="auto"/>
              <w:bottom w:val="single" w:sz="4" w:space="0" w:color="auto"/>
              <w:right w:val="single" w:sz="4" w:space="0" w:color="auto"/>
            </w:tcBorders>
            <w:noWrap/>
            <w:vAlign w:val="bottom"/>
          </w:tcPr>
          <w:p w14:paraId="12D1C10A" w14:textId="77777777" w:rsidR="00D61BF9" w:rsidRDefault="00000000">
            <w:pPr>
              <w:spacing w:after="0" w:line="240" w:lineRule="auto"/>
              <w:jc w:val="center"/>
              <w:rPr>
                <w:rFonts w:ascii="Calibri" w:eastAsia="SimSun" w:hAnsi="Calibri" w:cs="Calibri"/>
                <w:b/>
                <w:bCs/>
                <w:color w:val="1D1D1B"/>
                <w:kern w:val="0"/>
                <w:sz w:val="20"/>
                <w:szCs w:val="20"/>
                <w:lang w:val="en-US" w:eastAsia="zh-CN"/>
                <w14:ligatures w14:val="none"/>
              </w:rPr>
            </w:pPr>
            <w:r>
              <w:rPr>
                <w:rFonts w:ascii="Calibri" w:eastAsia="Times New Roman" w:hAnsi="Calibri" w:cs="Calibri"/>
                <w:b/>
                <w:bCs/>
                <w:color w:val="1D1D1B"/>
                <w:kern w:val="0"/>
                <w:sz w:val="20"/>
                <w:szCs w:val="20"/>
                <w:lang w:eastAsia="zh-CN"/>
                <w14:ligatures w14:val="none"/>
              </w:rPr>
              <w:t>表4：中国</w:t>
            </w:r>
            <w:r>
              <w:rPr>
                <w:rFonts w:ascii="Calibri" w:eastAsia="SimSun" w:hAnsi="Calibri" w:cs="Calibri" w:hint="eastAsia"/>
                <w:b/>
                <w:bCs/>
                <w:color w:val="1D1D1B"/>
                <w:kern w:val="0"/>
                <w:sz w:val="20"/>
                <w:szCs w:val="20"/>
                <w:lang w:eastAsia="zh-CN"/>
                <w14:ligatures w14:val="none"/>
              </w:rPr>
              <w:t>（</w:t>
            </w:r>
            <w:r>
              <w:rPr>
                <w:rFonts w:ascii="Calibri" w:eastAsia="SimSun" w:hAnsi="Calibri" w:cs="Calibri" w:hint="eastAsia"/>
                <w:b/>
                <w:bCs/>
                <w:color w:val="1D1D1B"/>
                <w:kern w:val="0"/>
                <w:sz w:val="20"/>
                <w:szCs w:val="20"/>
                <w:lang w:val="en-US" w:eastAsia="zh-CN"/>
                <w14:ligatures w14:val="none"/>
              </w:rPr>
              <w:t>内地）</w:t>
            </w:r>
            <w:r>
              <w:rPr>
                <w:rFonts w:ascii="Calibri" w:eastAsia="Times New Roman" w:hAnsi="Calibri" w:cs="Calibri"/>
                <w:b/>
                <w:bCs/>
                <w:color w:val="1D1D1B"/>
                <w:kern w:val="0"/>
                <w:sz w:val="20"/>
                <w:szCs w:val="20"/>
                <w:lang w:eastAsia="zh-CN"/>
                <w14:ligatures w14:val="none"/>
              </w:rPr>
              <w:t>指标细分</w:t>
            </w:r>
            <w:r>
              <w:rPr>
                <w:rFonts w:ascii="Calibri" w:eastAsia="SimSun" w:hAnsi="Calibri" w:cs="Calibri" w:hint="eastAsia"/>
                <w:b/>
                <w:bCs/>
                <w:color w:val="1D1D1B"/>
                <w:kern w:val="0"/>
                <w:sz w:val="20"/>
                <w:szCs w:val="20"/>
                <w:lang w:val="en-US" w:eastAsia="zh-CN"/>
                <w14:ligatures w14:val="none"/>
              </w:rPr>
              <w:t>表现</w:t>
            </w:r>
          </w:p>
        </w:tc>
      </w:tr>
      <w:tr w:rsidR="00D61BF9" w14:paraId="162E6E4A" w14:textId="77777777">
        <w:trPr>
          <w:trHeight w:val="300"/>
          <w:jc w:val="center"/>
        </w:trPr>
        <w:tc>
          <w:tcPr>
            <w:tcW w:w="1701" w:type="dxa"/>
            <w:vMerge w:val="restart"/>
            <w:tcBorders>
              <w:top w:val="nil"/>
              <w:left w:val="single" w:sz="4" w:space="0" w:color="auto"/>
              <w:bottom w:val="single" w:sz="4" w:space="0" w:color="auto"/>
              <w:right w:val="single" w:sz="4" w:space="0" w:color="auto"/>
            </w:tcBorders>
            <w:vAlign w:val="center"/>
          </w:tcPr>
          <w:p w14:paraId="2D6063AE" w14:textId="77777777" w:rsidR="00D61BF9" w:rsidRDefault="00000000">
            <w:pPr>
              <w:spacing w:after="0" w:line="240" w:lineRule="auto"/>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指标</w:t>
            </w:r>
          </w:p>
        </w:tc>
        <w:tc>
          <w:tcPr>
            <w:tcW w:w="709" w:type="dxa"/>
            <w:vMerge w:val="restart"/>
            <w:tcBorders>
              <w:top w:val="nil"/>
              <w:left w:val="single" w:sz="4" w:space="0" w:color="auto"/>
              <w:bottom w:val="single" w:sz="4" w:space="0" w:color="auto"/>
              <w:right w:val="single" w:sz="4" w:space="0" w:color="auto"/>
            </w:tcBorders>
            <w:vAlign w:val="center"/>
          </w:tcPr>
          <w:p w14:paraId="65DCD330"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权重</w:t>
            </w:r>
          </w:p>
        </w:tc>
        <w:tc>
          <w:tcPr>
            <w:tcW w:w="1985" w:type="dxa"/>
            <w:gridSpan w:val="3"/>
            <w:tcBorders>
              <w:top w:val="single" w:sz="4" w:space="0" w:color="auto"/>
              <w:left w:val="nil"/>
              <w:bottom w:val="single" w:sz="4" w:space="0" w:color="auto"/>
              <w:right w:val="single" w:sz="4" w:space="0" w:color="auto"/>
            </w:tcBorders>
            <w:shd w:val="clear" w:color="000000" w:fill="F2F2F2"/>
            <w:noWrap/>
            <w:vAlign w:val="bottom"/>
          </w:tcPr>
          <w:p w14:paraId="639ED57E"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 xml:space="preserve">同比变动 </w:t>
            </w:r>
          </w:p>
        </w:tc>
        <w:tc>
          <w:tcPr>
            <w:tcW w:w="1979" w:type="dxa"/>
            <w:gridSpan w:val="2"/>
            <w:tcBorders>
              <w:top w:val="single" w:sz="4" w:space="0" w:color="auto"/>
              <w:left w:val="nil"/>
              <w:bottom w:val="single" w:sz="4" w:space="0" w:color="auto"/>
              <w:right w:val="single" w:sz="4" w:space="0" w:color="auto"/>
            </w:tcBorders>
            <w:noWrap/>
            <w:vAlign w:val="bottom"/>
          </w:tcPr>
          <w:p w14:paraId="5F7122AE"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指标平均得分</w:t>
            </w:r>
          </w:p>
        </w:tc>
        <w:tc>
          <w:tcPr>
            <w:tcW w:w="3827" w:type="dxa"/>
            <w:gridSpan w:val="3"/>
            <w:tcBorders>
              <w:top w:val="single" w:sz="4" w:space="0" w:color="auto"/>
              <w:left w:val="nil"/>
              <w:bottom w:val="single" w:sz="4" w:space="0" w:color="auto"/>
              <w:right w:val="single" w:sz="4" w:space="0" w:color="auto"/>
            </w:tcBorders>
            <w:shd w:val="clear" w:color="000000" w:fill="F2F2F2"/>
            <w:noWrap/>
            <w:vAlign w:val="bottom"/>
          </w:tcPr>
          <w:p w14:paraId="124C5A3C"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顶尖大学</w:t>
            </w:r>
          </w:p>
        </w:tc>
      </w:tr>
      <w:tr w:rsidR="00D61BF9" w14:paraId="3E281646" w14:textId="77777777">
        <w:trPr>
          <w:trHeight w:val="300"/>
          <w:jc w:val="center"/>
        </w:trPr>
        <w:tc>
          <w:tcPr>
            <w:tcW w:w="1701" w:type="dxa"/>
            <w:vMerge/>
            <w:tcBorders>
              <w:top w:val="nil"/>
              <w:left w:val="single" w:sz="4" w:space="0" w:color="auto"/>
              <w:bottom w:val="single" w:sz="4" w:space="0" w:color="auto"/>
              <w:right w:val="single" w:sz="4" w:space="0" w:color="auto"/>
            </w:tcBorders>
            <w:vAlign w:val="center"/>
          </w:tcPr>
          <w:p w14:paraId="0E49D318" w14:textId="77777777" w:rsidR="00D61BF9" w:rsidRDefault="00D61BF9">
            <w:pPr>
              <w:spacing w:after="0" w:line="240" w:lineRule="auto"/>
              <w:rPr>
                <w:rFonts w:ascii="Calibri" w:eastAsia="Times New Roman" w:hAnsi="Calibri" w:cs="Calibri"/>
                <w:b/>
                <w:bCs/>
                <w:kern w:val="0"/>
                <w:sz w:val="16"/>
                <w:szCs w:val="16"/>
                <w:lang w:eastAsia="en-GB"/>
                <w14:ligatures w14:val="none"/>
              </w:rPr>
            </w:pPr>
          </w:p>
        </w:tc>
        <w:tc>
          <w:tcPr>
            <w:tcW w:w="709" w:type="dxa"/>
            <w:vMerge/>
            <w:tcBorders>
              <w:top w:val="nil"/>
              <w:left w:val="single" w:sz="4" w:space="0" w:color="auto"/>
              <w:bottom w:val="single" w:sz="4" w:space="0" w:color="auto"/>
              <w:right w:val="single" w:sz="4" w:space="0" w:color="auto"/>
            </w:tcBorders>
            <w:vAlign w:val="center"/>
          </w:tcPr>
          <w:p w14:paraId="4133FAC3" w14:textId="77777777" w:rsidR="00D61BF9" w:rsidRDefault="00D61BF9">
            <w:pPr>
              <w:spacing w:after="0" w:line="240" w:lineRule="auto"/>
              <w:rPr>
                <w:rFonts w:ascii="Calibri" w:eastAsia="Times New Roman" w:hAnsi="Calibri" w:cs="Calibri"/>
                <w:b/>
                <w:bCs/>
                <w:kern w:val="0"/>
                <w:sz w:val="16"/>
                <w:szCs w:val="16"/>
                <w:lang w:eastAsia="en-GB"/>
                <w14:ligatures w14:val="none"/>
              </w:rPr>
            </w:pPr>
          </w:p>
        </w:tc>
        <w:tc>
          <w:tcPr>
            <w:tcW w:w="567" w:type="dxa"/>
            <w:tcBorders>
              <w:top w:val="nil"/>
              <w:left w:val="nil"/>
              <w:bottom w:val="single" w:sz="4" w:space="0" w:color="auto"/>
              <w:right w:val="single" w:sz="4" w:space="0" w:color="auto"/>
            </w:tcBorders>
            <w:shd w:val="clear" w:color="000000" w:fill="F2F2F2"/>
            <w:vAlign w:val="center"/>
          </w:tcPr>
          <w:p w14:paraId="0227E9C7" w14:textId="77777777" w:rsidR="00D61BF9" w:rsidRDefault="00000000">
            <w:pPr>
              <w:spacing w:after="0" w:line="240" w:lineRule="auto"/>
              <w:jc w:val="center"/>
              <w:rPr>
                <w:rFonts w:ascii="Calibri" w:eastAsia="Times New Roman" w:hAnsi="Calibri" w:cs="Calibri"/>
                <w:b/>
                <w:bCs/>
                <w:color w:val="00B050"/>
                <w:kern w:val="0"/>
                <w:sz w:val="16"/>
                <w:szCs w:val="16"/>
                <w:lang w:eastAsia="en-GB"/>
                <w14:ligatures w14:val="none"/>
              </w:rPr>
            </w:pPr>
            <w:r>
              <w:rPr>
                <w:rFonts w:ascii="Calibri" w:eastAsia="Times New Roman" w:hAnsi="Calibri" w:cs="Calibri"/>
                <w:b/>
                <w:bCs/>
                <w:color w:val="00B050"/>
                <w:kern w:val="0"/>
                <w:sz w:val="16"/>
                <w:szCs w:val="16"/>
                <w:lang w:eastAsia="en-GB"/>
                <w14:ligatures w14:val="none"/>
              </w:rPr>
              <w:t>上升</w:t>
            </w:r>
          </w:p>
        </w:tc>
        <w:tc>
          <w:tcPr>
            <w:tcW w:w="709" w:type="dxa"/>
            <w:tcBorders>
              <w:top w:val="nil"/>
              <w:left w:val="nil"/>
              <w:bottom w:val="single" w:sz="4" w:space="0" w:color="auto"/>
              <w:right w:val="single" w:sz="4" w:space="0" w:color="auto"/>
            </w:tcBorders>
            <w:shd w:val="clear" w:color="000000" w:fill="F2F2F2"/>
            <w:vAlign w:val="center"/>
          </w:tcPr>
          <w:p w14:paraId="50403017" w14:textId="77777777" w:rsidR="00D61BF9" w:rsidRDefault="00000000">
            <w:pPr>
              <w:spacing w:after="0" w:line="240" w:lineRule="auto"/>
              <w:jc w:val="center"/>
              <w:rPr>
                <w:rFonts w:ascii="Calibri" w:eastAsia="Times New Roman" w:hAnsi="Calibri" w:cs="Calibri"/>
                <w:b/>
                <w:bCs/>
                <w:color w:val="C00000"/>
                <w:kern w:val="0"/>
                <w:sz w:val="16"/>
                <w:szCs w:val="16"/>
                <w:lang w:eastAsia="en-GB"/>
                <w14:ligatures w14:val="none"/>
              </w:rPr>
            </w:pPr>
            <w:r>
              <w:rPr>
                <w:rFonts w:ascii="Calibri" w:eastAsia="Times New Roman" w:hAnsi="Calibri" w:cs="Calibri"/>
                <w:b/>
                <w:bCs/>
                <w:color w:val="C00000"/>
                <w:kern w:val="0"/>
                <w:sz w:val="16"/>
                <w:szCs w:val="16"/>
                <w:lang w:eastAsia="en-GB"/>
                <w14:ligatures w14:val="none"/>
              </w:rPr>
              <w:t>下降</w:t>
            </w:r>
          </w:p>
        </w:tc>
        <w:tc>
          <w:tcPr>
            <w:tcW w:w="709" w:type="dxa"/>
            <w:tcBorders>
              <w:top w:val="nil"/>
              <w:left w:val="nil"/>
              <w:bottom w:val="single" w:sz="4" w:space="0" w:color="auto"/>
              <w:right w:val="single" w:sz="4" w:space="0" w:color="auto"/>
            </w:tcBorders>
            <w:shd w:val="clear" w:color="000000" w:fill="F2F2F2"/>
            <w:vAlign w:val="center"/>
          </w:tcPr>
          <w:p w14:paraId="4981B00F" w14:textId="77777777" w:rsidR="00D61BF9" w:rsidRDefault="00000000">
            <w:pPr>
              <w:spacing w:after="0" w:line="240" w:lineRule="auto"/>
              <w:jc w:val="center"/>
              <w:rPr>
                <w:rFonts w:ascii="Calibri" w:eastAsia="Times New Roman" w:hAnsi="Calibri" w:cs="Calibri"/>
                <w:b/>
                <w:bCs/>
                <w:color w:val="FFC000"/>
                <w:kern w:val="0"/>
                <w:sz w:val="16"/>
                <w:szCs w:val="16"/>
                <w:lang w:eastAsia="en-GB"/>
                <w14:ligatures w14:val="none"/>
              </w:rPr>
            </w:pPr>
            <w:r>
              <w:rPr>
                <w:rFonts w:ascii="Calibri" w:eastAsia="Times New Roman" w:hAnsi="Calibri" w:cs="Calibri"/>
                <w:b/>
                <w:bCs/>
                <w:color w:val="FFC000"/>
                <w:kern w:val="0"/>
                <w:sz w:val="16"/>
                <w:szCs w:val="16"/>
                <w:lang w:eastAsia="en-GB"/>
                <w14:ligatures w14:val="none"/>
              </w:rPr>
              <w:t>持平</w:t>
            </w:r>
          </w:p>
        </w:tc>
        <w:tc>
          <w:tcPr>
            <w:tcW w:w="987" w:type="dxa"/>
            <w:tcBorders>
              <w:top w:val="nil"/>
              <w:left w:val="nil"/>
              <w:bottom w:val="single" w:sz="4" w:space="0" w:color="auto"/>
              <w:right w:val="single" w:sz="4" w:space="0" w:color="auto"/>
            </w:tcBorders>
            <w:vAlign w:val="center"/>
          </w:tcPr>
          <w:p w14:paraId="0F4C07CB"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地区</w:t>
            </w:r>
          </w:p>
        </w:tc>
        <w:tc>
          <w:tcPr>
            <w:tcW w:w="992" w:type="dxa"/>
            <w:tcBorders>
              <w:top w:val="nil"/>
              <w:left w:val="nil"/>
              <w:bottom w:val="single" w:sz="4" w:space="0" w:color="auto"/>
              <w:right w:val="single" w:sz="4" w:space="0" w:color="auto"/>
            </w:tcBorders>
            <w:vAlign w:val="center"/>
          </w:tcPr>
          <w:p w14:paraId="72D3B023"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国内</w:t>
            </w:r>
          </w:p>
        </w:tc>
        <w:tc>
          <w:tcPr>
            <w:tcW w:w="1985" w:type="dxa"/>
            <w:tcBorders>
              <w:top w:val="nil"/>
              <w:left w:val="nil"/>
              <w:bottom w:val="single" w:sz="4" w:space="0" w:color="auto"/>
              <w:right w:val="single" w:sz="4" w:space="0" w:color="auto"/>
            </w:tcBorders>
            <w:shd w:val="clear" w:color="000000" w:fill="F2F2F2"/>
            <w:noWrap/>
            <w:vAlign w:val="bottom"/>
          </w:tcPr>
          <w:p w14:paraId="3E19342A" w14:textId="77777777" w:rsidR="00D61BF9" w:rsidRDefault="00000000">
            <w:pPr>
              <w:spacing w:after="0" w:line="240" w:lineRule="auto"/>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名称</w:t>
            </w:r>
          </w:p>
        </w:tc>
        <w:tc>
          <w:tcPr>
            <w:tcW w:w="992" w:type="dxa"/>
            <w:tcBorders>
              <w:top w:val="nil"/>
              <w:left w:val="nil"/>
              <w:bottom w:val="single" w:sz="4" w:space="0" w:color="auto"/>
              <w:right w:val="single" w:sz="4" w:space="0" w:color="auto"/>
            </w:tcBorders>
            <w:shd w:val="clear" w:color="000000" w:fill="F2F2F2"/>
            <w:noWrap/>
            <w:vAlign w:val="bottom"/>
          </w:tcPr>
          <w:p w14:paraId="67F2F610"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指标排名</w:t>
            </w:r>
          </w:p>
        </w:tc>
        <w:tc>
          <w:tcPr>
            <w:tcW w:w="850" w:type="dxa"/>
            <w:tcBorders>
              <w:top w:val="nil"/>
              <w:left w:val="nil"/>
              <w:bottom w:val="single" w:sz="4" w:space="0" w:color="auto"/>
              <w:right w:val="single" w:sz="4" w:space="0" w:color="auto"/>
            </w:tcBorders>
            <w:shd w:val="clear" w:color="000000" w:fill="F2F2F2"/>
            <w:noWrap/>
            <w:vAlign w:val="bottom"/>
          </w:tcPr>
          <w:p w14:paraId="6ED6B69A" w14:textId="77777777" w:rsidR="00D61BF9" w:rsidRDefault="00000000">
            <w:pPr>
              <w:spacing w:after="0" w:line="240" w:lineRule="auto"/>
              <w:jc w:val="center"/>
              <w:rPr>
                <w:rFonts w:ascii="Calibri" w:eastAsia="Times New Roman" w:hAnsi="Calibri" w:cs="Calibri"/>
                <w:b/>
                <w:bCs/>
                <w:kern w:val="0"/>
                <w:sz w:val="16"/>
                <w:szCs w:val="16"/>
                <w:lang w:eastAsia="en-GB"/>
                <w14:ligatures w14:val="none"/>
              </w:rPr>
            </w:pPr>
            <w:r>
              <w:rPr>
                <w:rFonts w:ascii="Calibri" w:eastAsia="Times New Roman" w:hAnsi="Calibri" w:cs="Calibri"/>
                <w:b/>
                <w:bCs/>
                <w:kern w:val="0"/>
                <w:sz w:val="16"/>
                <w:szCs w:val="16"/>
                <w:lang w:eastAsia="en-GB"/>
                <w14:ligatures w14:val="none"/>
              </w:rPr>
              <w:t>综合排名</w:t>
            </w:r>
          </w:p>
        </w:tc>
      </w:tr>
      <w:tr w:rsidR="00D61BF9" w14:paraId="1557367F"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22EB5DAA"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学术声誉</w:t>
            </w:r>
          </w:p>
        </w:tc>
        <w:tc>
          <w:tcPr>
            <w:tcW w:w="709" w:type="dxa"/>
            <w:tcBorders>
              <w:top w:val="nil"/>
              <w:left w:val="nil"/>
              <w:bottom w:val="single" w:sz="4" w:space="0" w:color="auto"/>
              <w:right w:val="single" w:sz="4" w:space="0" w:color="auto"/>
            </w:tcBorders>
            <w:noWrap/>
            <w:vAlign w:val="center"/>
          </w:tcPr>
          <w:p w14:paraId="3A74FB4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30%</w:t>
            </w:r>
          </w:p>
        </w:tc>
        <w:tc>
          <w:tcPr>
            <w:tcW w:w="567" w:type="dxa"/>
            <w:tcBorders>
              <w:top w:val="nil"/>
              <w:left w:val="nil"/>
              <w:bottom w:val="single" w:sz="4" w:space="0" w:color="auto"/>
              <w:right w:val="single" w:sz="4" w:space="0" w:color="auto"/>
            </w:tcBorders>
            <w:shd w:val="clear" w:color="000000" w:fill="F2F2F2"/>
            <w:noWrap/>
            <w:vAlign w:val="bottom"/>
          </w:tcPr>
          <w:p w14:paraId="34D7C4CE"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54%</w:t>
            </w:r>
          </w:p>
        </w:tc>
        <w:tc>
          <w:tcPr>
            <w:tcW w:w="709" w:type="dxa"/>
            <w:tcBorders>
              <w:top w:val="nil"/>
              <w:left w:val="nil"/>
              <w:bottom w:val="single" w:sz="4" w:space="0" w:color="auto"/>
              <w:right w:val="single" w:sz="4" w:space="0" w:color="auto"/>
            </w:tcBorders>
            <w:shd w:val="clear" w:color="000000" w:fill="F2F2F2"/>
            <w:noWrap/>
            <w:vAlign w:val="bottom"/>
          </w:tcPr>
          <w:p w14:paraId="54A5E4A8"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45%</w:t>
            </w:r>
          </w:p>
        </w:tc>
        <w:tc>
          <w:tcPr>
            <w:tcW w:w="709" w:type="dxa"/>
            <w:tcBorders>
              <w:top w:val="nil"/>
              <w:left w:val="nil"/>
              <w:bottom w:val="single" w:sz="4" w:space="0" w:color="auto"/>
              <w:right w:val="single" w:sz="4" w:space="0" w:color="auto"/>
            </w:tcBorders>
            <w:shd w:val="clear" w:color="000000" w:fill="F2F2F2"/>
            <w:noWrap/>
            <w:vAlign w:val="bottom"/>
          </w:tcPr>
          <w:p w14:paraId="7B41E85B"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2A7BD768"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22.4</w:t>
            </w:r>
          </w:p>
        </w:tc>
        <w:tc>
          <w:tcPr>
            <w:tcW w:w="992" w:type="dxa"/>
            <w:tcBorders>
              <w:top w:val="nil"/>
              <w:left w:val="nil"/>
              <w:bottom w:val="single" w:sz="4" w:space="0" w:color="auto"/>
              <w:right w:val="single" w:sz="4" w:space="0" w:color="auto"/>
            </w:tcBorders>
            <w:noWrap/>
            <w:vAlign w:val="bottom"/>
          </w:tcPr>
          <w:p w14:paraId="6C037D6E"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16.7</w:t>
            </w:r>
          </w:p>
        </w:tc>
        <w:tc>
          <w:tcPr>
            <w:tcW w:w="1985" w:type="dxa"/>
            <w:tcBorders>
              <w:top w:val="nil"/>
              <w:left w:val="nil"/>
              <w:bottom w:val="single" w:sz="4" w:space="0" w:color="auto"/>
              <w:right w:val="single" w:sz="4" w:space="0" w:color="auto"/>
            </w:tcBorders>
            <w:shd w:val="clear" w:color="000000" w:fill="F2F2F2"/>
            <w:noWrap/>
            <w:vAlign w:val="bottom"/>
          </w:tcPr>
          <w:p w14:paraId="5CEFDE32"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北京大学</w:t>
            </w:r>
          </w:p>
        </w:tc>
        <w:tc>
          <w:tcPr>
            <w:tcW w:w="992" w:type="dxa"/>
            <w:tcBorders>
              <w:top w:val="nil"/>
              <w:left w:val="nil"/>
              <w:bottom w:val="single" w:sz="4" w:space="0" w:color="auto"/>
              <w:right w:val="single" w:sz="4" w:space="0" w:color="auto"/>
            </w:tcBorders>
            <w:shd w:val="clear" w:color="000000" w:fill="F2F2F2"/>
            <w:noWrap/>
            <w:vAlign w:val="bottom"/>
          </w:tcPr>
          <w:p w14:paraId="792BFA1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w:t>
            </w:r>
          </w:p>
        </w:tc>
        <w:tc>
          <w:tcPr>
            <w:tcW w:w="850" w:type="dxa"/>
            <w:tcBorders>
              <w:top w:val="nil"/>
              <w:left w:val="nil"/>
              <w:bottom w:val="single" w:sz="4" w:space="0" w:color="auto"/>
              <w:right w:val="single" w:sz="4" w:space="0" w:color="auto"/>
            </w:tcBorders>
            <w:shd w:val="clear" w:color="000000" w:fill="F2F2F2"/>
            <w:noWrap/>
            <w:vAlign w:val="bottom"/>
          </w:tcPr>
          <w:p w14:paraId="2726C4C3"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w:t>
            </w:r>
          </w:p>
        </w:tc>
      </w:tr>
      <w:tr w:rsidR="00D61BF9" w14:paraId="38F5780B"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4DD26ED1"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雇主声誉</w:t>
            </w:r>
          </w:p>
        </w:tc>
        <w:tc>
          <w:tcPr>
            <w:tcW w:w="709" w:type="dxa"/>
            <w:tcBorders>
              <w:top w:val="nil"/>
              <w:left w:val="nil"/>
              <w:bottom w:val="single" w:sz="4" w:space="0" w:color="auto"/>
              <w:right w:val="single" w:sz="4" w:space="0" w:color="auto"/>
            </w:tcBorders>
            <w:noWrap/>
            <w:vAlign w:val="center"/>
          </w:tcPr>
          <w:p w14:paraId="1CF2291C"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20%</w:t>
            </w:r>
          </w:p>
        </w:tc>
        <w:tc>
          <w:tcPr>
            <w:tcW w:w="567" w:type="dxa"/>
            <w:tcBorders>
              <w:top w:val="nil"/>
              <w:left w:val="nil"/>
              <w:bottom w:val="single" w:sz="4" w:space="0" w:color="auto"/>
              <w:right w:val="single" w:sz="4" w:space="0" w:color="auto"/>
            </w:tcBorders>
            <w:shd w:val="clear" w:color="000000" w:fill="F2F2F2"/>
            <w:noWrap/>
            <w:vAlign w:val="bottom"/>
          </w:tcPr>
          <w:p w14:paraId="111FE134"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63%</w:t>
            </w:r>
          </w:p>
        </w:tc>
        <w:tc>
          <w:tcPr>
            <w:tcW w:w="709" w:type="dxa"/>
            <w:tcBorders>
              <w:top w:val="nil"/>
              <w:left w:val="nil"/>
              <w:bottom w:val="single" w:sz="4" w:space="0" w:color="auto"/>
              <w:right w:val="single" w:sz="4" w:space="0" w:color="auto"/>
            </w:tcBorders>
            <w:shd w:val="clear" w:color="000000" w:fill="F2F2F2"/>
            <w:noWrap/>
            <w:vAlign w:val="bottom"/>
          </w:tcPr>
          <w:p w14:paraId="0F0F4D0E"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36%</w:t>
            </w:r>
          </w:p>
        </w:tc>
        <w:tc>
          <w:tcPr>
            <w:tcW w:w="709" w:type="dxa"/>
            <w:tcBorders>
              <w:top w:val="nil"/>
              <w:left w:val="nil"/>
              <w:bottom w:val="single" w:sz="4" w:space="0" w:color="auto"/>
              <w:right w:val="single" w:sz="4" w:space="0" w:color="auto"/>
            </w:tcBorders>
            <w:shd w:val="clear" w:color="000000" w:fill="F2F2F2"/>
            <w:noWrap/>
            <w:vAlign w:val="bottom"/>
          </w:tcPr>
          <w:p w14:paraId="590BB84C"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31AA2DE0"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24.9</w:t>
            </w:r>
          </w:p>
        </w:tc>
        <w:tc>
          <w:tcPr>
            <w:tcW w:w="992" w:type="dxa"/>
            <w:tcBorders>
              <w:top w:val="nil"/>
              <w:left w:val="nil"/>
              <w:bottom w:val="single" w:sz="4" w:space="0" w:color="auto"/>
              <w:right w:val="single" w:sz="4" w:space="0" w:color="auto"/>
            </w:tcBorders>
            <w:noWrap/>
            <w:vAlign w:val="bottom"/>
          </w:tcPr>
          <w:p w14:paraId="68AEC449"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21.5</w:t>
            </w:r>
          </w:p>
        </w:tc>
        <w:tc>
          <w:tcPr>
            <w:tcW w:w="1985" w:type="dxa"/>
            <w:tcBorders>
              <w:top w:val="nil"/>
              <w:left w:val="nil"/>
              <w:bottom w:val="single" w:sz="4" w:space="0" w:color="auto"/>
              <w:right w:val="single" w:sz="4" w:space="0" w:color="auto"/>
            </w:tcBorders>
            <w:shd w:val="clear" w:color="000000" w:fill="F2F2F2"/>
            <w:noWrap/>
            <w:vAlign w:val="bottom"/>
          </w:tcPr>
          <w:p w14:paraId="13AD2387"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清华大学</w:t>
            </w:r>
          </w:p>
        </w:tc>
        <w:tc>
          <w:tcPr>
            <w:tcW w:w="992" w:type="dxa"/>
            <w:tcBorders>
              <w:top w:val="nil"/>
              <w:left w:val="nil"/>
              <w:bottom w:val="single" w:sz="4" w:space="0" w:color="auto"/>
              <w:right w:val="single" w:sz="4" w:space="0" w:color="auto"/>
            </w:tcBorders>
            <w:shd w:val="clear" w:color="000000" w:fill="F2F2F2"/>
            <w:noWrap/>
            <w:vAlign w:val="bottom"/>
          </w:tcPr>
          <w:p w14:paraId="7438A0F2"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w:t>
            </w:r>
          </w:p>
        </w:tc>
        <w:tc>
          <w:tcPr>
            <w:tcW w:w="850" w:type="dxa"/>
            <w:tcBorders>
              <w:top w:val="nil"/>
              <w:left w:val="nil"/>
              <w:bottom w:val="single" w:sz="4" w:space="0" w:color="auto"/>
              <w:right w:val="single" w:sz="4" w:space="0" w:color="auto"/>
            </w:tcBorders>
            <w:shd w:val="clear" w:color="000000" w:fill="F2F2F2"/>
            <w:noWrap/>
            <w:vAlign w:val="bottom"/>
          </w:tcPr>
          <w:p w14:paraId="3B8358E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w:t>
            </w:r>
          </w:p>
        </w:tc>
      </w:tr>
      <w:tr w:rsidR="00D61BF9" w14:paraId="59F59D80"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3C0B22B3"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师生比</w:t>
            </w:r>
          </w:p>
        </w:tc>
        <w:tc>
          <w:tcPr>
            <w:tcW w:w="709" w:type="dxa"/>
            <w:tcBorders>
              <w:top w:val="nil"/>
              <w:left w:val="nil"/>
              <w:bottom w:val="single" w:sz="4" w:space="0" w:color="auto"/>
              <w:right w:val="single" w:sz="4" w:space="0" w:color="auto"/>
            </w:tcBorders>
            <w:noWrap/>
            <w:vAlign w:val="center"/>
          </w:tcPr>
          <w:p w14:paraId="123F0BA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10%</w:t>
            </w:r>
          </w:p>
        </w:tc>
        <w:tc>
          <w:tcPr>
            <w:tcW w:w="567" w:type="dxa"/>
            <w:tcBorders>
              <w:top w:val="nil"/>
              <w:left w:val="nil"/>
              <w:bottom w:val="single" w:sz="4" w:space="0" w:color="auto"/>
              <w:right w:val="single" w:sz="4" w:space="0" w:color="auto"/>
            </w:tcBorders>
            <w:shd w:val="clear" w:color="000000" w:fill="F2F2F2"/>
            <w:noWrap/>
            <w:vAlign w:val="bottom"/>
          </w:tcPr>
          <w:p w14:paraId="17AF3C0C"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19%</w:t>
            </w:r>
          </w:p>
        </w:tc>
        <w:tc>
          <w:tcPr>
            <w:tcW w:w="709" w:type="dxa"/>
            <w:tcBorders>
              <w:top w:val="nil"/>
              <w:left w:val="nil"/>
              <w:bottom w:val="single" w:sz="4" w:space="0" w:color="auto"/>
              <w:right w:val="single" w:sz="4" w:space="0" w:color="auto"/>
            </w:tcBorders>
            <w:shd w:val="clear" w:color="000000" w:fill="F2F2F2"/>
            <w:noWrap/>
            <w:vAlign w:val="bottom"/>
          </w:tcPr>
          <w:p w14:paraId="389F502F"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80%</w:t>
            </w:r>
          </w:p>
        </w:tc>
        <w:tc>
          <w:tcPr>
            <w:tcW w:w="709" w:type="dxa"/>
            <w:tcBorders>
              <w:top w:val="nil"/>
              <w:left w:val="nil"/>
              <w:bottom w:val="single" w:sz="4" w:space="0" w:color="auto"/>
              <w:right w:val="single" w:sz="4" w:space="0" w:color="auto"/>
            </w:tcBorders>
            <w:shd w:val="clear" w:color="000000" w:fill="F2F2F2"/>
            <w:noWrap/>
            <w:vAlign w:val="bottom"/>
          </w:tcPr>
          <w:p w14:paraId="52D3DAEA"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2482138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34.6</w:t>
            </w:r>
          </w:p>
        </w:tc>
        <w:tc>
          <w:tcPr>
            <w:tcW w:w="992" w:type="dxa"/>
            <w:tcBorders>
              <w:top w:val="nil"/>
              <w:left w:val="nil"/>
              <w:bottom w:val="single" w:sz="4" w:space="0" w:color="auto"/>
              <w:right w:val="single" w:sz="4" w:space="0" w:color="auto"/>
            </w:tcBorders>
            <w:noWrap/>
            <w:vAlign w:val="bottom"/>
          </w:tcPr>
          <w:p w14:paraId="2D35128B"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37.8</w:t>
            </w:r>
          </w:p>
        </w:tc>
        <w:tc>
          <w:tcPr>
            <w:tcW w:w="1985" w:type="dxa"/>
            <w:tcBorders>
              <w:top w:val="nil"/>
              <w:left w:val="nil"/>
              <w:bottom w:val="single" w:sz="4" w:space="0" w:color="auto"/>
              <w:right w:val="single" w:sz="4" w:space="0" w:color="auto"/>
            </w:tcBorders>
            <w:shd w:val="clear" w:color="000000" w:fill="F2F2F2"/>
            <w:noWrap/>
            <w:vAlign w:val="bottom"/>
          </w:tcPr>
          <w:p w14:paraId="68151DCF"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上海中医药大学</w:t>
            </w:r>
          </w:p>
        </w:tc>
        <w:tc>
          <w:tcPr>
            <w:tcW w:w="992" w:type="dxa"/>
            <w:tcBorders>
              <w:top w:val="nil"/>
              <w:left w:val="nil"/>
              <w:bottom w:val="single" w:sz="4" w:space="0" w:color="auto"/>
              <w:right w:val="single" w:sz="4" w:space="0" w:color="auto"/>
            </w:tcBorders>
            <w:shd w:val="clear" w:color="000000" w:fill="F2F2F2"/>
            <w:noWrap/>
            <w:vAlign w:val="bottom"/>
          </w:tcPr>
          <w:p w14:paraId="0D257AB3"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w:t>
            </w:r>
          </w:p>
        </w:tc>
        <w:tc>
          <w:tcPr>
            <w:tcW w:w="850" w:type="dxa"/>
            <w:tcBorders>
              <w:top w:val="nil"/>
              <w:left w:val="nil"/>
              <w:bottom w:val="single" w:sz="4" w:space="0" w:color="auto"/>
              <w:right w:val="single" w:sz="4" w:space="0" w:color="auto"/>
            </w:tcBorders>
            <w:shd w:val="clear" w:color="000000" w:fill="F2F2F2"/>
            <w:noWrap/>
            <w:vAlign w:val="bottom"/>
          </w:tcPr>
          <w:p w14:paraId="71E0D91A"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561</w:t>
            </w:r>
          </w:p>
        </w:tc>
      </w:tr>
      <w:tr w:rsidR="00D61BF9" w14:paraId="7E53A0EF"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3EA8166F"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lastRenderedPageBreak/>
              <w:t>每篇论文被引用次数</w:t>
            </w:r>
          </w:p>
        </w:tc>
        <w:tc>
          <w:tcPr>
            <w:tcW w:w="709" w:type="dxa"/>
            <w:tcBorders>
              <w:top w:val="nil"/>
              <w:left w:val="nil"/>
              <w:bottom w:val="single" w:sz="4" w:space="0" w:color="auto"/>
              <w:right w:val="single" w:sz="4" w:space="0" w:color="auto"/>
            </w:tcBorders>
            <w:noWrap/>
            <w:vAlign w:val="center"/>
          </w:tcPr>
          <w:p w14:paraId="51717F7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10%</w:t>
            </w:r>
          </w:p>
        </w:tc>
        <w:tc>
          <w:tcPr>
            <w:tcW w:w="567" w:type="dxa"/>
            <w:tcBorders>
              <w:top w:val="nil"/>
              <w:left w:val="nil"/>
              <w:bottom w:val="single" w:sz="4" w:space="0" w:color="auto"/>
              <w:right w:val="single" w:sz="4" w:space="0" w:color="auto"/>
            </w:tcBorders>
            <w:shd w:val="clear" w:color="000000" w:fill="F2F2F2"/>
            <w:noWrap/>
            <w:vAlign w:val="bottom"/>
          </w:tcPr>
          <w:p w14:paraId="0A3485C0"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20%</w:t>
            </w:r>
          </w:p>
        </w:tc>
        <w:tc>
          <w:tcPr>
            <w:tcW w:w="709" w:type="dxa"/>
            <w:tcBorders>
              <w:top w:val="nil"/>
              <w:left w:val="nil"/>
              <w:bottom w:val="single" w:sz="4" w:space="0" w:color="auto"/>
              <w:right w:val="single" w:sz="4" w:space="0" w:color="auto"/>
            </w:tcBorders>
            <w:shd w:val="clear" w:color="000000" w:fill="F2F2F2"/>
            <w:noWrap/>
            <w:vAlign w:val="bottom"/>
          </w:tcPr>
          <w:p w14:paraId="1BFBD817"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80%</w:t>
            </w:r>
          </w:p>
        </w:tc>
        <w:tc>
          <w:tcPr>
            <w:tcW w:w="709" w:type="dxa"/>
            <w:tcBorders>
              <w:top w:val="nil"/>
              <w:left w:val="nil"/>
              <w:bottom w:val="single" w:sz="4" w:space="0" w:color="auto"/>
              <w:right w:val="single" w:sz="4" w:space="0" w:color="auto"/>
            </w:tcBorders>
            <w:shd w:val="clear" w:color="000000" w:fill="F2F2F2"/>
            <w:noWrap/>
            <w:vAlign w:val="bottom"/>
          </w:tcPr>
          <w:p w14:paraId="279DACD2"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0%</w:t>
            </w:r>
          </w:p>
        </w:tc>
        <w:tc>
          <w:tcPr>
            <w:tcW w:w="987" w:type="dxa"/>
            <w:tcBorders>
              <w:top w:val="nil"/>
              <w:left w:val="nil"/>
              <w:bottom w:val="single" w:sz="4" w:space="0" w:color="auto"/>
              <w:right w:val="single" w:sz="4" w:space="0" w:color="auto"/>
            </w:tcBorders>
            <w:noWrap/>
            <w:vAlign w:val="bottom"/>
          </w:tcPr>
          <w:p w14:paraId="66FBAC2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35.2</w:t>
            </w:r>
          </w:p>
        </w:tc>
        <w:tc>
          <w:tcPr>
            <w:tcW w:w="992" w:type="dxa"/>
            <w:tcBorders>
              <w:top w:val="nil"/>
              <w:left w:val="nil"/>
              <w:bottom w:val="single" w:sz="4" w:space="0" w:color="auto"/>
              <w:right w:val="single" w:sz="4" w:space="0" w:color="auto"/>
            </w:tcBorders>
            <w:noWrap/>
            <w:vAlign w:val="bottom"/>
          </w:tcPr>
          <w:p w14:paraId="6009743E"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51.6</w:t>
            </w:r>
          </w:p>
        </w:tc>
        <w:tc>
          <w:tcPr>
            <w:tcW w:w="1985" w:type="dxa"/>
            <w:tcBorders>
              <w:top w:val="nil"/>
              <w:left w:val="nil"/>
              <w:bottom w:val="single" w:sz="4" w:space="0" w:color="auto"/>
              <w:right w:val="single" w:sz="4" w:space="0" w:color="auto"/>
            </w:tcBorders>
            <w:shd w:val="clear" w:color="000000" w:fill="F2F2F2"/>
            <w:noWrap/>
            <w:vAlign w:val="bottom"/>
          </w:tcPr>
          <w:p w14:paraId="65BD6150"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对外经济贸易大学</w:t>
            </w:r>
          </w:p>
        </w:tc>
        <w:tc>
          <w:tcPr>
            <w:tcW w:w="992" w:type="dxa"/>
            <w:tcBorders>
              <w:top w:val="nil"/>
              <w:left w:val="nil"/>
              <w:bottom w:val="single" w:sz="4" w:space="0" w:color="auto"/>
              <w:right w:val="single" w:sz="4" w:space="0" w:color="auto"/>
            </w:tcBorders>
            <w:shd w:val="clear" w:color="000000" w:fill="F2F2F2"/>
            <w:noWrap/>
            <w:vAlign w:val="bottom"/>
          </w:tcPr>
          <w:p w14:paraId="2D4B1E65"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15</w:t>
            </w:r>
          </w:p>
        </w:tc>
        <w:tc>
          <w:tcPr>
            <w:tcW w:w="850" w:type="dxa"/>
            <w:tcBorders>
              <w:top w:val="nil"/>
              <w:left w:val="nil"/>
              <w:bottom w:val="single" w:sz="4" w:space="0" w:color="auto"/>
              <w:right w:val="single" w:sz="4" w:space="0" w:color="auto"/>
            </w:tcBorders>
            <w:shd w:val="clear" w:color="000000" w:fill="F2F2F2"/>
            <w:noWrap/>
            <w:vAlign w:val="bottom"/>
          </w:tcPr>
          <w:p w14:paraId="35D9C47C"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352</w:t>
            </w:r>
          </w:p>
        </w:tc>
      </w:tr>
      <w:tr w:rsidR="00D61BF9" w14:paraId="0867E552"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6951F37F"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每位教师发表论文数</w:t>
            </w:r>
          </w:p>
        </w:tc>
        <w:tc>
          <w:tcPr>
            <w:tcW w:w="709" w:type="dxa"/>
            <w:tcBorders>
              <w:top w:val="nil"/>
              <w:left w:val="nil"/>
              <w:bottom w:val="single" w:sz="4" w:space="0" w:color="auto"/>
              <w:right w:val="single" w:sz="4" w:space="0" w:color="auto"/>
            </w:tcBorders>
            <w:noWrap/>
            <w:vAlign w:val="center"/>
          </w:tcPr>
          <w:p w14:paraId="07F746F3"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w:t>
            </w:r>
          </w:p>
        </w:tc>
        <w:tc>
          <w:tcPr>
            <w:tcW w:w="567" w:type="dxa"/>
            <w:tcBorders>
              <w:top w:val="nil"/>
              <w:left w:val="nil"/>
              <w:bottom w:val="single" w:sz="4" w:space="0" w:color="auto"/>
              <w:right w:val="single" w:sz="4" w:space="0" w:color="auto"/>
            </w:tcBorders>
            <w:shd w:val="clear" w:color="000000" w:fill="F2F2F2"/>
            <w:noWrap/>
            <w:vAlign w:val="bottom"/>
          </w:tcPr>
          <w:p w14:paraId="34699CC3"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54%</w:t>
            </w:r>
          </w:p>
        </w:tc>
        <w:tc>
          <w:tcPr>
            <w:tcW w:w="709" w:type="dxa"/>
            <w:tcBorders>
              <w:top w:val="nil"/>
              <w:left w:val="nil"/>
              <w:bottom w:val="single" w:sz="4" w:space="0" w:color="auto"/>
              <w:right w:val="single" w:sz="4" w:space="0" w:color="auto"/>
            </w:tcBorders>
            <w:shd w:val="clear" w:color="000000" w:fill="F2F2F2"/>
            <w:noWrap/>
            <w:vAlign w:val="bottom"/>
          </w:tcPr>
          <w:p w14:paraId="52AFBF6D"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45%</w:t>
            </w:r>
          </w:p>
        </w:tc>
        <w:tc>
          <w:tcPr>
            <w:tcW w:w="709" w:type="dxa"/>
            <w:tcBorders>
              <w:top w:val="nil"/>
              <w:left w:val="nil"/>
              <w:bottom w:val="single" w:sz="4" w:space="0" w:color="auto"/>
              <w:right w:val="single" w:sz="4" w:space="0" w:color="auto"/>
            </w:tcBorders>
            <w:shd w:val="clear" w:color="000000" w:fill="F2F2F2"/>
            <w:noWrap/>
            <w:vAlign w:val="bottom"/>
          </w:tcPr>
          <w:p w14:paraId="3B4FA997"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7A29DC65"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29.7</w:t>
            </w:r>
          </w:p>
        </w:tc>
        <w:tc>
          <w:tcPr>
            <w:tcW w:w="992" w:type="dxa"/>
            <w:tcBorders>
              <w:top w:val="nil"/>
              <w:left w:val="nil"/>
              <w:bottom w:val="single" w:sz="4" w:space="0" w:color="auto"/>
              <w:right w:val="single" w:sz="4" w:space="0" w:color="auto"/>
            </w:tcBorders>
            <w:noWrap/>
            <w:vAlign w:val="bottom"/>
          </w:tcPr>
          <w:p w14:paraId="32F90707"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32.8</w:t>
            </w:r>
          </w:p>
        </w:tc>
        <w:tc>
          <w:tcPr>
            <w:tcW w:w="1985" w:type="dxa"/>
            <w:tcBorders>
              <w:top w:val="nil"/>
              <w:left w:val="nil"/>
              <w:bottom w:val="single" w:sz="4" w:space="0" w:color="auto"/>
              <w:right w:val="single" w:sz="4" w:space="0" w:color="auto"/>
            </w:tcBorders>
            <w:shd w:val="clear" w:color="000000" w:fill="F2F2F2"/>
            <w:noWrap/>
            <w:vAlign w:val="bottom"/>
          </w:tcPr>
          <w:p w14:paraId="168F6698"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哈尔滨工业大学</w:t>
            </w:r>
          </w:p>
        </w:tc>
        <w:tc>
          <w:tcPr>
            <w:tcW w:w="992" w:type="dxa"/>
            <w:tcBorders>
              <w:top w:val="nil"/>
              <w:left w:val="nil"/>
              <w:bottom w:val="single" w:sz="4" w:space="0" w:color="auto"/>
              <w:right w:val="single" w:sz="4" w:space="0" w:color="auto"/>
            </w:tcBorders>
            <w:shd w:val="clear" w:color="000000" w:fill="F2F2F2"/>
            <w:noWrap/>
            <w:vAlign w:val="bottom"/>
          </w:tcPr>
          <w:p w14:paraId="165FA0E6"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w:t>
            </w:r>
          </w:p>
        </w:tc>
        <w:tc>
          <w:tcPr>
            <w:tcW w:w="850" w:type="dxa"/>
            <w:tcBorders>
              <w:top w:val="nil"/>
              <w:left w:val="nil"/>
              <w:bottom w:val="single" w:sz="4" w:space="0" w:color="auto"/>
              <w:right w:val="single" w:sz="4" w:space="0" w:color="auto"/>
            </w:tcBorders>
            <w:shd w:val="clear" w:color="000000" w:fill="F2F2F2"/>
            <w:noWrap/>
            <w:vAlign w:val="bottom"/>
          </w:tcPr>
          <w:p w14:paraId="6DAC5C90"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34</w:t>
            </w:r>
          </w:p>
        </w:tc>
      </w:tr>
      <w:tr w:rsidR="00D61BF9" w14:paraId="376BB48A"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14D52893" w14:textId="77777777" w:rsidR="00D61BF9" w:rsidRDefault="00000000">
            <w:pPr>
              <w:spacing w:after="0" w:line="240" w:lineRule="auto"/>
              <w:rPr>
                <w:rFonts w:ascii="Calibri" w:eastAsia="Times New Roman" w:hAnsi="Calibri" w:cs="Calibri"/>
                <w:kern w:val="0"/>
                <w:sz w:val="16"/>
                <w:szCs w:val="16"/>
                <w:lang w:eastAsia="zh-CN"/>
                <w14:ligatures w14:val="none"/>
              </w:rPr>
            </w:pPr>
            <w:r>
              <w:rPr>
                <w:rFonts w:ascii="Calibri" w:eastAsia="Times New Roman" w:hAnsi="Calibri" w:cs="Calibri"/>
                <w:kern w:val="0"/>
                <w:sz w:val="16"/>
                <w:szCs w:val="16"/>
                <w:lang w:eastAsia="zh-CN"/>
                <w14:ligatures w14:val="none"/>
              </w:rPr>
              <w:t>拥有博士学位的教职员工</w:t>
            </w:r>
          </w:p>
        </w:tc>
        <w:tc>
          <w:tcPr>
            <w:tcW w:w="709" w:type="dxa"/>
            <w:tcBorders>
              <w:top w:val="nil"/>
              <w:left w:val="nil"/>
              <w:bottom w:val="single" w:sz="4" w:space="0" w:color="auto"/>
              <w:right w:val="single" w:sz="4" w:space="0" w:color="auto"/>
            </w:tcBorders>
            <w:noWrap/>
            <w:vAlign w:val="center"/>
          </w:tcPr>
          <w:p w14:paraId="5082423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w:t>
            </w:r>
          </w:p>
        </w:tc>
        <w:tc>
          <w:tcPr>
            <w:tcW w:w="567" w:type="dxa"/>
            <w:tcBorders>
              <w:top w:val="nil"/>
              <w:left w:val="nil"/>
              <w:bottom w:val="single" w:sz="4" w:space="0" w:color="auto"/>
              <w:right w:val="single" w:sz="4" w:space="0" w:color="auto"/>
            </w:tcBorders>
            <w:shd w:val="clear" w:color="000000" w:fill="F2F2F2"/>
            <w:noWrap/>
            <w:vAlign w:val="bottom"/>
          </w:tcPr>
          <w:p w14:paraId="3032A493"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16%</w:t>
            </w:r>
          </w:p>
        </w:tc>
        <w:tc>
          <w:tcPr>
            <w:tcW w:w="709" w:type="dxa"/>
            <w:tcBorders>
              <w:top w:val="nil"/>
              <w:left w:val="nil"/>
              <w:bottom w:val="single" w:sz="4" w:space="0" w:color="auto"/>
              <w:right w:val="single" w:sz="4" w:space="0" w:color="auto"/>
            </w:tcBorders>
            <w:shd w:val="clear" w:color="000000" w:fill="F2F2F2"/>
            <w:noWrap/>
            <w:vAlign w:val="bottom"/>
          </w:tcPr>
          <w:p w14:paraId="21E07385"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84%</w:t>
            </w:r>
          </w:p>
        </w:tc>
        <w:tc>
          <w:tcPr>
            <w:tcW w:w="709" w:type="dxa"/>
            <w:tcBorders>
              <w:top w:val="nil"/>
              <w:left w:val="nil"/>
              <w:bottom w:val="single" w:sz="4" w:space="0" w:color="auto"/>
              <w:right w:val="single" w:sz="4" w:space="0" w:color="auto"/>
            </w:tcBorders>
            <w:shd w:val="clear" w:color="000000" w:fill="F2F2F2"/>
            <w:noWrap/>
            <w:vAlign w:val="bottom"/>
          </w:tcPr>
          <w:p w14:paraId="3ABC802C"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0%</w:t>
            </w:r>
          </w:p>
        </w:tc>
        <w:tc>
          <w:tcPr>
            <w:tcW w:w="987" w:type="dxa"/>
            <w:tcBorders>
              <w:top w:val="nil"/>
              <w:left w:val="nil"/>
              <w:bottom w:val="single" w:sz="4" w:space="0" w:color="auto"/>
              <w:right w:val="single" w:sz="4" w:space="0" w:color="auto"/>
            </w:tcBorders>
            <w:noWrap/>
            <w:vAlign w:val="bottom"/>
          </w:tcPr>
          <w:p w14:paraId="6C8DDD1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56.1</w:t>
            </w:r>
          </w:p>
        </w:tc>
        <w:tc>
          <w:tcPr>
            <w:tcW w:w="992" w:type="dxa"/>
            <w:tcBorders>
              <w:top w:val="nil"/>
              <w:left w:val="nil"/>
              <w:bottom w:val="single" w:sz="4" w:space="0" w:color="auto"/>
              <w:right w:val="single" w:sz="4" w:space="0" w:color="auto"/>
            </w:tcBorders>
            <w:noWrap/>
            <w:vAlign w:val="bottom"/>
          </w:tcPr>
          <w:p w14:paraId="1966C126"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54.8</w:t>
            </w:r>
          </w:p>
        </w:tc>
        <w:tc>
          <w:tcPr>
            <w:tcW w:w="1985" w:type="dxa"/>
            <w:tcBorders>
              <w:top w:val="nil"/>
              <w:left w:val="nil"/>
              <w:bottom w:val="single" w:sz="4" w:space="0" w:color="auto"/>
              <w:right w:val="single" w:sz="4" w:space="0" w:color="auto"/>
            </w:tcBorders>
            <w:shd w:val="clear" w:color="000000" w:fill="F2F2F2"/>
            <w:noWrap/>
            <w:vAlign w:val="bottom"/>
          </w:tcPr>
          <w:p w14:paraId="160C9EE8"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南方科技大学（SUSTech）</w:t>
            </w:r>
          </w:p>
        </w:tc>
        <w:tc>
          <w:tcPr>
            <w:tcW w:w="992" w:type="dxa"/>
            <w:tcBorders>
              <w:top w:val="nil"/>
              <w:left w:val="nil"/>
              <w:bottom w:val="single" w:sz="4" w:space="0" w:color="auto"/>
              <w:right w:val="single" w:sz="4" w:space="0" w:color="auto"/>
            </w:tcBorders>
            <w:shd w:val="clear" w:color="000000" w:fill="F2F2F2"/>
            <w:noWrap/>
            <w:vAlign w:val="bottom"/>
          </w:tcPr>
          <w:p w14:paraId="7D38E46C"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69</w:t>
            </w:r>
          </w:p>
        </w:tc>
        <w:tc>
          <w:tcPr>
            <w:tcW w:w="850" w:type="dxa"/>
            <w:tcBorders>
              <w:top w:val="nil"/>
              <w:left w:val="nil"/>
              <w:bottom w:val="single" w:sz="4" w:space="0" w:color="auto"/>
              <w:right w:val="single" w:sz="4" w:space="0" w:color="auto"/>
            </w:tcBorders>
            <w:shd w:val="clear" w:color="000000" w:fill="F2F2F2"/>
            <w:noWrap/>
            <w:vAlign w:val="bottom"/>
          </w:tcPr>
          <w:p w14:paraId="0AA001A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93</w:t>
            </w:r>
          </w:p>
        </w:tc>
      </w:tr>
      <w:tr w:rsidR="00D61BF9" w14:paraId="3FBB6C8B"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39F9E24F"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国际研究网络</w:t>
            </w:r>
          </w:p>
        </w:tc>
        <w:tc>
          <w:tcPr>
            <w:tcW w:w="709" w:type="dxa"/>
            <w:tcBorders>
              <w:top w:val="nil"/>
              <w:left w:val="nil"/>
              <w:bottom w:val="single" w:sz="4" w:space="0" w:color="auto"/>
              <w:right w:val="single" w:sz="4" w:space="0" w:color="auto"/>
            </w:tcBorders>
            <w:noWrap/>
            <w:vAlign w:val="center"/>
          </w:tcPr>
          <w:p w14:paraId="426BB1D0"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10%</w:t>
            </w:r>
          </w:p>
        </w:tc>
        <w:tc>
          <w:tcPr>
            <w:tcW w:w="567" w:type="dxa"/>
            <w:tcBorders>
              <w:top w:val="nil"/>
              <w:left w:val="nil"/>
              <w:bottom w:val="single" w:sz="4" w:space="0" w:color="auto"/>
              <w:right w:val="single" w:sz="4" w:space="0" w:color="auto"/>
            </w:tcBorders>
            <w:shd w:val="clear" w:color="000000" w:fill="F2F2F2"/>
            <w:noWrap/>
            <w:vAlign w:val="bottom"/>
          </w:tcPr>
          <w:p w14:paraId="38914C7C"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37%</w:t>
            </w:r>
          </w:p>
        </w:tc>
        <w:tc>
          <w:tcPr>
            <w:tcW w:w="709" w:type="dxa"/>
            <w:tcBorders>
              <w:top w:val="nil"/>
              <w:left w:val="nil"/>
              <w:bottom w:val="single" w:sz="4" w:space="0" w:color="auto"/>
              <w:right w:val="single" w:sz="4" w:space="0" w:color="auto"/>
            </w:tcBorders>
            <w:shd w:val="clear" w:color="000000" w:fill="F2F2F2"/>
            <w:noWrap/>
            <w:vAlign w:val="bottom"/>
          </w:tcPr>
          <w:p w14:paraId="392FF54F"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61%</w:t>
            </w:r>
          </w:p>
        </w:tc>
        <w:tc>
          <w:tcPr>
            <w:tcW w:w="709" w:type="dxa"/>
            <w:tcBorders>
              <w:top w:val="nil"/>
              <w:left w:val="nil"/>
              <w:bottom w:val="single" w:sz="4" w:space="0" w:color="auto"/>
              <w:right w:val="single" w:sz="4" w:space="0" w:color="auto"/>
            </w:tcBorders>
            <w:shd w:val="clear" w:color="000000" w:fill="F2F2F2"/>
            <w:noWrap/>
            <w:vAlign w:val="bottom"/>
          </w:tcPr>
          <w:p w14:paraId="7FE29D61"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2%</w:t>
            </w:r>
          </w:p>
        </w:tc>
        <w:tc>
          <w:tcPr>
            <w:tcW w:w="987" w:type="dxa"/>
            <w:tcBorders>
              <w:top w:val="nil"/>
              <w:left w:val="nil"/>
              <w:bottom w:val="single" w:sz="4" w:space="0" w:color="auto"/>
              <w:right w:val="single" w:sz="4" w:space="0" w:color="auto"/>
            </w:tcBorders>
            <w:noWrap/>
            <w:vAlign w:val="bottom"/>
          </w:tcPr>
          <w:p w14:paraId="33BC8F98"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44.4</w:t>
            </w:r>
          </w:p>
        </w:tc>
        <w:tc>
          <w:tcPr>
            <w:tcW w:w="992" w:type="dxa"/>
            <w:tcBorders>
              <w:top w:val="nil"/>
              <w:left w:val="nil"/>
              <w:bottom w:val="single" w:sz="4" w:space="0" w:color="auto"/>
              <w:right w:val="single" w:sz="4" w:space="0" w:color="auto"/>
            </w:tcBorders>
            <w:noWrap/>
            <w:vAlign w:val="bottom"/>
          </w:tcPr>
          <w:p w14:paraId="63DD8FB6"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51.1</w:t>
            </w:r>
          </w:p>
        </w:tc>
        <w:tc>
          <w:tcPr>
            <w:tcW w:w="1985" w:type="dxa"/>
            <w:tcBorders>
              <w:top w:val="nil"/>
              <w:left w:val="nil"/>
              <w:bottom w:val="single" w:sz="4" w:space="0" w:color="auto"/>
              <w:right w:val="single" w:sz="4" w:space="0" w:color="auto"/>
            </w:tcBorders>
            <w:shd w:val="clear" w:color="000000" w:fill="F2F2F2"/>
            <w:noWrap/>
            <w:vAlign w:val="bottom"/>
          </w:tcPr>
          <w:p w14:paraId="45DF1C9F" w14:textId="77777777" w:rsidR="00D61BF9" w:rsidRDefault="00000000">
            <w:pPr>
              <w:spacing w:after="0" w:line="240" w:lineRule="auto"/>
              <w:rPr>
                <w:rFonts w:ascii="Calibri" w:eastAsia="Times New Roman" w:hAnsi="Calibri" w:cs="Calibri"/>
                <w:kern w:val="0"/>
                <w:sz w:val="16"/>
                <w:szCs w:val="16"/>
                <w:lang w:eastAsia="zh-CN"/>
                <w14:ligatures w14:val="none"/>
              </w:rPr>
            </w:pPr>
            <w:r>
              <w:rPr>
                <w:rFonts w:ascii="Calibri" w:eastAsia="Times New Roman" w:hAnsi="Calibri" w:cs="Calibri"/>
                <w:kern w:val="0"/>
                <w:sz w:val="16"/>
                <w:szCs w:val="16"/>
                <w:lang w:eastAsia="zh-CN"/>
                <w14:ligatures w14:val="none"/>
              </w:rPr>
              <w:t>中国科学院大学（UCAS）</w:t>
            </w:r>
          </w:p>
        </w:tc>
        <w:tc>
          <w:tcPr>
            <w:tcW w:w="992" w:type="dxa"/>
            <w:tcBorders>
              <w:top w:val="nil"/>
              <w:left w:val="nil"/>
              <w:bottom w:val="single" w:sz="4" w:space="0" w:color="auto"/>
              <w:right w:val="single" w:sz="4" w:space="0" w:color="auto"/>
            </w:tcBorders>
            <w:shd w:val="clear" w:color="000000" w:fill="F2F2F2"/>
            <w:noWrap/>
            <w:vAlign w:val="bottom"/>
          </w:tcPr>
          <w:p w14:paraId="1B59E1F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w:t>
            </w:r>
          </w:p>
        </w:tc>
        <w:tc>
          <w:tcPr>
            <w:tcW w:w="850" w:type="dxa"/>
            <w:tcBorders>
              <w:top w:val="nil"/>
              <w:left w:val="nil"/>
              <w:bottom w:val="single" w:sz="4" w:space="0" w:color="auto"/>
              <w:right w:val="single" w:sz="4" w:space="0" w:color="auto"/>
            </w:tcBorders>
            <w:shd w:val="clear" w:color="000000" w:fill="F2F2F2"/>
            <w:noWrap/>
            <w:vAlign w:val="bottom"/>
          </w:tcPr>
          <w:p w14:paraId="623FAC22"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74</w:t>
            </w:r>
          </w:p>
        </w:tc>
      </w:tr>
      <w:tr w:rsidR="00D61BF9" w14:paraId="26162001"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143FE252" w14:textId="77777777" w:rsidR="00D61BF9" w:rsidRDefault="00000000">
            <w:pPr>
              <w:spacing w:after="0" w:line="240" w:lineRule="auto"/>
              <w:rPr>
                <w:rFonts w:ascii="Calibri" w:eastAsia="Times New Roman" w:hAnsi="Calibri" w:cs="Calibri"/>
                <w:kern w:val="0"/>
                <w:sz w:val="16"/>
                <w:szCs w:val="16"/>
                <w:lang w:eastAsia="zh-CN"/>
                <w14:ligatures w14:val="none"/>
              </w:rPr>
            </w:pPr>
            <w:r>
              <w:rPr>
                <w:rFonts w:ascii="Calibri" w:eastAsia="Times New Roman" w:hAnsi="Calibri" w:cs="Calibri"/>
                <w:kern w:val="0"/>
                <w:sz w:val="16"/>
                <w:szCs w:val="16"/>
                <w:lang w:eastAsia="en-GB"/>
                <w14:ligatures w14:val="none"/>
              </w:rPr>
              <w:t>国际教师</w:t>
            </w:r>
            <w:r>
              <w:rPr>
                <w:rFonts w:ascii="SimSun" w:eastAsia="SimSun" w:hAnsi="SimSun" w:cs="SimSun" w:hint="eastAsia"/>
                <w:kern w:val="0"/>
                <w:sz w:val="16"/>
                <w:szCs w:val="16"/>
                <w:lang w:eastAsia="zh-CN"/>
                <w14:ligatures w14:val="none"/>
              </w:rPr>
              <w:t>比例</w:t>
            </w:r>
          </w:p>
        </w:tc>
        <w:tc>
          <w:tcPr>
            <w:tcW w:w="709" w:type="dxa"/>
            <w:tcBorders>
              <w:top w:val="nil"/>
              <w:left w:val="nil"/>
              <w:bottom w:val="single" w:sz="4" w:space="0" w:color="auto"/>
              <w:right w:val="single" w:sz="4" w:space="0" w:color="auto"/>
            </w:tcBorders>
            <w:noWrap/>
            <w:vAlign w:val="center"/>
          </w:tcPr>
          <w:p w14:paraId="71DA24C0"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2.5%</w:t>
            </w:r>
          </w:p>
        </w:tc>
        <w:tc>
          <w:tcPr>
            <w:tcW w:w="567" w:type="dxa"/>
            <w:tcBorders>
              <w:top w:val="nil"/>
              <w:left w:val="nil"/>
              <w:bottom w:val="single" w:sz="4" w:space="0" w:color="auto"/>
              <w:right w:val="single" w:sz="4" w:space="0" w:color="auto"/>
            </w:tcBorders>
            <w:shd w:val="clear" w:color="000000" w:fill="F2F2F2"/>
            <w:noWrap/>
            <w:vAlign w:val="bottom"/>
          </w:tcPr>
          <w:p w14:paraId="58C0C618"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18%</w:t>
            </w:r>
          </w:p>
        </w:tc>
        <w:tc>
          <w:tcPr>
            <w:tcW w:w="709" w:type="dxa"/>
            <w:tcBorders>
              <w:top w:val="nil"/>
              <w:left w:val="nil"/>
              <w:bottom w:val="single" w:sz="4" w:space="0" w:color="auto"/>
              <w:right w:val="single" w:sz="4" w:space="0" w:color="auto"/>
            </w:tcBorders>
            <w:shd w:val="clear" w:color="000000" w:fill="F2F2F2"/>
            <w:noWrap/>
            <w:vAlign w:val="bottom"/>
          </w:tcPr>
          <w:p w14:paraId="767C79BB"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81%</w:t>
            </w:r>
          </w:p>
        </w:tc>
        <w:tc>
          <w:tcPr>
            <w:tcW w:w="709" w:type="dxa"/>
            <w:tcBorders>
              <w:top w:val="nil"/>
              <w:left w:val="nil"/>
              <w:bottom w:val="single" w:sz="4" w:space="0" w:color="auto"/>
              <w:right w:val="single" w:sz="4" w:space="0" w:color="auto"/>
            </w:tcBorders>
            <w:shd w:val="clear" w:color="000000" w:fill="F2F2F2"/>
            <w:noWrap/>
            <w:vAlign w:val="bottom"/>
          </w:tcPr>
          <w:p w14:paraId="2056F42B"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42E1EB90"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33.3</w:t>
            </w:r>
          </w:p>
        </w:tc>
        <w:tc>
          <w:tcPr>
            <w:tcW w:w="992" w:type="dxa"/>
            <w:tcBorders>
              <w:top w:val="nil"/>
              <w:left w:val="nil"/>
              <w:bottom w:val="single" w:sz="4" w:space="0" w:color="auto"/>
              <w:right w:val="single" w:sz="4" w:space="0" w:color="auto"/>
            </w:tcBorders>
            <w:noWrap/>
            <w:vAlign w:val="bottom"/>
          </w:tcPr>
          <w:p w14:paraId="7016DA43"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40.3</w:t>
            </w:r>
          </w:p>
        </w:tc>
        <w:tc>
          <w:tcPr>
            <w:tcW w:w="1985" w:type="dxa"/>
            <w:tcBorders>
              <w:top w:val="nil"/>
              <w:left w:val="nil"/>
              <w:bottom w:val="single" w:sz="4" w:space="0" w:color="auto"/>
              <w:right w:val="single" w:sz="4" w:space="0" w:color="auto"/>
            </w:tcBorders>
            <w:shd w:val="clear" w:color="000000" w:fill="F2F2F2"/>
            <w:noWrap/>
            <w:vAlign w:val="bottom"/>
          </w:tcPr>
          <w:p w14:paraId="37C02C35"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温州-</w:t>
            </w:r>
            <w:r>
              <w:rPr>
                <w:rFonts w:ascii="Calibri" w:eastAsiaTheme="minorEastAsia" w:hAnsi="Calibri" w:cs="Calibri" w:hint="eastAsia"/>
                <w:kern w:val="0"/>
                <w:sz w:val="16"/>
                <w:szCs w:val="16"/>
                <w:lang w:eastAsia="zh-CN"/>
                <w14:ligatures w14:val="none"/>
              </w:rPr>
              <w:t>肯</w:t>
            </w:r>
            <w:r>
              <w:rPr>
                <w:rFonts w:ascii="Calibri" w:eastAsia="Times New Roman" w:hAnsi="Calibri" w:cs="Calibri"/>
                <w:kern w:val="0"/>
                <w:sz w:val="16"/>
                <w:szCs w:val="16"/>
                <w:lang w:eastAsia="en-GB"/>
                <w14:ligatures w14:val="none"/>
              </w:rPr>
              <w:t>恩大学</w:t>
            </w:r>
          </w:p>
        </w:tc>
        <w:tc>
          <w:tcPr>
            <w:tcW w:w="992" w:type="dxa"/>
            <w:tcBorders>
              <w:top w:val="nil"/>
              <w:left w:val="nil"/>
              <w:bottom w:val="single" w:sz="4" w:space="0" w:color="auto"/>
              <w:right w:val="single" w:sz="4" w:space="0" w:color="auto"/>
            </w:tcBorders>
            <w:shd w:val="clear" w:color="000000" w:fill="F2F2F2"/>
            <w:noWrap/>
            <w:vAlign w:val="bottom"/>
          </w:tcPr>
          <w:p w14:paraId="626CCE6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17</w:t>
            </w:r>
          </w:p>
        </w:tc>
        <w:tc>
          <w:tcPr>
            <w:tcW w:w="850" w:type="dxa"/>
            <w:tcBorders>
              <w:top w:val="nil"/>
              <w:left w:val="nil"/>
              <w:bottom w:val="single" w:sz="4" w:space="0" w:color="auto"/>
              <w:right w:val="single" w:sz="4" w:space="0" w:color="auto"/>
            </w:tcBorders>
            <w:shd w:val="clear" w:color="000000" w:fill="F2F2F2"/>
            <w:noWrap/>
            <w:vAlign w:val="bottom"/>
          </w:tcPr>
          <w:p w14:paraId="033868B8"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751-760</w:t>
            </w:r>
          </w:p>
        </w:tc>
      </w:tr>
      <w:tr w:rsidR="00D61BF9" w14:paraId="21B0416F"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39D692F1" w14:textId="77777777" w:rsidR="00D61BF9" w:rsidRDefault="00000000">
            <w:pPr>
              <w:spacing w:after="0" w:line="240" w:lineRule="auto"/>
              <w:rPr>
                <w:rFonts w:ascii="Calibri" w:eastAsia="Times New Roman" w:hAnsi="Calibri" w:cs="Calibri"/>
                <w:kern w:val="0"/>
                <w:sz w:val="16"/>
                <w:szCs w:val="16"/>
                <w:lang w:eastAsia="zh-CN"/>
                <w14:ligatures w14:val="none"/>
              </w:rPr>
            </w:pPr>
            <w:r>
              <w:rPr>
                <w:rFonts w:ascii="Calibri" w:eastAsia="Times New Roman" w:hAnsi="Calibri" w:cs="Calibri"/>
                <w:kern w:val="0"/>
                <w:sz w:val="16"/>
                <w:szCs w:val="16"/>
                <w:lang w:eastAsia="en-GB"/>
                <w14:ligatures w14:val="none"/>
              </w:rPr>
              <w:t>国际学生</w:t>
            </w:r>
            <w:r>
              <w:rPr>
                <w:rFonts w:ascii="SimSun" w:eastAsia="SimSun" w:hAnsi="SimSun" w:cs="SimSun" w:hint="eastAsia"/>
                <w:kern w:val="0"/>
                <w:sz w:val="16"/>
                <w:szCs w:val="16"/>
                <w:lang w:eastAsia="zh-CN"/>
                <w14:ligatures w14:val="none"/>
              </w:rPr>
              <w:t>比例</w:t>
            </w:r>
          </w:p>
        </w:tc>
        <w:tc>
          <w:tcPr>
            <w:tcW w:w="709" w:type="dxa"/>
            <w:tcBorders>
              <w:top w:val="nil"/>
              <w:left w:val="nil"/>
              <w:bottom w:val="single" w:sz="4" w:space="0" w:color="auto"/>
              <w:right w:val="single" w:sz="4" w:space="0" w:color="auto"/>
            </w:tcBorders>
            <w:noWrap/>
            <w:vAlign w:val="center"/>
          </w:tcPr>
          <w:p w14:paraId="77D00A7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2.5%</w:t>
            </w:r>
          </w:p>
        </w:tc>
        <w:tc>
          <w:tcPr>
            <w:tcW w:w="567" w:type="dxa"/>
            <w:tcBorders>
              <w:top w:val="nil"/>
              <w:left w:val="nil"/>
              <w:bottom w:val="single" w:sz="4" w:space="0" w:color="auto"/>
              <w:right w:val="single" w:sz="4" w:space="0" w:color="auto"/>
            </w:tcBorders>
            <w:shd w:val="clear" w:color="000000" w:fill="F2F2F2"/>
            <w:noWrap/>
            <w:vAlign w:val="bottom"/>
          </w:tcPr>
          <w:p w14:paraId="032DFB5B"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11%</w:t>
            </w:r>
          </w:p>
        </w:tc>
        <w:tc>
          <w:tcPr>
            <w:tcW w:w="709" w:type="dxa"/>
            <w:tcBorders>
              <w:top w:val="nil"/>
              <w:left w:val="nil"/>
              <w:bottom w:val="single" w:sz="4" w:space="0" w:color="auto"/>
              <w:right w:val="single" w:sz="4" w:space="0" w:color="auto"/>
            </w:tcBorders>
            <w:shd w:val="clear" w:color="000000" w:fill="F2F2F2"/>
            <w:noWrap/>
            <w:vAlign w:val="bottom"/>
          </w:tcPr>
          <w:p w14:paraId="1610853D"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88%</w:t>
            </w:r>
          </w:p>
        </w:tc>
        <w:tc>
          <w:tcPr>
            <w:tcW w:w="709" w:type="dxa"/>
            <w:tcBorders>
              <w:top w:val="nil"/>
              <w:left w:val="nil"/>
              <w:bottom w:val="single" w:sz="4" w:space="0" w:color="auto"/>
              <w:right w:val="single" w:sz="4" w:space="0" w:color="auto"/>
            </w:tcBorders>
            <w:shd w:val="clear" w:color="000000" w:fill="F2F2F2"/>
            <w:noWrap/>
            <w:vAlign w:val="bottom"/>
          </w:tcPr>
          <w:p w14:paraId="12D42AF7"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7080F9E1"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29.3</w:t>
            </w:r>
          </w:p>
        </w:tc>
        <w:tc>
          <w:tcPr>
            <w:tcW w:w="992" w:type="dxa"/>
            <w:tcBorders>
              <w:top w:val="nil"/>
              <w:left w:val="nil"/>
              <w:bottom w:val="single" w:sz="4" w:space="0" w:color="auto"/>
              <w:right w:val="single" w:sz="4" w:space="0" w:color="auto"/>
            </w:tcBorders>
            <w:noWrap/>
            <w:vAlign w:val="bottom"/>
          </w:tcPr>
          <w:p w14:paraId="1EFF16C4"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00B050"/>
                <w:kern w:val="0"/>
                <w:sz w:val="16"/>
                <w:szCs w:val="16"/>
                <w:lang w:eastAsia="en-GB"/>
                <w14:ligatures w14:val="none"/>
              </w:rPr>
              <w:t>29.4</w:t>
            </w:r>
          </w:p>
        </w:tc>
        <w:tc>
          <w:tcPr>
            <w:tcW w:w="1985" w:type="dxa"/>
            <w:tcBorders>
              <w:top w:val="nil"/>
              <w:left w:val="nil"/>
              <w:bottom w:val="single" w:sz="4" w:space="0" w:color="auto"/>
              <w:right w:val="single" w:sz="4" w:space="0" w:color="auto"/>
            </w:tcBorders>
            <w:shd w:val="clear" w:color="000000" w:fill="F2F2F2"/>
            <w:noWrap/>
            <w:vAlign w:val="bottom"/>
          </w:tcPr>
          <w:p w14:paraId="3B191194"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SimSun" w:hAnsi="Calibri" w:cs="Calibri" w:hint="eastAsia"/>
                <w:kern w:val="0"/>
                <w:sz w:val="16"/>
                <w:szCs w:val="16"/>
                <w:lang w:val="en-US" w:eastAsia="zh-CN"/>
                <w14:ligatures w14:val="none"/>
              </w:rPr>
              <w:t>暨南</w:t>
            </w:r>
            <w:r>
              <w:rPr>
                <w:rFonts w:ascii="Calibri" w:eastAsia="Times New Roman" w:hAnsi="Calibri" w:cs="Calibri"/>
                <w:kern w:val="0"/>
                <w:sz w:val="16"/>
                <w:szCs w:val="16"/>
                <w:lang w:eastAsia="en-GB"/>
                <w14:ligatures w14:val="none"/>
              </w:rPr>
              <w:t>大学（中国）</w:t>
            </w:r>
          </w:p>
        </w:tc>
        <w:tc>
          <w:tcPr>
            <w:tcW w:w="992" w:type="dxa"/>
            <w:tcBorders>
              <w:top w:val="nil"/>
              <w:left w:val="nil"/>
              <w:bottom w:val="single" w:sz="4" w:space="0" w:color="auto"/>
              <w:right w:val="single" w:sz="4" w:space="0" w:color="auto"/>
            </w:tcBorders>
            <w:shd w:val="clear" w:color="000000" w:fill="F2F2F2"/>
            <w:noWrap/>
            <w:vAlign w:val="bottom"/>
          </w:tcPr>
          <w:p w14:paraId="4BC43355"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41</w:t>
            </w:r>
          </w:p>
        </w:tc>
        <w:tc>
          <w:tcPr>
            <w:tcW w:w="850" w:type="dxa"/>
            <w:tcBorders>
              <w:top w:val="nil"/>
              <w:left w:val="nil"/>
              <w:bottom w:val="single" w:sz="4" w:space="0" w:color="auto"/>
              <w:right w:val="single" w:sz="4" w:space="0" w:color="auto"/>
            </w:tcBorders>
            <w:shd w:val="clear" w:color="000000" w:fill="F2F2F2"/>
            <w:noWrap/>
            <w:vAlign w:val="bottom"/>
          </w:tcPr>
          <w:p w14:paraId="40F2122E"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163</w:t>
            </w:r>
          </w:p>
        </w:tc>
      </w:tr>
      <w:tr w:rsidR="00D61BF9" w14:paraId="0AB2D2E0"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01CB072F"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heme="minorEastAsia" w:hAnsi="Calibri" w:cs="Calibri" w:hint="eastAsia"/>
                <w:kern w:val="0"/>
                <w:sz w:val="16"/>
                <w:szCs w:val="16"/>
                <w:lang w:eastAsia="zh-CN"/>
                <w14:ligatures w14:val="none"/>
              </w:rPr>
              <w:t>入境</w:t>
            </w:r>
            <w:r>
              <w:rPr>
                <w:rFonts w:ascii="Calibri" w:eastAsia="Times New Roman" w:hAnsi="Calibri" w:cs="Calibri"/>
                <w:kern w:val="0"/>
                <w:sz w:val="16"/>
                <w:szCs w:val="16"/>
                <w:lang w:eastAsia="en-GB"/>
                <w14:ligatures w14:val="none"/>
              </w:rPr>
              <w:t>交换生</w:t>
            </w:r>
            <w:r>
              <w:rPr>
                <w:rFonts w:ascii="SimSun" w:eastAsia="SimSun" w:hAnsi="SimSun" w:cs="SimSun" w:hint="eastAsia"/>
                <w:kern w:val="0"/>
                <w:sz w:val="16"/>
                <w:szCs w:val="16"/>
                <w:lang w:eastAsia="zh-CN"/>
                <w14:ligatures w14:val="none"/>
              </w:rPr>
              <w:t>比例</w:t>
            </w:r>
          </w:p>
        </w:tc>
        <w:tc>
          <w:tcPr>
            <w:tcW w:w="709" w:type="dxa"/>
            <w:tcBorders>
              <w:top w:val="nil"/>
              <w:left w:val="nil"/>
              <w:bottom w:val="single" w:sz="4" w:space="0" w:color="auto"/>
              <w:right w:val="single" w:sz="4" w:space="0" w:color="auto"/>
            </w:tcBorders>
            <w:noWrap/>
            <w:vAlign w:val="center"/>
          </w:tcPr>
          <w:p w14:paraId="64DF50F7"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2.5%</w:t>
            </w:r>
          </w:p>
        </w:tc>
        <w:tc>
          <w:tcPr>
            <w:tcW w:w="567" w:type="dxa"/>
            <w:tcBorders>
              <w:top w:val="nil"/>
              <w:left w:val="nil"/>
              <w:bottom w:val="single" w:sz="4" w:space="0" w:color="auto"/>
              <w:right w:val="single" w:sz="4" w:space="0" w:color="auto"/>
            </w:tcBorders>
            <w:shd w:val="clear" w:color="000000" w:fill="F2F2F2"/>
            <w:noWrap/>
            <w:vAlign w:val="bottom"/>
          </w:tcPr>
          <w:p w14:paraId="66320B17"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4%</w:t>
            </w:r>
          </w:p>
        </w:tc>
        <w:tc>
          <w:tcPr>
            <w:tcW w:w="709" w:type="dxa"/>
            <w:tcBorders>
              <w:top w:val="nil"/>
              <w:left w:val="nil"/>
              <w:bottom w:val="single" w:sz="4" w:space="0" w:color="auto"/>
              <w:right w:val="single" w:sz="4" w:space="0" w:color="auto"/>
            </w:tcBorders>
            <w:shd w:val="clear" w:color="000000" w:fill="F2F2F2"/>
            <w:noWrap/>
            <w:vAlign w:val="bottom"/>
          </w:tcPr>
          <w:p w14:paraId="28E06FC3"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96%</w:t>
            </w:r>
          </w:p>
        </w:tc>
        <w:tc>
          <w:tcPr>
            <w:tcW w:w="709" w:type="dxa"/>
            <w:tcBorders>
              <w:top w:val="nil"/>
              <w:left w:val="nil"/>
              <w:bottom w:val="single" w:sz="4" w:space="0" w:color="auto"/>
              <w:right w:val="single" w:sz="4" w:space="0" w:color="auto"/>
            </w:tcBorders>
            <w:shd w:val="clear" w:color="000000" w:fill="F2F2F2"/>
            <w:noWrap/>
            <w:vAlign w:val="bottom"/>
          </w:tcPr>
          <w:p w14:paraId="452C4FBA"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1%</w:t>
            </w:r>
          </w:p>
        </w:tc>
        <w:tc>
          <w:tcPr>
            <w:tcW w:w="987" w:type="dxa"/>
            <w:tcBorders>
              <w:top w:val="nil"/>
              <w:left w:val="nil"/>
              <w:bottom w:val="single" w:sz="4" w:space="0" w:color="auto"/>
              <w:right w:val="single" w:sz="4" w:space="0" w:color="auto"/>
            </w:tcBorders>
            <w:noWrap/>
            <w:vAlign w:val="bottom"/>
          </w:tcPr>
          <w:p w14:paraId="4FFB5BC6"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20.4</w:t>
            </w:r>
          </w:p>
        </w:tc>
        <w:tc>
          <w:tcPr>
            <w:tcW w:w="992" w:type="dxa"/>
            <w:tcBorders>
              <w:top w:val="nil"/>
              <w:left w:val="nil"/>
              <w:bottom w:val="single" w:sz="4" w:space="0" w:color="auto"/>
              <w:right w:val="single" w:sz="4" w:space="0" w:color="auto"/>
            </w:tcBorders>
            <w:noWrap/>
            <w:vAlign w:val="bottom"/>
          </w:tcPr>
          <w:p w14:paraId="78FCA686"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8.4</w:t>
            </w:r>
          </w:p>
        </w:tc>
        <w:tc>
          <w:tcPr>
            <w:tcW w:w="1985" w:type="dxa"/>
            <w:tcBorders>
              <w:top w:val="nil"/>
              <w:left w:val="nil"/>
              <w:bottom w:val="single" w:sz="4" w:space="0" w:color="auto"/>
              <w:right w:val="single" w:sz="4" w:space="0" w:color="auto"/>
            </w:tcBorders>
            <w:shd w:val="clear" w:color="000000" w:fill="F2F2F2"/>
            <w:noWrap/>
            <w:vAlign w:val="bottom"/>
          </w:tcPr>
          <w:p w14:paraId="0F8D5C97"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同济大学</w:t>
            </w:r>
          </w:p>
        </w:tc>
        <w:tc>
          <w:tcPr>
            <w:tcW w:w="992" w:type="dxa"/>
            <w:tcBorders>
              <w:top w:val="nil"/>
              <w:left w:val="nil"/>
              <w:bottom w:val="single" w:sz="4" w:space="0" w:color="auto"/>
              <w:right w:val="single" w:sz="4" w:space="0" w:color="auto"/>
            </w:tcBorders>
            <w:shd w:val="clear" w:color="000000" w:fill="F2F2F2"/>
            <w:noWrap/>
            <w:vAlign w:val="bottom"/>
          </w:tcPr>
          <w:p w14:paraId="3D25D4B6"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15</w:t>
            </w:r>
          </w:p>
        </w:tc>
        <w:tc>
          <w:tcPr>
            <w:tcW w:w="850" w:type="dxa"/>
            <w:tcBorders>
              <w:top w:val="nil"/>
              <w:left w:val="nil"/>
              <w:bottom w:val="single" w:sz="4" w:space="0" w:color="auto"/>
              <w:right w:val="single" w:sz="4" w:space="0" w:color="auto"/>
            </w:tcBorders>
            <w:shd w:val="clear" w:color="000000" w:fill="F2F2F2"/>
            <w:noWrap/>
            <w:vAlign w:val="bottom"/>
          </w:tcPr>
          <w:p w14:paraId="6F5E2B5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26</w:t>
            </w:r>
          </w:p>
        </w:tc>
      </w:tr>
      <w:tr w:rsidR="00D61BF9" w14:paraId="658E2E54" w14:textId="77777777">
        <w:trPr>
          <w:trHeight w:val="300"/>
          <w:jc w:val="center"/>
        </w:trPr>
        <w:tc>
          <w:tcPr>
            <w:tcW w:w="1701" w:type="dxa"/>
            <w:tcBorders>
              <w:top w:val="nil"/>
              <w:left w:val="single" w:sz="4" w:space="0" w:color="auto"/>
              <w:bottom w:val="single" w:sz="4" w:space="0" w:color="auto"/>
              <w:right w:val="single" w:sz="4" w:space="0" w:color="auto"/>
            </w:tcBorders>
            <w:noWrap/>
            <w:vAlign w:val="bottom"/>
          </w:tcPr>
          <w:p w14:paraId="09509C7E"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heme="minorEastAsia" w:hAnsi="Calibri" w:cs="Calibri" w:hint="eastAsia"/>
                <w:kern w:val="0"/>
                <w:sz w:val="16"/>
                <w:szCs w:val="16"/>
                <w:lang w:eastAsia="zh-CN"/>
                <w14:ligatures w14:val="none"/>
              </w:rPr>
              <w:t>出境</w:t>
            </w:r>
            <w:r>
              <w:rPr>
                <w:rFonts w:ascii="Calibri" w:eastAsia="Times New Roman" w:hAnsi="Calibri" w:cs="Calibri"/>
                <w:kern w:val="0"/>
                <w:sz w:val="16"/>
                <w:szCs w:val="16"/>
                <w:lang w:eastAsia="en-GB"/>
                <w14:ligatures w14:val="none"/>
              </w:rPr>
              <w:t>交换生</w:t>
            </w:r>
            <w:r>
              <w:rPr>
                <w:rFonts w:ascii="SimSun" w:eastAsia="SimSun" w:hAnsi="SimSun" w:cs="SimSun" w:hint="eastAsia"/>
                <w:kern w:val="0"/>
                <w:sz w:val="16"/>
                <w:szCs w:val="16"/>
                <w:lang w:eastAsia="zh-CN"/>
                <w14:ligatures w14:val="none"/>
              </w:rPr>
              <w:t>比例</w:t>
            </w:r>
          </w:p>
        </w:tc>
        <w:tc>
          <w:tcPr>
            <w:tcW w:w="709" w:type="dxa"/>
            <w:tcBorders>
              <w:top w:val="nil"/>
              <w:left w:val="nil"/>
              <w:bottom w:val="single" w:sz="4" w:space="0" w:color="auto"/>
              <w:right w:val="single" w:sz="4" w:space="0" w:color="auto"/>
            </w:tcBorders>
            <w:noWrap/>
            <w:vAlign w:val="center"/>
          </w:tcPr>
          <w:p w14:paraId="74903B54"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2.5%</w:t>
            </w:r>
          </w:p>
        </w:tc>
        <w:tc>
          <w:tcPr>
            <w:tcW w:w="567" w:type="dxa"/>
            <w:tcBorders>
              <w:top w:val="nil"/>
              <w:left w:val="nil"/>
              <w:bottom w:val="single" w:sz="4" w:space="0" w:color="auto"/>
              <w:right w:val="single" w:sz="4" w:space="0" w:color="auto"/>
            </w:tcBorders>
            <w:shd w:val="clear" w:color="000000" w:fill="F2F2F2"/>
            <w:noWrap/>
            <w:vAlign w:val="bottom"/>
          </w:tcPr>
          <w:p w14:paraId="5C40F023" w14:textId="77777777" w:rsidR="00D61BF9" w:rsidRDefault="00000000">
            <w:pPr>
              <w:spacing w:after="0" w:line="240" w:lineRule="auto"/>
              <w:jc w:val="center"/>
              <w:rPr>
                <w:rFonts w:ascii="Calibri" w:eastAsia="Times New Roman" w:hAnsi="Calibri" w:cs="Calibri"/>
                <w:color w:val="00B050"/>
                <w:kern w:val="0"/>
                <w:sz w:val="16"/>
                <w:szCs w:val="16"/>
                <w:lang w:eastAsia="en-GB"/>
                <w14:ligatures w14:val="none"/>
              </w:rPr>
            </w:pPr>
            <w:r>
              <w:rPr>
                <w:rFonts w:ascii="Calibri" w:eastAsia="Times New Roman" w:hAnsi="Calibri" w:cs="Calibri"/>
                <w:color w:val="00B050"/>
                <w:kern w:val="0"/>
                <w:sz w:val="16"/>
                <w:szCs w:val="16"/>
                <w:lang w:eastAsia="en-GB"/>
                <w14:ligatures w14:val="none"/>
              </w:rPr>
              <w:t>7%</w:t>
            </w:r>
          </w:p>
        </w:tc>
        <w:tc>
          <w:tcPr>
            <w:tcW w:w="709" w:type="dxa"/>
            <w:tcBorders>
              <w:top w:val="nil"/>
              <w:left w:val="nil"/>
              <w:bottom w:val="single" w:sz="4" w:space="0" w:color="auto"/>
              <w:right w:val="single" w:sz="4" w:space="0" w:color="auto"/>
            </w:tcBorders>
            <w:shd w:val="clear" w:color="000000" w:fill="F2F2F2"/>
            <w:noWrap/>
            <w:vAlign w:val="bottom"/>
          </w:tcPr>
          <w:p w14:paraId="42495AD6"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93%</w:t>
            </w:r>
          </w:p>
        </w:tc>
        <w:tc>
          <w:tcPr>
            <w:tcW w:w="709" w:type="dxa"/>
            <w:tcBorders>
              <w:top w:val="nil"/>
              <w:left w:val="nil"/>
              <w:bottom w:val="single" w:sz="4" w:space="0" w:color="auto"/>
              <w:right w:val="single" w:sz="4" w:space="0" w:color="auto"/>
            </w:tcBorders>
            <w:shd w:val="clear" w:color="000000" w:fill="F2F2F2"/>
            <w:noWrap/>
            <w:vAlign w:val="bottom"/>
          </w:tcPr>
          <w:p w14:paraId="132EA1B5" w14:textId="77777777" w:rsidR="00D61BF9" w:rsidRDefault="00000000">
            <w:pPr>
              <w:spacing w:after="0" w:line="240" w:lineRule="auto"/>
              <w:jc w:val="center"/>
              <w:rPr>
                <w:rFonts w:ascii="Calibri" w:eastAsia="Times New Roman" w:hAnsi="Calibri" w:cs="Calibri"/>
                <w:color w:val="FFC000"/>
                <w:kern w:val="0"/>
                <w:sz w:val="16"/>
                <w:szCs w:val="16"/>
                <w:lang w:eastAsia="en-GB"/>
                <w14:ligatures w14:val="none"/>
              </w:rPr>
            </w:pPr>
            <w:r>
              <w:rPr>
                <w:rFonts w:ascii="Calibri" w:eastAsia="Times New Roman" w:hAnsi="Calibri" w:cs="Calibri"/>
                <w:color w:val="FFC000"/>
                <w:kern w:val="0"/>
                <w:sz w:val="16"/>
                <w:szCs w:val="16"/>
                <w:lang w:eastAsia="en-GB"/>
                <w14:ligatures w14:val="none"/>
              </w:rPr>
              <w:t>0%</w:t>
            </w:r>
          </w:p>
        </w:tc>
        <w:tc>
          <w:tcPr>
            <w:tcW w:w="987" w:type="dxa"/>
            <w:tcBorders>
              <w:top w:val="nil"/>
              <w:left w:val="nil"/>
              <w:bottom w:val="single" w:sz="4" w:space="0" w:color="auto"/>
              <w:right w:val="single" w:sz="4" w:space="0" w:color="auto"/>
            </w:tcBorders>
            <w:noWrap/>
            <w:vAlign w:val="bottom"/>
          </w:tcPr>
          <w:p w14:paraId="7EFE47AF"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22.6</w:t>
            </w:r>
          </w:p>
        </w:tc>
        <w:tc>
          <w:tcPr>
            <w:tcW w:w="992" w:type="dxa"/>
            <w:tcBorders>
              <w:top w:val="nil"/>
              <w:left w:val="nil"/>
              <w:bottom w:val="single" w:sz="4" w:space="0" w:color="auto"/>
              <w:right w:val="single" w:sz="4" w:space="0" w:color="auto"/>
            </w:tcBorders>
            <w:noWrap/>
            <w:vAlign w:val="bottom"/>
          </w:tcPr>
          <w:p w14:paraId="7C1107D8" w14:textId="77777777" w:rsidR="00D61BF9" w:rsidRDefault="00000000">
            <w:pPr>
              <w:spacing w:after="0" w:line="240" w:lineRule="auto"/>
              <w:jc w:val="center"/>
              <w:rPr>
                <w:rFonts w:ascii="Calibri" w:eastAsia="Times New Roman" w:hAnsi="Calibri" w:cs="Calibri"/>
                <w:color w:val="C00000"/>
                <w:kern w:val="0"/>
                <w:sz w:val="16"/>
                <w:szCs w:val="16"/>
                <w:lang w:eastAsia="en-GB"/>
                <w14:ligatures w14:val="none"/>
              </w:rPr>
            </w:pPr>
            <w:r>
              <w:rPr>
                <w:rFonts w:ascii="Calibri" w:eastAsia="Times New Roman" w:hAnsi="Calibri" w:cs="Calibri"/>
                <w:color w:val="C00000"/>
                <w:kern w:val="0"/>
                <w:sz w:val="16"/>
                <w:szCs w:val="16"/>
                <w:lang w:eastAsia="en-GB"/>
                <w14:ligatures w14:val="none"/>
              </w:rPr>
              <w:t>13.6</w:t>
            </w:r>
          </w:p>
        </w:tc>
        <w:tc>
          <w:tcPr>
            <w:tcW w:w="1985" w:type="dxa"/>
            <w:tcBorders>
              <w:top w:val="nil"/>
              <w:left w:val="nil"/>
              <w:bottom w:val="single" w:sz="4" w:space="0" w:color="auto"/>
              <w:right w:val="single" w:sz="4" w:space="0" w:color="auto"/>
            </w:tcBorders>
            <w:shd w:val="clear" w:color="000000" w:fill="F2F2F2"/>
            <w:noWrap/>
            <w:vAlign w:val="bottom"/>
          </w:tcPr>
          <w:p w14:paraId="3466F2AA" w14:textId="77777777" w:rsidR="00D61BF9" w:rsidRDefault="00000000">
            <w:pPr>
              <w:spacing w:after="0" w:line="240" w:lineRule="auto"/>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浙江大学</w:t>
            </w:r>
          </w:p>
        </w:tc>
        <w:tc>
          <w:tcPr>
            <w:tcW w:w="992" w:type="dxa"/>
            <w:tcBorders>
              <w:top w:val="nil"/>
              <w:left w:val="nil"/>
              <w:bottom w:val="single" w:sz="4" w:space="0" w:color="auto"/>
              <w:right w:val="single" w:sz="4" w:space="0" w:color="auto"/>
            </w:tcBorders>
            <w:shd w:val="clear" w:color="000000" w:fill="F2F2F2"/>
            <w:noWrap/>
            <w:vAlign w:val="bottom"/>
          </w:tcPr>
          <w:p w14:paraId="6C782DB6"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9</w:t>
            </w:r>
          </w:p>
        </w:tc>
        <w:tc>
          <w:tcPr>
            <w:tcW w:w="850" w:type="dxa"/>
            <w:tcBorders>
              <w:top w:val="nil"/>
              <w:left w:val="nil"/>
              <w:bottom w:val="single" w:sz="4" w:space="0" w:color="auto"/>
              <w:right w:val="single" w:sz="4" w:space="0" w:color="auto"/>
            </w:tcBorders>
            <w:shd w:val="clear" w:color="000000" w:fill="F2F2F2"/>
            <w:noWrap/>
            <w:vAlign w:val="bottom"/>
          </w:tcPr>
          <w:p w14:paraId="597E83AB" w14:textId="77777777" w:rsidR="00D61BF9" w:rsidRDefault="00000000">
            <w:pPr>
              <w:spacing w:after="0" w:line="240" w:lineRule="auto"/>
              <w:jc w:val="center"/>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14</w:t>
            </w:r>
          </w:p>
        </w:tc>
      </w:tr>
    </w:tbl>
    <w:p w14:paraId="1A944C59" w14:textId="77777777" w:rsidR="00D61BF9" w:rsidRDefault="00D61BF9">
      <w:pPr>
        <w:rPr>
          <w:rFonts w:ascii="Calibri" w:hAnsi="Calibri" w:cs="Calibri"/>
          <w:color w:val="000000"/>
          <w:sz w:val="22"/>
          <w:szCs w:val="22"/>
          <w:shd w:val="clear" w:color="auto" w:fill="FFFFFF"/>
        </w:rPr>
      </w:pPr>
    </w:p>
    <w:p w14:paraId="4641A12A" w14:textId="77777777" w:rsidR="00D61BF9" w:rsidRDefault="00000000">
      <w:pPr>
        <w:rPr>
          <w:rFonts w:ascii="Calibri" w:hAnsi="Calibri" w:cs="Calibri"/>
          <w:b/>
          <w:bCs/>
          <w:color w:val="000000"/>
          <w:sz w:val="22"/>
          <w:szCs w:val="22"/>
          <w:u w:val="single"/>
          <w:shd w:val="clear" w:color="auto" w:fill="FFFFFF"/>
        </w:rPr>
      </w:pPr>
      <w:r>
        <w:rPr>
          <w:rFonts w:ascii="Calibri" w:hAnsi="Calibri" w:cs="Calibri"/>
          <w:b/>
          <w:bCs/>
          <w:color w:val="000000"/>
          <w:sz w:val="22"/>
          <w:szCs w:val="22"/>
          <w:u w:val="single"/>
          <w:shd w:val="clear" w:color="auto" w:fill="FFFFFF"/>
        </w:rPr>
        <w:t>排名跃升最显著的院校</w:t>
      </w:r>
    </w:p>
    <w:p w14:paraId="5ED08FE3"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在排名持续超过两年的</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中，有</w:t>
      </w:r>
      <w:r>
        <w:rPr>
          <w:rFonts w:ascii="Calibri" w:hAnsi="Calibri" w:cs="Calibri"/>
          <w:color w:val="000000"/>
          <w:sz w:val="22"/>
          <w:szCs w:val="22"/>
          <w:shd w:val="clear" w:color="auto" w:fill="FFFFFF"/>
          <w:lang w:eastAsia="zh-CN"/>
        </w:rPr>
        <w:t>16</w:t>
      </w:r>
      <w:r>
        <w:rPr>
          <w:rFonts w:ascii="Calibri" w:hAnsi="Calibri" w:cs="Calibri"/>
          <w:color w:val="000000"/>
          <w:sz w:val="22"/>
          <w:szCs w:val="22"/>
          <w:shd w:val="clear" w:color="auto" w:fill="FFFFFF"/>
          <w:lang w:eastAsia="zh-CN"/>
        </w:rPr>
        <w:t>所创下历史最佳排名，其中</w:t>
      </w:r>
      <w:r>
        <w:rPr>
          <w:rFonts w:ascii="Calibri" w:hAnsi="Calibri" w:cs="Calibri"/>
          <w:color w:val="000000"/>
          <w:sz w:val="22"/>
          <w:szCs w:val="22"/>
          <w:shd w:val="clear" w:color="auto" w:fill="FFFFFF"/>
          <w:lang w:eastAsia="zh-CN"/>
        </w:rPr>
        <w:t>6</w:t>
      </w:r>
      <w:r>
        <w:rPr>
          <w:rFonts w:ascii="Calibri" w:hAnsi="Calibri" w:cs="Calibri"/>
          <w:color w:val="000000"/>
          <w:sz w:val="22"/>
          <w:szCs w:val="22"/>
          <w:shd w:val="clear" w:color="auto" w:fill="FFFFFF"/>
          <w:lang w:eastAsia="zh-CN"/>
        </w:rPr>
        <w:t>所跻身前</w:t>
      </w:r>
      <w:r>
        <w:rPr>
          <w:rFonts w:ascii="Calibri" w:hAnsi="Calibri" w:cs="Calibri"/>
          <w:color w:val="000000"/>
          <w:sz w:val="22"/>
          <w:szCs w:val="22"/>
          <w:shd w:val="clear" w:color="auto" w:fill="FFFFFF"/>
          <w:lang w:eastAsia="zh-CN"/>
        </w:rPr>
        <w:t>50</w:t>
      </w:r>
      <w:r>
        <w:rPr>
          <w:rFonts w:ascii="Calibri" w:hAnsi="Calibri" w:cs="Calibri"/>
          <w:color w:val="000000"/>
          <w:sz w:val="22"/>
          <w:szCs w:val="22"/>
          <w:shd w:val="clear" w:color="auto" w:fill="FFFFFF"/>
          <w:lang w:eastAsia="zh-CN"/>
        </w:rPr>
        <w:t>名，表现尤为亮眼。与此同时，跻身前</w:t>
      </w:r>
      <w:r>
        <w:rPr>
          <w:rFonts w:ascii="Calibri" w:hAnsi="Calibri" w:cs="Calibri"/>
          <w:color w:val="000000"/>
          <w:sz w:val="22"/>
          <w:szCs w:val="22"/>
          <w:shd w:val="clear" w:color="auto" w:fill="FFFFFF"/>
          <w:lang w:eastAsia="zh-CN"/>
        </w:rPr>
        <w:t>100</w:t>
      </w:r>
      <w:r>
        <w:rPr>
          <w:rFonts w:ascii="Calibri" w:hAnsi="Calibri" w:cs="Calibri"/>
          <w:color w:val="000000"/>
          <w:sz w:val="22"/>
          <w:szCs w:val="22"/>
          <w:shd w:val="clear" w:color="auto" w:fill="FFFFFF"/>
          <w:lang w:eastAsia="zh-CN"/>
        </w:rPr>
        <w:t>名的</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数量达到创纪录的</w:t>
      </w:r>
      <w:r>
        <w:rPr>
          <w:rFonts w:ascii="Calibri" w:hAnsi="Calibri" w:cs="Calibri"/>
          <w:color w:val="000000"/>
          <w:sz w:val="22"/>
          <w:szCs w:val="22"/>
          <w:shd w:val="clear" w:color="auto" w:fill="FFFFFF"/>
          <w:lang w:eastAsia="zh-CN"/>
        </w:rPr>
        <w:t>28</w:t>
      </w:r>
      <w:r>
        <w:rPr>
          <w:rFonts w:ascii="Calibri" w:hAnsi="Calibri" w:cs="Calibri"/>
          <w:color w:val="000000"/>
          <w:sz w:val="22"/>
          <w:szCs w:val="22"/>
          <w:shd w:val="clear" w:color="auto" w:fill="FFFFFF"/>
          <w:lang w:eastAsia="zh-CN"/>
        </w:rPr>
        <w:t>所。</w:t>
      </w:r>
      <w:r>
        <w:rPr>
          <w:rFonts w:ascii="Calibri" w:hAnsi="Calibri" w:cs="Calibri"/>
          <w:color w:val="000000"/>
          <w:sz w:val="22"/>
          <w:szCs w:val="22"/>
          <w:shd w:val="clear" w:color="auto" w:fill="FFFFFF"/>
          <w:lang w:eastAsia="zh-CN"/>
        </w:rPr>
        <w:t xml:space="preserve"> </w:t>
      </w:r>
    </w:p>
    <w:p w14:paraId="022CEA2F" w14:textId="77777777" w:rsidR="00D61BF9" w:rsidRDefault="00000000">
      <w:pPr>
        <w:pStyle w:val="ListParagraph"/>
        <w:numPr>
          <w:ilvl w:val="0"/>
          <w:numId w:val="2"/>
        </w:numPr>
        <w:contextualSpacing w:val="0"/>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清华大学时隔四年重返第三名，距离其</w:t>
      </w:r>
      <w:r>
        <w:rPr>
          <w:rFonts w:ascii="Calibri" w:hAnsi="Calibri" w:cs="Calibri"/>
          <w:color w:val="000000"/>
          <w:sz w:val="22"/>
          <w:szCs w:val="22"/>
          <w:shd w:val="clear" w:color="auto" w:fill="FFFFFF"/>
          <w:lang w:eastAsia="zh-CN"/>
        </w:rPr>
        <w:t>2021</w:t>
      </w:r>
      <w:r>
        <w:rPr>
          <w:rFonts w:ascii="Calibri" w:hAnsi="Calibri" w:cs="Calibri"/>
          <w:color w:val="000000"/>
          <w:sz w:val="22"/>
          <w:szCs w:val="22"/>
          <w:shd w:val="clear" w:color="auto" w:fill="FFFFFF"/>
          <w:lang w:eastAsia="zh-CN"/>
        </w:rPr>
        <w:t>年创下的历史最高排名</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第二名</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仅一步之遥。此次排名上升六位，主要得益于</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每名</w:t>
      </w:r>
      <w:r>
        <w:rPr>
          <w:rFonts w:ascii="Calibri" w:eastAsia="SimSun" w:hAnsi="Calibri" w:cs="Calibri" w:hint="eastAsia"/>
          <w:color w:val="000000"/>
          <w:sz w:val="22"/>
          <w:szCs w:val="22"/>
          <w:shd w:val="clear" w:color="auto" w:fill="FFFFFF"/>
          <w:lang w:eastAsia="zh-CN"/>
        </w:rPr>
        <w:t>教师</w:t>
      </w:r>
      <w:r>
        <w:rPr>
          <w:rFonts w:ascii="Calibri" w:hAnsi="Calibri" w:cs="Calibri"/>
          <w:color w:val="000000"/>
          <w:sz w:val="22"/>
          <w:szCs w:val="22"/>
          <w:shd w:val="clear" w:color="auto" w:fill="FFFFFF"/>
          <w:lang w:eastAsia="zh-CN"/>
        </w:rPr>
        <w:t>发表论文数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国际</w:t>
      </w:r>
      <w:r>
        <w:rPr>
          <w:rFonts w:ascii="Calibri" w:eastAsia="SimSun" w:hAnsi="Calibri" w:cs="Calibri" w:hint="eastAsia"/>
          <w:color w:val="000000"/>
          <w:sz w:val="22"/>
          <w:szCs w:val="22"/>
          <w:shd w:val="clear" w:color="auto" w:fill="FFFFFF"/>
          <w:lang w:eastAsia="zh-CN"/>
        </w:rPr>
        <w:t>教师</w:t>
      </w:r>
      <w:r>
        <w:rPr>
          <w:rFonts w:ascii="Calibri" w:hAnsi="Calibri" w:cs="Calibri"/>
          <w:color w:val="000000"/>
          <w:sz w:val="22"/>
          <w:szCs w:val="22"/>
          <w:shd w:val="clear" w:color="auto" w:fill="FFFFFF"/>
          <w:lang w:eastAsia="zh-CN"/>
        </w:rPr>
        <w:t>比例</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来华交换生人数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等指标的提升。</w:t>
      </w:r>
    </w:p>
    <w:p w14:paraId="1020C413" w14:textId="77777777" w:rsidR="00D61BF9" w:rsidRDefault="00000000">
      <w:pPr>
        <w:pStyle w:val="ListParagraph"/>
        <w:numPr>
          <w:ilvl w:val="0"/>
          <w:numId w:val="2"/>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南京大学凭借在“雇主声誉”和“学术声誉”两方面的提升，从去年的</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19</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跃升至</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17</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，创下历史</w:t>
      </w:r>
      <w:r>
        <w:rPr>
          <w:rFonts w:ascii="Calibri" w:eastAsia="SimSun" w:hAnsi="Calibri" w:cs="Calibri" w:hint="eastAsia"/>
          <w:color w:val="1D1D1B"/>
          <w:kern w:val="0"/>
          <w:sz w:val="22"/>
          <w:szCs w:val="22"/>
          <w:lang w:val="en-US" w:eastAsia="zh-CN"/>
          <w14:ligatures w14:val="none"/>
        </w:rPr>
        <w:t>最佳</w:t>
      </w:r>
      <w:r>
        <w:rPr>
          <w:rFonts w:ascii="Calibri" w:eastAsia="Times New Roman" w:hAnsi="Calibri" w:cs="Calibri"/>
          <w:color w:val="1D1D1B"/>
          <w:kern w:val="0"/>
          <w:sz w:val="22"/>
          <w:szCs w:val="22"/>
          <w:lang w:eastAsia="zh-CN"/>
          <w14:ligatures w14:val="none"/>
        </w:rPr>
        <w:t>排名。</w:t>
      </w:r>
    </w:p>
    <w:p w14:paraId="540ECCD1" w14:textId="77777777" w:rsidR="00D61BF9" w:rsidRDefault="00000000">
      <w:pPr>
        <w:pStyle w:val="ListParagraph"/>
        <w:numPr>
          <w:ilvl w:val="0"/>
          <w:numId w:val="2"/>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中国科学技术大学首次跻身前20名，创下历史最佳排名</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位列第</w:t>
      </w:r>
      <w:r>
        <w:rPr>
          <w:rFonts w:ascii="Calibri" w:eastAsia="SimSun" w:hAnsi="Calibri" w:cs="Calibri" w:hint="eastAsia"/>
          <w:color w:val="1D1D1B"/>
          <w:kern w:val="0"/>
          <w:sz w:val="22"/>
          <w:szCs w:val="22"/>
          <w:lang w:val="en-US" w:eastAsia="zh-CN"/>
          <w14:ligatures w14:val="none"/>
        </w:rPr>
        <w:t>20</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 xml:space="preserve">。该校在“雇主声誉”、“国际研究网络”和“师生比例”方面均有所提升，其中师生比例在该地区排名第七。 </w:t>
      </w:r>
    </w:p>
    <w:p w14:paraId="56D45C72" w14:textId="77777777" w:rsidR="00D61BF9" w:rsidRDefault="00000000">
      <w:pPr>
        <w:pStyle w:val="ListParagraph"/>
        <w:numPr>
          <w:ilvl w:val="0"/>
          <w:numId w:val="2"/>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天津大学首次跻身前50名，位列</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43</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，这得益于其声誉指标、国际研究、研究产出和对外交流方面的全面提升。</w:t>
      </w:r>
    </w:p>
    <w:p w14:paraId="2BEB582F" w14:textId="77777777" w:rsidR="00D61BF9" w:rsidRDefault="00000000">
      <w:pPr>
        <w:pStyle w:val="ListParagraph"/>
        <w:numPr>
          <w:ilvl w:val="0"/>
          <w:numId w:val="2"/>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同样跻身中国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前50名的同济大学、武汉大学和哈尔滨工业大学均创下历史最高排名。这三所大学在学术声誉、雇主声誉、国际研究以及每名教师发表论文数量方面均有所提升。</w:t>
      </w:r>
    </w:p>
    <w:p w14:paraId="7EA2C395" w14:textId="77777777" w:rsidR="00D61BF9" w:rsidRDefault="00000000">
      <w:pPr>
        <w:pStyle w:val="ListParagraph"/>
        <w:numPr>
          <w:ilvl w:val="0"/>
          <w:numId w:val="3"/>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lastRenderedPageBreak/>
        <w:t>山东大学从</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112</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跃升至</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73</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，创下历史新高，这得益于其在QS的11项指标中的10项均有所提升——其中最显著的是师生比、拥有博士学位的教职员工比例以及两项学生交流指标。</w:t>
      </w:r>
    </w:p>
    <w:p w14:paraId="45363A64" w14:textId="77777777" w:rsidR="00D61BF9" w:rsidRDefault="00000000">
      <w:pPr>
        <w:pStyle w:val="ListParagraph"/>
        <w:numPr>
          <w:ilvl w:val="0"/>
          <w:numId w:val="3"/>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东南大学跃升30位</w:t>
      </w:r>
      <w:r>
        <w:rPr>
          <w:rFonts w:ascii="Calibri" w:eastAsia="Times New Roman" w:hAnsi="Calibri" w:cs="Calibri"/>
          <w:color w:val="1D1D1B"/>
          <w:kern w:val="0"/>
          <w:sz w:val="22"/>
          <w:szCs w:val="22"/>
          <w:vertAlign w:val="superscript"/>
          <w:lang w:eastAsia="zh-CN"/>
          <w14:ligatures w14:val="none"/>
        </w:rPr>
        <w:t>，</w:t>
      </w:r>
      <w:r>
        <w:rPr>
          <w:rFonts w:ascii="Calibri" w:eastAsia="Times New Roman" w:hAnsi="Calibri" w:cs="Calibri"/>
          <w:color w:val="1D1D1B"/>
          <w:kern w:val="0"/>
          <w:sz w:val="22"/>
          <w:szCs w:val="22"/>
          <w:lang w:eastAsia="zh-CN"/>
          <w14:ligatures w14:val="none"/>
        </w:rPr>
        <w:t>位列</w:t>
      </w:r>
      <w:r>
        <w:rPr>
          <w:rFonts w:ascii="Calibri" w:eastAsia="SimSun" w:hAnsi="Calibri" w:cs="Calibri" w:hint="eastAsia"/>
          <w:color w:val="1D1D1B"/>
          <w:kern w:val="0"/>
          <w:sz w:val="22"/>
          <w:szCs w:val="22"/>
          <w:lang w:val="en-US" w:eastAsia="zh-CN"/>
          <w14:ligatures w14:val="none"/>
        </w:rPr>
        <w:t>第</w:t>
      </w:r>
      <w:r>
        <w:rPr>
          <w:rFonts w:ascii="Calibri" w:eastAsia="Times New Roman" w:hAnsi="Calibri" w:cs="Calibri"/>
          <w:color w:val="1D1D1B"/>
          <w:kern w:val="0"/>
          <w:sz w:val="22"/>
          <w:szCs w:val="22"/>
          <w:lang w:eastAsia="zh-CN"/>
          <w14:ligatures w14:val="none"/>
        </w:rPr>
        <w:t>90名，这是该校自2016年（当时排名第82位）以来的最高排名。其“雇主声誉”和“拥有博士学位的教职员工比例”两项指标的提升最为显著。</w:t>
      </w:r>
    </w:p>
    <w:p w14:paraId="4C6AF38E" w14:textId="77777777" w:rsidR="00D61BF9" w:rsidRDefault="00000000">
      <w:pPr>
        <w:pStyle w:val="ListParagraph"/>
        <w:numPr>
          <w:ilvl w:val="0"/>
          <w:numId w:val="3"/>
        </w:numPr>
        <w:contextualSpacing w:val="0"/>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华南理工大学从</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119</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跃升至</w:t>
      </w:r>
      <w:r>
        <w:rPr>
          <w:rFonts w:ascii="Calibri" w:eastAsia="SimSun" w:hAnsi="Calibri" w:cs="Calibri" w:hint="eastAsia"/>
          <w:color w:val="1D1D1B"/>
          <w:kern w:val="0"/>
          <w:sz w:val="22"/>
          <w:szCs w:val="22"/>
          <w:lang w:val="en-US" w:eastAsia="zh-CN"/>
          <w14:ligatures w14:val="none"/>
        </w:rPr>
        <w:t>第</w:t>
      </w:r>
      <w:r>
        <w:rPr>
          <w:rFonts w:ascii="Calibri" w:eastAsia="SimSun" w:hAnsi="Calibri" w:cs="Calibri" w:hint="eastAsia"/>
          <w:color w:val="1D1D1B"/>
          <w:kern w:val="0"/>
          <w:sz w:val="22"/>
          <w:szCs w:val="22"/>
          <w:lang w:val="en-US" w:eastAsia="zh-CN"/>
          <w14:ligatures w14:val="none"/>
        </w:rPr>
        <w:t>95</w:t>
      </w:r>
      <w:r>
        <w:rPr>
          <w:rFonts w:ascii="Calibri" w:eastAsia="SimSun" w:hAnsi="Calibri" w:cs="Calibri" w:hint="eastAsia"/>
          <w:color w:val="1D1D1B"/>
          <w:kern w:val="0"/>
          <w:sz w:val="22"/>
          <w:szCs w:val="22"/>
          <w:lang w:val="en-US" w:eastAsia="zh-CN"/>
          <w14:ligatures w14:val="none"/>
        </w:rPr>
        <w:t>名</w:t>
      </w:r>
      <w:r>
        <w:rPr>
          <w:rFonts w:ascii="Calibri" w:eastAsia="Times New Roman" w:hAnsi="Calibri" w:cs="Calibri"/>
          <w:color w:val="1D1D1B"/>
          <w:kern w:val="0"/>
          <w:sz w:val="22"/>
          <w:szCs w:val="22"/>
          <w:lang w:eastAsia="zh-CN"/>
          <w14:ligatures w14:val="none"/>
        </w:rPr>
        <w:t>，这得益于包括学术声誉、雇主声誉、教师论文产出、出境交换生人数以及师生比在内的五项指标的提升。</w:t>
      </w:r>
    </w:p>
    <w:p w14:paraId="3E0E77A3"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云南大学在</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雇主声誉</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师生比</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每名教师发表论文数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等指标显著提升后，排名跃升</w:t>
      </w:r>
      <w:r>
        <w:rPr>
          <w:rFonts w:ascii="Calibri" w:hAnsi="Calibri" w:cs="Calibri"/>
          <w:color w:val="000000"/>
          <w:sz w:val="22"/>
          <w:szCs w:val="22"/>
          <w:shd w:val="clear" w:color="auto" w:fill="FFFFFF"/>
          <w:lang w:eastAsia="zh-CN"/>
        </w:rPr>
        <w:t>147</w:t>
      </w:r>
      <w:r>
        <w:rPr>
          <w:rFonts w:ascii="Calibri" w:hAnsi="Calibri" w:cs="Calibri"/>
          <w:color w:val="000000"/>
          <w:sz w:val="22"/>
          <w:szCs w:val="22"/>
          <w:shd w:val="clear" w:color="auto" w:fill="FFFFFF"/>
          <w:lang w:eastAsia="zh-CN"/>
        </w:rPr>
        <w:t>位至第</w:t>
      </w:r>
      <w:r>
        <w:rPr>
          <w:rFonts w:ascii="Calibri" w:hAnsi="Calibri" w:cs="Calibri"/>
          <w:color w:val="000000"/>
          <w:sz w:val="22"/>
          <w:szCs w:val="22"/>
          <w:shd w:val="clear" w:color="auto" w:fill="FFFFFF"/>
          <w:lang w:eastAsia="zh-CN"/>
        </w:rPr>
        <w:t>452</w:t>
      </w:r>
      <w:r>
        <w:rPr>
          <w:rFonts w:ascii="Calibri" w:hAnsi="Calibri" w:cs="Calibri"/>
          <w:color w:val="000000"/>
          <w:sz w:val="22"/>
          <w:szCs w:val="22"/>
          <w:shd w:val="clear" w:color="auto" w:fill="FFFFFF"/>
          <w:lang w:eastAsia="zh-CN"/>
        </w:rPr>
        <w:t>位。</w:t>
      </w:r>
    </w:p>
    <w:p w14:paraId="4C107504" w14:textId="77777777" w:rsidR="00D61BF9" w:rsidRDefault="00000000">
      <w:pPr>
        <w:rPr>
          <w:rFonts w:ascii="Calibri" w:eastAsia="SimSun" w:hAnsi="Calibri" w:cs="Calibri"/>
          <w:b/>
          <w:bCs/>
          <w:color w:val="000000"/>
          <w:sz w:val="22"/>
          <w:szCs w:val="22"/>
          <w:u w:val="single"/>
          <w:shd w:val="clear" w:color="auto" w:fill="FFFFFF"/>
          <w:lang w:val="en-US" w:eastAsia="zh-CN"/>
        </w:rPr>
      </w:pPr>
      <w:r>
        <w:rPr>
          <w:rFonts w:ascii="Calibri" w:hAnsi="Calibri" w:cs="Calibri"/>
          <w:b/>
          <w:bCs/>
          <w:color w:val="000000"/>
          <w:sz w:val="22"/>
          <w:szCs w:val="22"/>
          <w:u w:val="single"/>
          <w:shd w:val="clear" w:color="auto" w:fill="FFFFFF"/>
          <w:lang w:eastAsia="zh-CN"/>
        </w:rPr>
        <w:t>聚焦中国</w:t>
      </w:r>
      <w:r>
        <w:rPr>
          <w:rFonts w:ascii="Calibri" w:eastAsia="SimSun" w:hAnsi="Calibri" w:cs="Calibri" w:hint="eastAsia"/>
          <w:b/>
          <w:bCs/>
          <w:color w:val="000000"/>
          <w:sz w:val="22"/>
          <w:szCs w:val="22"/>
          <w:u w:val="single"/>
          <w:shd w:val="clear" w:color="auto" w:fill="FFFFFF"/>
          <w:lang w:eastAsia="zh-CN"/>
        </w:rPr>
        <w:t>（</w:t>
      </w:r>
      <w:r>
        <w:rPr>
          <w:rFonts w:ascii="Calibri" w:eastAsia="SimSun" w:hAnsi="Calibri" w:cs="Calibri" w:hint="eastAsia"/>
          <w:b/>
          <w:bCs/>
          <w:color w:val="000000"/>
          <w:sz w:val="22"/>
          <w:szCs w:val="22"/>
          <w:u w:val="single"/>
          <w:shd w:val="clear" w:color="auto" w:fill="FFFFFF"/>
          <w:lang w:val="en-US" w:eastAsia="zh-CN"/>
        </w:rPr>
        <w:t>内地）</w:t>
      </w:r>
    </w:p>
    <w:p w14:paraId="2E65FB43" w14:textId="77777777" w:rsidR="00D61BF9" w:rsidRDefault="00000000">
      <w:pPr>
        <w:rPr>
          <w:rFonts w:ascii="Calibri" w:hAnsi="Calibri" w:cs="Calibri"/>
          <w:b/>
          <w:bCs/>
          <w:color w:val="000000"/>
          <w:sz w:val="22"/>
          <w:szCs w:val="22"/>
          <w:shd w:val="clear" w:color="auto" w:fill="FFFFFF"/>
          <w:lang w:eastAsia="zh-CN"/>
        </w:rPr>
      </w:pPr>
      <w:r>
        <w:rPr>
          <w:rFonts w:ascii="Calibri" w:hAnsi="Calibri" w:cs="Calibri"/>
          <w:b/>
          <w:bCs/>
          <w:color w:val="000000"/>
          <w:sz w:val="22"/>
          <w:szCs w:val="22"/>
          <w:shd w:val="clear" w:color="auto" w:fill="FFFFFF"/>
          <w:lang w:eastAsia="zh-CN"/>
        </w:rPr>
        <w:t>在竞争日益激烈的环境中崭露头角的研究强校</w:t>
      </w:r>
    </w:p>
    <w:p w14:paraId="196506E5"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依然是亚洲最具科研产出的中心之一，在</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每名教师发表论文数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指标中，有三所大学跻身前十，且该指标整体取得显著进步，其中表现最突出的三所高校分别是：哈尔滨工业大学</w:t>
      </w:r>
      <w:r>
        <w:rPr>
          <w:rFonts w:ascii="Calibri" w:eastAsia="SimSun" w:hAnsi="Calibri" w:cs="Calibri" w:hint="eastAsia"/>
          <w:color w:val="000000"/>
          <w:sz w:val="22"/>
          <w:szCs w:val="22"/>
          <w:shd w:val="clear" w:color="auto" w:fill="FFFFFF"/>
          <w:lang w:eastAsia="zh-CN"/>
        </w:rPr>
        <w:t>，</w:t>
      </w:r>
      <w:r>
        <w:rPr>
          <w:rFonts w:ascii="Calibri" w:hAnsi="Calibri" w:cs="Calibri"/>
          <w:color w:val="000000"/>
          <w:sz w:val="22"/>
          <w:szCs w:val="22"/>
          <w:shd w:val="clear" w:color="auto" w:fill="FFFFFF"/>
          <w:lang w:eastAsia="zh-CN"/>
        </w:rPr>
        <w:t>上升</w:t>
      </w:r>
      <w:r>
        <w:rPr>
          <w:rFonts w:ascii="Calibri" w:hAnsi="Calibri" w:cs="Calibri"/>
          <w:color w:val="000000"/>
          <w:sz w:val="22"/>
          <w:szCs w:val="22"/>
          <w:shd w:val="clear" w:color="auto" w:fill="FFFFFF"/>
          <w:lang w:eastAsia="zh-CN"/>
        </w:rPr>
        <w:t>24</w:t>
      </w:r>
      <w:r>
        <w:rPr>
          <w:rFonts w:ascii="Calibri" w:hAnsi="Calibri" w:cs="Calibri"/>
          <w:color w:val="000000"/>
          <w:sz w:val="22"/>
          <w:szCs w:val="22"/>
          <w:shd w:val="clear" w:color="auto" w:fill="FFFFFF"/>
          <w:lang w:eastAsia="zh-CN"/>
        </w:rPr>
        <w:t>位至第四名</w:t>
      </w:r>
      <w:r>
        <w:rPr>
          <w:rFonts w:ascii="Calibri" w:eastAsia="SimSun" w:hAnsi="Calibri" w:cs="Calibri" w:hint="eastAsia"/>
          <w:color w:val="000000"/>
          <w:sz w:val="22"/>
          <w:szCs w:val="22"/>
          <w:shd w:val="clear" w:color="auto" w:fill="FFFFFF"/>
          <w:lang w:eastAsia="zh-CN"/>
        </w:rPr>
        <w:t>；</w:t>
      </w:r>
      <w:r>
        <w:rPr>
          <w:rFonts w:ascii="Calibri" w:hAnsi="Calibri" w:cs="Calibri"/>
          <w:color w:val="000000"/>
          <w:sz w:val="22"/>
          <w:szCs w:val="22"/>
          <w:shd w:val="clear" w:color="auto" w:fill="FFFFFF"/>
          <w:lang w:eastAsia="zh-CN"/>
        </w:rPr>
        <w:t>四川大学上升</w:t>
      </w:r>
      <w:r>
        <w:rPr>
          <w:rFonts w:ascii="Calibri" w:hAnsi="Calibri" w:cs="Calibri"/>
          <w:color w:val="000000"/>
          <w:sz w:val="22"/>
          <w:szCs w:val="22"/>
          <w:shd w:val="clear" w:color="auto" w:fill="FFFFFF"/>
          <w:lang w:eastAsia="zh-CN"/>
        </w:rPr>
        <w:t>10</w:t>
      </w:r>
      <w:r>
        <w:rPr>
          <w:rFonts w:ascii="Calibri" w:hAnsi="Calibri" w:cs="Calibri"/>
          <w:color w:val="000000"/>
          <w:sz w:val="22"/>
          <w:szCs w:val="22"/>
          <w:shd w:val="clear" w:color="auto" w:fill="FFFFFF"/>
          <w:lang w:eastAsia="zh-CN"/>
        </w:rPr>
        <w:t>位至第六名</w:t>
      </w:r>
      <w:r>
        <w:rPr>
          <w:rFonts w:ascii="Calibri" w:eastAsia="SimSun" w:hAnsi="Calibri" w:cs="Calibri" w:hint="eastAsia"/>
          <w:color w:val="000000"/>
          <w:sz w:val="22"/>
          <w:szCs w:val="22"/>
          <w:shd w:val="clear" w:color="auto" w:fill="FFFFFF"/>
          <w:lang w:eastAsia="zh-CN"/>
        </w:rPr>
        <w:t>；</w:t>
      </w:r>
      <w:r>
        <w:rPr>
          <w:rFonts w:ascii="Calibri" w:hAnsi="Calibri" w:cs="Calibri"/>
          <w:color w:val="000000"/>
          <w:sz w:val="22"/>
          <w:szCs w:val="22"/>
          <w:shd w:val="clear" w:color="auto" w:fill="FFFFFF"/>
          <w:lang w:eastAsia="zh-CN"/>
        </w:rPr>
        <w:t>上海交通大学上升</w:t>
      </w:r>
      <w:r>
        <w:rPr>
          <w:rFonts w:ascii="Calibri" w:hAnsi="Calibri" w:cs="Calibri"/>
          <w:color w:val="000000"/>
          <w:sz w:val="22"/>
          <w:szCs w:val="22"/>
          <w:shd w:val="clear" w:color="auto" w:fill="FFFFFF"/>
          <w:lang w:eastAsia="zh-CN"/>
        </w:rPr>
        <w:t>5</w:t>
      </w:r>
      <w:r>
        <w:rPr>
          <w:rFonts w:ascii="Calibri" w:hAnsi="Calibri" w:cs="Calibri"/>
          <w:color w:val="000000"/>
          <w:sz w:val="22"/>
          <w:szCs w:val="22"/>
          <w:shd w:val="clear" w:color="auto" w:fill="FFFFFF"/>
          <w:lang w:eastAsia="zh-CN"/>
        </w:rPr>
        <w:t>位至</w:t>
      </w:r>
      <w:r>
        <w:rPr>
          <w:rFonts w:ascii="Calibri" w:eastAsia="SimSun" w:hAnsi="Calibri" w:cs="Calibri" w:hint="eastAsia"/>
          <w:color w:val="000000"/>
          <w:sz w:val="22"/>
          <w:szCs w:val="22"/>
          <w:shd w:val="clear" w:color="auto" w:fill="FFFFFF"/>
          <w:lang w:val="en-US" w:eastAsia="zh-CN"/>
        </w:rPr>
        <w:t>第十</w:t>
      </w:r>
      <w:r>
        <w:rPr>
          <w:rFonts w:ascii="Calibri" w:hAnsi="Calibri" w:cs="Calibri"/>
          <w:color w:val="000000"/>
          <w:sz w:val="22"/>
          <w:szCs w:val="22"/>
          <w:shd w:val="clear" w:color="auto" w:fill="FFFFFF"/>
          <w:lang w:eastAsia="zh-CN"/>
        </w:rPr>
        <w:t>名。</w:t>
      </w:r>
      <w:r>
        <w:rPr>
          <w:rFonts w:ascii="Calibri" w:hAnsi="Calibri" w:cs="Calibri"/>
          <w:color w:val="000000"/>
          <w:sz w:val="22"/>
          <w:szCs w:val="22"/>
          <w:shd w:val="clear" w:color="auto" w:fill="FFFFFF"/>
          <w:lang w:eastAsia="zh-CN"/>
        </w:rPr>
        <w:t xml:space="preserve"> </w:t>
      </w:r>
      <w:r>
        <w:rPr>
          <w:rFonts w:ascii="Calibri" w:hAnsi="Calibri" w:cs="Calibri" w:hint="eastAsia"/>
          <w:color w:val="000000"/>
          <w:sz w:val="22"/>
          <w:szCs w:val="22"/>
          <w:shd w:val="clear" w:color="auto" w:fill="FFFFFF"/>
          <w:lang w:eastAsia="zh-CN"/>
        </w:rPr>
        <w:t>这也是中国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hint="eastAsia"/>
          <w:color w:val="000000"/>
          <w:sz w:val="22"/>
          <w:szCs w:val="22"/>
          <w:shd w:val="clear" w:color="auto" w:fill="FFFFFF"/>
          <w:lang w:eastAsia="zh-CN"/>
        </w:rPr>
        <w:t>进步多于退步的三项指标之一，且进步主要集中在顶尖梯队。在该指标位列区域前</w:t>
      </w:r>
      <w:r>
        <w:rPr>
          <w:rFonts w:ascii="Calibri" w:hAnsi="Calibri" w:cs="Calibri" w:hint="eastAsia"/>
          <w:color w:val="000000"/>
          <w:sz w:val="22"/>
          <w:szCs w:val="22"/>
          <w:shd w:val="clear" w:color="auto" w:fill="FFFFFF"/>
          <w:lang w:eastAsia="zh-CN"/>
        </w:rPr>
        <w:t xml:space="preserve"> 100 </w:t>
      </w:r>
      <w:r>
        <w:rPr>
          <w:rFonts w:ascii="Calibri" w:hAnsi="Calibri" w:cs="Calibri" w:hint="eastAsia"/>
          <w:color w:val="000000"/>
          <w:sz w:val="22"/>
          <w:szCs w:val="22"/>
          <w:shd w:val="clear" w:color="auto" w:fill="FFFFFF"/>
          <w:lang w:eastAsia="zh-CN"/>
        </w:rPr>
        <w:t>名的</w:t>
      </w:r>
      <w:r>
        <w:rPr>
          <w:rFonts w:ascii="Calibri" w:hAnsi="Calibri" w:cs="Calibri" w:hint="eastAsia"/>
          <w:color w:val="000000"/>
          <w:sz w:val="22"/>
          <w:szCs w:val="22"/>
          <w:shd w:val="clear" w:color="auto" w:fill="FFFFFF"/>
          <w:lang w:eastAsia="zh-CN"/>
        </w:rPr>
        <w:t xml:space="preserve"> 36 </w:t>
      </w:r>
      <w:r>
        <w:rPr>
          <w:rFonts w:ascii="Calibri" w:hAnsi="Calibri" w:cs="Calibri" w:hint="eastAsia"/>
          <w:color w:val="000000"/>
          <w:sz w:val="22"/>
          <w:szCs w:val="22"/>
          <w:shd w:val="clear" w:color="auto" w:fill="FFFFFF"/>
          <w:lang w:eastAsia="zh-CN"/>
        </w:rPr>
        <w:t>所中国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hint="eastAsia"/>
          <w:color w:val="000000"/>
          <w:sz w:val="22"/>
          <w:szCs w:val="22"/>
          <w:shd w:val="clear" w:color="auto" w:fill="FFFFFF"/>
          <w:lang w:eastAsia="zh-CN"/>
        </w:rPr>
        <w:t>高校中，有</w:t>
      </w:r>
      <w:r>
        <w:rPr>
          <w:rFonts w:ascii="Calibri" w:hAnsi="Calibri" w:cs="Calibri" w:hint="eastAsia"/>
          <w:color w:val="000000"/>
          <w:sz w:val="22"/>
          <w:szCs w:val="22"/>
          <w:shd w:val="clear" w:color="auto" w:fill="FFFFFF"/>
          <w:lang w:eastAsia="zh-CN"/>
        </w:rPr>
        <w:t xml:space="preserve"> 26 </w:t>
      </w:r>
      <w:r>
        <w:rPr>
          <w:rFonts w:ascii="Calibri" w:hAnsi="Calibri" w:cs="Calibri" w:hint="eastAsia"/>
          <w:color w:val="000000"/>
          <w:sz w:val="22"/>
          <w:szCs w:val="22"/>
          <w:shd w:val="clear" w:color="auto" w:fill="FFFFFF"/>
          <w:lang w:eastAsia="zh-CN"/>
        </w:rPr>
        <w:t>所排名上升。</w:t>
      </w:r>
    </w:p>
    <w:p w14:paraId="53C63297"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尽管中国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产出了世界级的研究成果</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这体现在其</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每篇论文被引用次数</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指标的平均得分上（该指标得分在中国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所有指标中排名第二）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但没有一所大学跻身前十，且</w:t>
      </w:r>
      <w:r>
        <w:rPr>
          <w:rFonts w:ascii="Calibri" w:hAnsi="Calibri" w:cs="Calibri"/>
          <w:color w:val="000000"/>
          <w:sz w:val="22"/>
          <w:szCs w:val="22"/>
          <w:shd w:val="clear" w:color="auto" w:fill="FFFFFF"/>
          <w:lang w:eastAsia="zh-CN"/>
        </w:rPr>
        <w:t>80%</w:t>
      </w:r>
      <w:r>
        <w:rPr>
          <w:rFonts w:ascii="Calibri" w:hAnsi="Calibri" w:cs="Calibri"/>
          <w:color w:val="000000"/>
          <w:sz w:val="22"/>
          <w:szCs w:val="22"/>
          <w:shd w:val="clear" w:color="auto" w:fill="FFFFFF"/>
          <w:lang w:eastAsia="zh-CN"/>
        </w:rPr>
        <w:t>的中国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大学排名有所下滑，这表明虽然研究质量依然强劲，但在竞争日益激烈的区域格局中，保持领先地位正变得越来越困难。</w:t>
      </w:r>
    </w:p>
    <w:p w14:paraId="758FBBEB" w14:textId="77777777" w:rsidR="00D61BF9" w:rsidRDefault="00000000">
      <w:pPr>
        <w:rPr>
          <w:rFonts w:ascii="Calibri" w:eastAsia="Times New Roman" w:hAnsi="Calibri" w:cs="Calibri"/>
          <w:color w:val="1D1D1B"/>
          <w:kern w:val="0"/>
          <w:sz w:val="22"/>
          <w:szCs w:val="22"/>
          <w:lang w:eastAsia="zh-CN"/>
          <w14:ligatures w14:val="none"/>
        </w:rPr>
      </w:pPr>
      <w:r>
        <w:rPr>
          <w:rFonts w:ascii="Calibri" w:hAnsi="Calibri" w:cs="Calibri"/>
          <w:color w:val="000000"/>
          <w:sz w:val="22"/>
          <w:szCs w:val="22"/>
          <w:shd w:val="clear" w:color="auto" w:fill="FFFFFF"/>
          <w:lang w:eastAsia="zh-CN"/>
        </w:rPr>
        <w:lastRenderedPageBreak/>
        <w:t>与此同时，在</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国际研究网络</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指标中，两所</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跻身前五，数量超过其他任何高等教育体系，</w:t>
      </w:r>
      <w:r>
        <w:rPr>
          <w:rFonts w:ascii="Calibri" w:eastAsia="Times New Roman" w:hAnsi="Calibri" w:cs="Calibri"/>
          <w:color w:val="1D1D1B"/>
          <w:kern w:val="0"/>
          <w:sz w:val="22"/>
          <w:szCs w:val="22"/>
          <w:lang w:eastAsia="zh-CN"/>
          <w14:ligatures w14:val="none"/>
        </w:rPr>
        <w:t>其中中国科学院大学（UCAS）和浙江大学分别位列第三和第四。</w:t>
      </w:r>
    </w:p>
    <w:p w14:paraId="26292A3F" w14:textId="77777777" w:rsidR="00D61BF9" w:rsidRDefault="00000000">
      <w:pPr>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在研究相关指标中面临的最大挑战是“拥有博士学位的教职人员”指标，该指标中没有</w:t>
      </w:r>
      <w:r>
        <w:rPr>
          <w:rFonts w:ascii="Calibri" w:eastAsia="SimSun" w:hAnsi="Calibri" w:cs="Calibri" w:hint="eastAsia"/>
          <w:color w:val="1D1D1B"/>
          <w:kern w:val="0"/>
          <w:sz w:val="22"/>
          <w:szCs w:val="22"/>
          <w:lang w:eastAsia="zh-CN"/>
          <w14:ligatures w14:val="none"/>
        </w:rPr>
        <w:t>中国（内地）高校</w:t>
      </w:r>
      <w:r>
        <w:rPr>
          <w:rFonts w:ascii="Calibri" w:eastAsia="Times New Roman" w:hAnsi="Calibri" w:cs="Calibri"/>
          <w:color w:val="1D1D1B"/>
          <w:kern w:val="0"/>
          <w:sz w:val="22"/>
          <w:szCs w:val="22"/>
          <w:lang w:eastAsia="zh-CN"/>
          <w14:ligatures w14:val="none"/>
        </w:rPr>
        <w:t>跻身前50名，且84%的</w:t>
      </w:r>
      <w:r>
        <w:rPr>
          <w:rFonts w:ascii="Calibri" w:eastAsia="SimSun" w:hAnsi="Calibri" w:cs="Calibri" w:hint="eastAsia"/>
          <w:color w:val="1D1D1B"/>
          <w:kern w:val="0"/>
          <w:sz w:val="22"/>
          <w:szCs w:val="22"/>
          <w:lang w:eastAsia="zh-CN"/>
          <w14:ligatures w14:val="none"/>
        </w:rPr>
        <w:t>中国（内地）高校</w:t>
      </w:r>
      <w:r>
        <w:rPr>
          <w:rFonts w:ascii="Calibri" w:eastAsia="Times New Roman" w:hAnsi="Calibri" w:cs="Calibri"/>
          <w:color w:val="1D1D1B"/>
          <w:kern w:val="0"/>
          <w:sz w:val="22"/>
          <w:szCs w:val="22"/>
          <w:lang w:eastAsia="zh-CN"/>
          <w14:ligatures w14:val="none"/>
        </w:rPr>
        <w:t>排名下滑。该指标反映了拥有博士学位的学术人员所占比例，表明尽管</w:t>
      </w:r>
      <w:hyperlink r:id="rId14" w:history="1">
        <w:r>
          <w:rPr>
            <w:rStyle w:val="Hyperlink"/>
            <w:rFonts w:ascii="Calibri" w:eastAsia="Times New Roman" w:hAnsi="Calibri" w:cs="Calibri"/>
            <w:kern w:val="0"/>
            <w:sz w:val="22"/>
            <w:szCs w:val="22"/>
            <w:lang w:eastAsia="zh-CN"/>
            <w14:ligatures w14:val="none"/>
          </w:rPr>
          <w:t>近期</w:t>
        </w:r>
      </w:hyperlink>
      <w:r>
        <w:rPr>
          <w:rFonts w:ascii="Calibri" w:eastAsia="Times New Roman" w:hAnsi="Calibri" w:cs="Calibri"/>
          <w:color w:val="1D1D1B"/>
          <w:kern w:val="0"/>
          <w:sz w:val="22"/>
          <w:szCs w:val="22"/>
          <w:lang w:eastAsia="zh-CN"/>
          <w14:ligatures w14:val="none"/>
        </w:rPr>
        <w:t>在扩大博士教育方面</w:t>
      </w:r>
      <w:hyperlink r:id="rId15" w:history="1">
        <w:r>
          <w:rPr>
            <w:rStyle w:val="Hyperlink"/>
            <w:rFonts w:ascii="Calibri" w:eastAsia="Times New Roman" w:hAnsi="Calibri" w:cs="Calibri"/>
            <w:kern w:val="0"/>
            <w:sz w:val="22"/>
            <w:szCs w:val="22"/>
            <w:lang w:eastAsia="zh-CN"/>
            <w14:ligatures w14:val="none"/>
          </w:rPr>
          <w:t>做出了努力</w:t>
        </w:r>
      </w:hyperlink>
      <w:r>
        <w:rPr>
          <w:rFonts w:ascii="Calibri" w:eastAsia="Times New Roman" w:hAnsi="Calibri" w:cs="Calibri"/>
          <w:color w:val="1D1D1B"/>
          <w:kern w:val="0"/>
          <w:sz w:val="22"/>
          <w:szCs w:val="22"/>
          <w:lang w:eastAsia="zh-CN"/>
          <w14:ligatures w14:val="none"/>
        </w:rPr>
        <w:t>，但教职人员的资质水平尚未与中国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的科研体系的规模和雄心相匹配。</w:t>
      </w:r>
    </w:p>
    <w:p w14:paraId="144680BD" w14:textId="77777777" w:rsidR="00D61BF9" w:rsidRDefault="00000000">
      <w:pPr>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的科研生态系统正进入一个新的发展阶段。在持续的</w:t>
      </w:r>
      <w:hyperlink r:id="rId16" w:history="1">
        <w:r>
          <w:rPr>
            <w:rStyle w:val="Hyperlink"/>
            <w:rFonts w:ascii="Calibri" w:eastAsia="Times New Roman" w:hAnsi="Calibri" w:cs="Calibri"/>
            <w:kern w:val="0"/>
            <w:sz w:val="22"/>
            <w:szCs w:val="22"/>
            <w:lang w:eastAsia="zh-CN"/>
            <w14:ligatures w14:val="none"/>
          </w:rPr>
          <w:t>研发投入</w:t>
        </w:r>
      </w:hyperlink>
      <w:r>
        <w:rPr>
          <w:rFonts w:ascii="Calibri" w:eastAsia="Times New Roman" w:hAnsi="Calibri" w:cs="Calibri"/>
          <w:color w:val="1D1D1B"/>
          <w:kern w:val="0"/>
          <w:sz w:val="22"/>
          <w:szCs w:val="22"/>
          <w:lang w:eastAsia="zh-CN"/>
          <w14:ligatures w14:val="none"/>
        </w:rPr>
        <w:t>（2025年占GDP的2.8%）以及对科技创新日益重视的支撑下，中国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在科研产出、影响力和国际合作方面继续表现突出。在《自然指数》2026年高质量科研产出“研究领军者”排行榜中，中国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包揽了</w:t>
      </w:r>
      <w:hyperlink r:id="rId17" w:history="1">
        <w:r>
          <w:rPr>
            <w:rStyle w:val="Hyperlink"/>
            <w:rFonts w:ascii="Calibri" w:eastAsia="Times New Roman" w:hAnsi="Calibri" w:cs="Calibri"/>
            <w:kern w:val="0"/>
            <w:sz w:val="22"/>
            <w:szCs w:val="22"/>
            <w:lang w:eastAsia="zh-CN"/>
            <w14:ligatures w14:val="none"/>
          </w:rPr>
          <w:t>前</w:t>
        </w:r>
      </w:hyperlink>
      <w:r>
        <w:rPr>
          <w:rFonts w:ascii="Calibri" w:eastAsia="Times New Roman" w:hAnsi="Calibri" w:cs="Calibri"/>
          <w:color w:val="1D1D1B"/>
          <w:kern w:val="0"/>
          <w:sz w:val="22"/>
          <w:szCs w:val="22"/>
          <w:lang w:eastAsia="zh-CN"/>
          <w14:ligatures w14:val="none"/>
        </w:rPr>
        <w:t>十名</w:t>
      </w:r>
      <w:hyperlink r:id="rId18" w:history="1">
        <w:r>
          <w:rPr>
            <w:rStyle w:val="Hyperlink"/>
            <w:rFonts w:ascii="Calibri" w:eastAsia="Times New Roman" w:hAnsi="Calibri" w:cs="Calibri"/>
            <w:kern w:val="0"/>
            <w:sz w:val="22"/>
            <w:szCs w:val="22"/>
            <w:lang w:eastAsia="zh-CN"/>
            <w14:ligatures w14:val="none"/>
          </w:rPr>
          <w:t>中的</w:t>
        </w:r>
      </w:hyperlink>
      <w:r>
        <w:rPr>
          <w:rFonts w:ascii="Calibri" w:eastAsia="Times New Roman" w:hAnsi="Calibri" w:cs="Calibri"/>
          <w:color w:val="1D1D1B"/>
          <w:kern w:val="0"/>
          <w:sz w:val="22"/>
          <w:szCs w:val="22"/>
          <w:lang w:eastAsia="zh-CN"/>
          <w14:ligatures w14:val="none"/>
        </w:rPr>
        <w:t>九席。</w:t>
      </w:r>
    </w:p>
    <w:p w14:paraId="6FC5A1EF" w14:textId="77777777" w:rsidR="00D61BF9" w:rsidRDefault="00000000">
      <w:pPr>
        <w:rPr>
          <w:rFonts w:ascii="Calibri" w:eastAsia="Times New Roman" w:hAnsi="Calibri" w:cs="Calibri"/>
          <w:color w:val="1D1D1B"/>
          <w:kern w:val="0"/>
          <w:sz w:val="22"/>
          <w:szCs w:val="22"/>
          <w:lang w:eastAsia="zh-CN"/>
          <w14:ligatures w14:val="none"/>
        </w:rPr>
      </w:pPr>
      <w:r>
        <w:rPr>
          <w:rFonts w:ascii="Calibri" w:eastAsia="Times New Roman" w:hAnsi="Calibri" w:cs="Calibri"/>
          <w:color w:val="1D1D1B"/>
          <w:kern w:val="0"/>
          <w:sz w:val="22"/>
          <w:szCs w:val="22"/>
          <w:lang w:eastAsia="zh-CN"/>
          <w14:ligatures w14:val="none"/>
        </w:rPr>
        <w:t>然而，引文表现和博士培养能力指标的下滑，凸显了在亚洲竞争日益加剧的背景下维持领先地位所面临的挑战。政策制定者已将扩大科学、工程、农业和医学领域的博士教育、</w:t>
      </w:r>
      <w:hyperlink r:id="rId19" w:history="1">
        <w:r>
          <w:rPr>
            <w:rStyle w:val="Hyperlink"/>
            <w:rFonts w:ascii="Calibri" w:eastAsia="Times New Roman" w:hAnsi="Calibri" w:cs="Calibri"/>
            <w:kern w:val="0"/>
            <w:sz w:val="22"/>
            <w:szCs w:val="22"/>
            <w:lang w:eastAsia="zh-CN"/>
            <w14:ligatures w14:val="none"/>
          </w:rPr>
          <w:t>加强研究型大学</w:t>
        </w:r>
      </w:hyperlink>
      <w:r>
        <w:rPr>
          <w:rFonts w:ascii="Calibri" w:eastAsia="Times New Roman" w:hAnsi="Calibri" w:cs="Calibri"/>
          <w:color w:val="1D1D1B"/>
          <w:kern w:val="0"/>
          <w:sz w:val="22"/>
          <w:szCs w:val="22"/>
          <w:lang w:eastAsia="zh-CN"/>
          <w14:ligatures w14:val="none"/>
        </w:rPr>
        <w:t>建设以及</w:t>
      </w:r>
      <w:hyperlink r:id="rId20" w:history="1">
        <w:r>
          <w:rPr>
            <w:rStyle w:val="Hyperlink"/>
            <w:rFonts w:ascii="Calibri" w:eastAsia="Times New Roman" w:hAnsi="Calibri" w:cs="Calibri"/>
            <w:kern w:val="0"/>
            <w:sz w:val="22"/>
            <w:szCs w:val="22"/>
            <w:lang w:eastAsia="zh-CN"/>
            <w14:ligatures w14:val="none"/>
          </w:rPr>
          <w:t>使教育</w:t>
        </w:r>
      </w:hyperlink>
      <w:r>
        <w:rPr>
          <w:rFonts w:ascii="Calibri" w:eastAsia="Times New Roman" w:hAnsi="Calibri" w:cs="Calibri"/>
          <w:color w:val="1D1D1B"/>
          <w:kern w:val="0"/>
          <w:sz w:val="22"/>
          <w:szCs w:val="22"/>
          <w:lang w:eastAsia="zh-CN"/>
          <w14:ligatures w14:val="none"/>
        </w:rPr>
        <w:t>与国家经济和社会需求相</w:t>
      </w:r>
      <w:hyperlink r:id="rId21" w:history="1">
        <w:r>
          <w:rPr>
            <w:rStyle w:val="Hyperlink"/>
            <w:rFonts w:ascii="Calibri" w:eastAsia="Times New Roman" w:hAnsi="Calibri" w:cs="Calibri"/>
            <w:kern w:val="0"/>
            <w:sz w:val="22"/>
            <w:szCs w:val="22"/>
            <w:lang w:eastAsia="zh-CN"/>
            <w14:ligatures w14:val="none"/>
          </w:rPr>
          <w:t>适应</w:t>
        </w:r>
      </w:hyperlink>
      <w:r>
        <w:rPr>
          <w:rFonts w:ascii="Calibri" w:eastAsia="Times New Roman" w:hAnsi="Calibri" w:cs="Calibri"/>
          <w:color w:val="1D1D1B"/>
          <w:kern w:val="0"/>
          <w:sz w:val="22"/>
          <w:szCs w:val="22"/>
          <w:lang w:eastAsia="zh-CN"/>
          <w14:ligatures w14:val="none"/>
        </w:rPr>
        <w:t>作为优先事项，这表明中国</w:t>
      </w:r>
      <w:r>
        <w:rPr>
          <w:rFonts w:ascii="Calibri" w:eastAsia="SimSun" w:hAnsi="Calibri" w:cs="Calibri" w:hint="eastAsia"/>
          <w:color w:val="1D1D1B"/>
          <w:kern w:val="0"/>
          <w:sz w:val="22"/>
          <w:szCs w:val="22"/>
          <w:lang w:eastAsia="zh-CN"/>
          <w14:ligatures w14:val="none"/>
        </w:rPr>
        <w:t>（</w:t>
      </w:r>
      <w:r>
        <w:rPr>
          <w:rFonts w:ascii="Calibri" w:eastAsia="SimSun" w:hAnsi="Calibri" w:cs="Calibri" w:hint="eastAsia"/>
          <w:color w:val="1D1D1B"/>
          <w:kern w:val="0"/>
          <w:sz w:val="22"/>
          <w:szCs w:val="22"/>
          <w:lang w:val="en-US" w:eastAsia="zh-CN"/>
          <w14:ligatures w14:val="none"/>
        </w:rPr>
        <w:t>内地）</w:t>
      </w:r>
      <w:r>
        <w:rPr>
          <w:rFonts w:ascii="Calibri" w:eastAsia="Times New Roman" w:hAnsi="Calibri" w:cs="Calibri"/>
          <w:color w:val="1D1D1B"/>
          <w:kern w:val="0"/>
          <w:sz w:val="22"/>
          <w:szCs w:val="22"/>
          <w:lang w:eastAsia="zh-CN"/>
          <w14:ligatures w14:val="none"/>
        </w:rPr>
        <w:t>正转向建设维持科研质量和全球影响力所需的博士培养及科研能力。</w:t>
      </w:r>
    </w:p>
    <w:p w14:paraId="0BE22E69" w14:textId="77777777" w:rsidR="00D61BF9" w:rsidRDefault="00000000">
      <w:pPr>
        <w:rPr>
          <w:rFonts w:ascii="Calibri" w:hAnsi="Calibri" w:cs="Calibri"/>
          <w:b/>
          <w:bCs/>
          <w:color w:val="000000"/>
          <w:sz w:val="22"/>
          <w:szCs w:val="22"/>
          <w:shd w:val="clear" w:color="auto" w:fill="FFFFFF"/>
          <w:lang w:eastAsia="zh-CN"/>
        </w:rPr>
      </w:pPr>
      <w:r>
        <w:rPr>
          <w:rFonts w:ascii="Calibri" w:hAnsi="Calibri" w:cs="Calibri"/>
          <w:b/>
          <w:bCs/>
          <w:color w:val="000000"/>
          <w:sz w:val="22"/>
          <w:szCs w:val="22"/>
          <w:shd w:val="clear" w:color="auto" w:fill="FFFFFF"/>
          <w:lang w:eastAsia="zh-CN"/>
        </w:rPr>
        <w:t>教学能力支撑长期竞争力</w:t>
      </w:r>
    </w:p>
    <w:p w14:paraId="7F1B2ADD"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QS</w:t>
      </w:r>
      <w:r>
        <w:rPr>
          <w:rFonts w:ascii="Calibri" w:hAnsi="Calibri" w:cs="Calibri"/>
          <w:color w:val="000000"/>
          <w:sz w:val="22"/>
          <w:szCs w:val="22"/>
          <w:shd w:val="clear" w:color="auto" w:fill="FFFFFF"/>
          <w:lang w:eastAsia="zh-CN"/>
        </w:rPr>
        <w:t>衡量班级规模和教学资源的指标</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师生比</w:t>
      </w:r>
      <w:r>
        <w:rPr>
          <w:rFonts w:ascii="Calibri" w:eastAsia="SimSun" w:hAnsi="Calibri" w:cs="Calibri" w:hint="eastAsia"/>
          <w:color w:val="000000"/>
          <w:sz w:val="22"/>
          <w:szCs w:val="22"/>
          <w:shd w:val="clear" w:color="auto" w:fill="FFFFFF"/>
          <w:lang w:eastAsia="zh-CN"/>
        </w:rPr>
        <w:t>，</w:t>
      </w:r>
      <w:r>
        <w:rPr>
          <w:rFonts w:ascii="Calibri" w:hAnsi="Calibri" w:cs="Calibri"/>
          <w:color w:val="000000"/>
          <w:sz w:val="22"/>
          <w:szCs w:val="22"/>
          <w:shd w:val="clear" w:color="auto" w:fill="FFFFFF"/>
          <w:lang w:eastAsia="zh-CN"/>
        </w:rPr>
        <w:t>是</w:t>
      </w:r>
      <w:r>
        <w:rPr>
          <w:rFonts w:ascii="Calibri" w:eastAsia="SimSun" w:hAnsi="Calibri" w:cs="Calibri" w:hint="eastAsia"/>
          <w:color w:val="000000"/>
          <w:sz w:val="22"/>
          <w:szCs w:val="22"/>
          <w:shd w:val="clear" w:color="auto" w:fill="FFFFFF"/>
          <w:lang w:val="en-US" w:eastAsia="zh-CN"/>
        </w:rPr>
        <w:t>中国（内地）的</w:t>
      </w:r>
      <w:r>
        <w:rPr>
          <w:rFonts w:ascii="Calibri" w:hAnsi="Calibri" w:cs="Calibri"/>
          <w:color w:val="000000"/>
          <w:sz w:val="22"/>
          <w:szCs w:val="22"/>
          <w:shd w:val="clear" w:color="auto" w:fill="FFFFFF"/>
          <w:lang w:eastAsia="zh-CN"/>
        </w:rPr>
        <w:t>另一项优势。有四所</w:t>
      </w:r>
      <w:r>
        <w:rPr>
          <w:rFonts w:ascii="Calibri" w:eastAsia="SimSun" w:hAnsi="Calibri" w:cs="Calibri" w:hint="eastAsia"/>
          <w:color w:val="000000"/>
          <w:sz w:val="22"/>
          <w:szCs w:val="22"/>
          <w:shd w:val="clear" w:color="auto" w:fill="FFFFFF"/>
          <w:lang w:val="en-US" w:eastAsia="zh-CN"/>
        </w:rPr>
        <w:t>中国（内地）</w:t>
      </w:r>
      <w:r>
        <w:rPr>
          <w:rFonts w:ascii="Calibri" w:hAnsi="Calibri" w:cs="Calibri"/>
          <w:color w:val="000000"/>
          <w:sz w:val="22"/>
          <w:szCs w:val="22"/>
          <w:shd w:val="clear" w:color="auto" w:fill="FFFFFF"/>
          <w:lang w:eastAsia="zh-CN"/>
        </w:rPr>
        <w:t>大学在该指标中跻身前十，数量超过任何其他高等教育体系。其中包括两所跻身前五的高校：上海中医药大学和宁夏医科大学，分别位列第一和第四。</w:t>
      </w:r>
    </w:p>
    <w:p w14:paraId="50484D61"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这一表现表明，中国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在规模庞大且多元化的大学体系中，成功地将规模与对教学能力的投入相结合。尽管国际社会的关注点大多集中于中国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的科研成就，但领先高校仍保持着相对较优的师生比，这反映出中国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对高等教育基础设施和学术人员队伍的持续投</w:t>
      </w:r>
      <w:r>
        <w:rPr>
          <w:rFonts w:ascii="Calibri" w:hAnsi="Calibri" w:cs="Calibri"/>
          <w:color w:val="000000"/>
          <w:sz w:val="22"/>
          <w:szCs w:val="22"/>
          <w:shd w:val="clear" w:color="auto" w:fill="FFFFFF"/>
          <w:lang w:eastAsia="zh-CN"/>
        </w:rPr>
        <w:lastRenderedPageBreak/>
        <w:t>入。</w:t>
      </w:r>
      <w:r>
        <w:rPr>
          <w:rFonts w:ascii="Calibri" w:hAnsi="Calibri" w:cs="Calibri"/>
          <w:color w:val="000000"/>
          <w:sz w:val="22"/>
          <w:szCs w:val="22"/>
          <w:shd w:val="clear" w:color="auto" w:fill="FFFFFF"/>
          <w:lang w:eastAsia="zh-CN"/>
        </w:rPr>
        <w:t xml:space="preserve"> </w:t>
      </w:r>
      <w:r>
        <w:rPr>
          <w:rFonts w:ascii="Calibri" w:hAnsi="Calibri" w:cs="Calibri"/>
          <w:color w:val="000000"/>
          <w:sz w:val="22"/>
          <w:szCs w:val="22"/>
          <w:shd w:val="clear" w:color="auto" w:fill="FFFFFF"/>
          <w:lang w:eastAsia="zh-CN"/>
        </w:rPr>
        <w:t>该指标的优异表现或许也能解释中国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内地）高校</w:t>
      </w:r>
      <w:r>
        <w:rPr>
          <w:rFonts w:ascii="Calibri" w:hAnsi="Calibri" w:cs="Calibri"/>
          <w:color w:val="000000"/>
          <w:sz w:val="22"/>
          <w:szCs w:val="22"/>
          <w:shd w:val="clear" w:color="auto" w:fill="FFFFFF"/>
          <w:lang w:eastAsia="zh-CN"/>
        </w:rPr>
        <w:t>在声誉和科研指标方面展现出的韧性，因为较小的班级规模和更便捷的学术人员接触渠道，既能提升学生学习成果，也有助于培养未来的科研人才。</w:t>
      </w:r>
    </w:p>
    <w:p w14:paraId="00CD6E10" w14:textId="77777777" w:rsidR="00D61BF9" w:rsidRDefault="00000000">
      <w:pPr>
        <w:rPr>
          <w:rFonts w:ascii="Calibri" w:hAnsi="Calibri" w:cs="Calibri"/>
          <w:b/>
          <w:bCs/>
          <w:color w:val="000000"/>
          <w:sz w:val="22"/>
          <w:szCs w:val="22"/>
          <w:shd w:val="clear" w:color="auto" w:fill="FFFFFF"/>
          <w:lang w:eastAsia="zh-CN"/>
        </w:rPr>
      </w:pPr>
      <w:r>
        <w:rPr>
          <w:rFonts w:ascii="Calibri" w:eastAsia="SimSun" w:hAnsi="Calibri" w:cs="Calibri" w:hint="eastAsia"/>
          <w:b/>
          <w:bCs/>
          <w:color w:val="000000"/>
          <w:sz w:val="22"/>
          <w:szCs w:val="22"/>
          <w:shd w:val="clear" w:color="auto" w:fill="FFFFFF"/>
          <w:lang w:eastAsia="zh-CN"/>
        </w:rPr>
        <w:t>中国（内地）高校</w:t>
      </w:r>
      <w:r>
        <w:rPr>
          <w:rFonts w:ascii="Calibri" w:hAnsi="Calibri" w:cs="Calibri"/>
          <w:b/>
          <w:bCs/>
          <w:color w:val="000000"/>
          <w:sz w:val="22"/>
          <w:szCs w:val="22"/>
          <w:shd w:val="clear" w:color="auto" w:fill="FFFFFF"/>
          <w:lang w:eastAsia="zh-CN"/>
        </w:rPr>
        <w:t>仍位居亚洲最受推崇之列</w:t>
      </w:r>
    </w:p>
    <w:p w14:paraId="64041DE6"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正是这种对教学、研究和机构能力的投入，推动了</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享有卓越的声誉，使其稳居该地区最受推崇的行列。中国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有三所大学</w:t>
      </w:r>
      <w:r>
        <w:rPr>
          <w:rFonts w:ascii="Calibri" w:eastAsia="SimSun" w:hAnsi="Calibri" w:cs="Calibri" w:hint="eastAsia"/>
          <w:color w:val="000000"/>
          <w:sz w:val="22"/>
          <w:szCs w:val="22"/>
          <w:shd w:val="clear" w:color="auto" w:fill="FFFFFF"/>
          <w:lang w:val="en-US" w:eastAsia="zh-CN"/>
        </w:rPr>
        <w:t>此次</w:t>
      </w:r>
      <w:r>
        <w:rPr>
          <w:rFonts w:ascii="Calibri" w:hAnsi="Calibri" w:cs="Calibri"/>
          <w:color w:val="000000"/>
          <w:sz w:val="22"/>
          <w:szCs w:val="22"/>
          <w:shd w:val="clear" w:color="auto" w:fill="FFFFFF"/>
          <w:lang w:eastAsia="zh-CN"/>
        </w:rPr>
        <w:t>同时跻身</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雇主声誉</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学术声誉</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排行榜前十，这些高校堪称亚洲最负盛名的学府。此外，中国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大多数高校在这些指标上的排名也均有所提升。</w:t>
      </w:r>
    </w:p>
    <w:tbl>
      <w:tblPr>
        <w:tblW w:w="0" w:type="auto"/>
        <w:jc w:val="center"/>
        <w:tblLook w:val="04A0" w:firstRow="1" w:lastRow="0" w:firstColumn="1" w:lastColumn="0" w:noHBand="0" w:noVBand="1"/>
      </w:tblPr>
      <w:tblGrid>
        <w:gridCol w:w="856"/>
        <w:gridCol w:w="856"/>
        <w:gridCol w:w="538"/>
        <w:gridCol w:w="538"/>
        <w:gridCol w:w="536"/>
        <w:gridCol w:w="538"/>
        <w:gridCol w:w="538"/>
        <w:gridCol w:w="536"/>
      </w:tblGrid>
      <w:tr w:rsidR="00D61BF9" w14:paraId="3626E41F" w14:textId="77777777">
        <w:trPr>
          <w:trHeight w:val="300"/>
          <w:jc w:val="center"/>
        </w:trPr>
        <w:tc>
          <w:tcPr>
            <w:tcW w:w="0" w:type="auto"/>
            <w:gridSpan w:val="8"/>
            <w:tcBorders>
              <w:top w:val="single" w:sz="4" w:space="0" w:color="auto"/>
              <w:left w:val="single" w:sz="4" w:space="0" w:color="auto"/>
              <w:bottom w:val="single" w:sz="4" w:space="0" w:color="auto"/>
              <w:right w:val="single" w:sz="4" w:space="0" w:color="auto"/>
            </w:tcBorders>
            <w:noWrap/>
            <w:vAlign w:val="bottom"/>
          </w:tcPr>
          <w:p w14:paraId="0CFBE257" w14:textId="77777777" w:rsidR="00D61BF9" w:rsidRDefault="00000000">
            <w:pPr>
              <w:spacing w:after="0" w:line="240" w:lineRule="auto"/>
              <w:jc w:val="center"/>
              <w:rPr>
                <w:rFonts w:ascii="Calibri" w:eastAsia="SimSun" w:hAnsi="Calibri" w:cs="Calibri"/>
                <w:b/>
                <w:bCs/>
                <w:color w:val="1D1D1B"/>
                <w:kern w:val="0"/>
                <w:sz w:val="20"/>
                <w:szCs w:val="20"/>
                <w:lang w:eastAsia="zh-CN"/>
                <w14:ligatures w14:val="none"/>
              </w:rPr>
            </w:pPr>
            <w:r>
              <w:rPr>
                <w:rFonts w:ascii="Calibri" w:eastAsia="Times New Roman" w:hAnsi="Calibri" w:cs="Calibri"/>
                <w:b/>
                <w:bCs/>
                <w:color w:val="1D1D1B"/>
                <w:kern w:val="0"/>
                <w:sz w:val="20"/>
                <w:szCs w:val="20"/>
                <w:lang w:eastAsia="zh-CN"/>
                <w14:ligatures w14:val="none"/>
              </w:rPr>
              <w:t>表5：在声誉指标中跻身前十的</w:t>
            </w:r>
            <w:r>
              <w:rPr>
                <w:rFonts w:ascii="Calibri" w:eastAsia="SimSun" w:hAnsi="Calibri" w:cs="Calibri" w:hint="eastAsia"/>
                <w:b/>
                <w:bCs/>
                <w:color w:val="1D1D1B"/>
                <w:kern w:val="0"/>
                <w:sz w:val="20"/>
                <w:szCs w:val="20"/>
                <w:lang w:eastAsia="zh-CN"/>
                <w14:ligatures w14:val="none"/>
              </w:rPr>
              <w:t>中国（内地）高校</w:t>
            </w:r>
          </w:p>
        </w:tc>
      </w:tr>
      <w:tr w:rsidR="00D61BF9" w14:paraId="400BF92B" w14:textId="77777777">
        <w:trPr>
          <w:trHeight w:val="300"/>
          <w:jc w:val="center"/>
        </w:trPr>
        <w:tc>
          <w:tcPr>
            <w:tcW w:w="0" w:type="auto"/>
            <w:vMerge w:val="restart"/>
            <w:tcBorders>
              <w:top w:val="nil"/>
              <w:left w:val="single" w:sz="4" w:space="0" w:color="auto"/>
              <w:bottom w:val="single" w:sz="4" w:space="0" w:color="auto"/>
              <w:right w:val="single" w:sz="4" w:space="0" w:color="auto"/>
            </w:tcBorders>
            <w:vAlign w:val="center"/>
          </w:tcPr>
          <w:p w14:paraId="0D0A3BCD"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院校</w:t>
            </w:r>
          </w:p>
        </w:tc>
        <w:tc>
          <w:tcPr>
            <w:tcW w:w="0" w:type="auto"/>
            <w:vMerge w:val="restart"/>
            <w:tcBorders>
              <w:top w:val="nil"/>
              <w:left w:val="single" w:sz="4" w:space="0" w:color="auto"/>
              <w:bottom w:val="single" w:sz="4" w:space="0" w:color="auto"/>
              <w:right w:val="single" w:sz="4" w:space="0" w:color="auto"/>
            </w:tcBorders>
            <w:vAlign w:val="center"/>
          </w:tcPr>
          <w:p w14:paraId="5CA4E656"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综合排名</w:t>
            </w:r>
          </w:p>
        </w:tc>
        <w:tc>
          <w:tcPr>
            <w:tcW w:w="0" w:type="auto"/>
            <w:gridSpan w:val="3"/>
            <w:tcBorders>
              <w:top w:val="single" w:sz="4" w:space="0" w:color="auto"/>
              <w:left w:val="nil"/>
              <w:bottom w:val="single" w:sz="4" w:space="0" w:color="auto"/>
              <w:right w:val="single" w:sz="4" w:space="0" w:color="auto"/>
            </w:tcBorders>
            <w:shd w:val="clear" w:color="auto" w:fill="F2F2F2" w:themeFill="background1" w:themeFillShade="F2"/>
            <w:noWrap/>
            <w:vAlign w:val="bottom"/>
          </w:tcPr>
          <w:p w14:paraId="3D255A4B"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学术声誉</w:t>
            </w:r>
          </w:p>
        </w:tc>
        <w:tc>
          <w:tcPr>
            <w:tcW w:w="0" w:type="auto"/>
            <w:gridSpan w:val="3"/>
            <w:tcBorders>
              <w:top w:val="single" w:sz="4" w:space="0" w:color="auto"/>
              <w:left w:val="nil"/>
              <w:bottom w:val="single" w:sz="4" w:space="0" w:color="auto"/>
              <w:right w:val="single" w:sz="4" w:space="0" w:color="auto"/>
            </w:tcBorders>
            <w:noWrap/>
            <w:vAlign w:val="bottom"/>
          </w:tcPr>
          <w:p w14:paraId="5D05BC0C"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雇主声誉</w:t>
            </w:r>
          </w:p>
        </w:tc>
      </w:tr>
      <w:tr w:rsidR="00D61BF9" w14:paraId="7C0C27CA" w14:textId="77777777">
        <w:trPr>
          <w:trHeight w:val="300"/>
          <w:jc w:val="center"/>
        </w:trPr>
        <w:tc>
          <w:tcPr>
            <w:tcW w:w="0" w:type="auto"/>
            <w:vMerge/>
            <w:tcBorders>
              <w:top w:val="nil"/>
              <w:left w:val="single" w:sz="4" w:space="0" w:color="auto"/>
              <w:bottom w:val="single" w:sz="4" w:space="0" w:color="auto"/>
              <w:right w:val="single" w:sz="4" w:space="0" w:color="auto"/>
            </w:tcBorders>
            <w:vAlign w:val="center"/>
          </w:tcPr>
          <w:p w14:paraId="2662B42C" w14:textId="77777777" w:rsidR="00D61BF9" w:rsidRDefault="00D61BF9">
            <w:pPr>
              <w:spacing w:after="0" w:line="240" w:lineRule="auto"/>
              <w:rPr>
                <w:rFonts w:ascii="Calibri" w:eastAsia="Times New Roman" w:hAnsi="Calibri" w:cs="Calibri"/>
                <w:b/>
                <w:bCs/>
                <w:color w:val="1D1D1B"/>
                <w:kern w:val="0"/>
                <w:sz w:val="16"/>
                <w:szCs w:val="16"/>
                <w:lang w:eastAsia="en-GB"/>
                <w14:ligatures w14:val="none"/>
              </w:rPr>
            </w:pPr>
          </w:p>
        </w:tc>
        <w:tc>
          <w:tcPr>
            <w:tcW w:w="0" w:type="auto"/>
            <w:vMerge/>
            <w:tcBorders>
              <w:top w:val="nil"/>
              <w:left w:val="single" w:sz="4" w:space="0" w:color="auto"/>
              <w:bottom w:val="single" w:sz="4" w:space="0" w:color="auto"/>
              <w:right w:val="single" w:sz="4" w:space="0" w:color="auto"/>
            </w:tcBorders>
            <w:vAlign w:val="center"/>
          </w:tcPr>
          <w:p w14:paraId="33A6D5C0" w14:textId="77777777" w:rsidR="00D61BF9" w:rsidRDefault="00D61BF9">
            <w:pPr>
              <w:spacing w:after="0" w:line="240" w:lineRule="auto"/>
              <w:rPr>
                <w:rFonts w:ascii="Calibri" w:eastAsia="Times New Roman" w:hAnsi="Calibri" w:cs="Calibri"/>
                <w:b/>
                <w:bCs/>
                <w:color w:val="1D1D1B"/>
                <w:kern w:val="0"/>
                <w:sz w:val="16"/>
                <w:szCs w:val="16"/>
                <w:lang w:eastAsia="en-GB"/>
                <w14:ligatures w14:val="none"/>
              </w:rPr>
            </w:pP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2262F175"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分数</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48D5CCA7"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排名</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4D18F085"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变化</w:t>
            </w:r>
          </w:p>
        </w:tc>
        <w:tc>
          <w:tcPr>
            <w:tcW w:w="0" w:type="auto"/>
            <w:tcBorders>
              <w:top w:val="nil"/>
              <w:left w:val="nil"/>
              <w:bottom w:val="single" w:sz="4" w:space="0" w:color="auto"/>
              <w:right w:val="single" w:sz="4" w:space="0" w:color="auto"/>
            </w:tcBorders>
            <w:vAlign w:val="center"/>
          </w:tcPr>
          <w:p w14:paraId="50CFED97"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分数</w:t>
            </w:r>
          </w:p>
        </w:tc>
        <w:tc>
          <w:tcPr>
            <w:tcW w:w="0" w:type="auto"/>
            <w:tcBorders>
              <w:top w:val="nil"/>
              <w:left w:val="nil"/>
              <w:bottom w:val="single" w:sz="4" w:space="0" w:color="auto"/>
              <w:right w:val="single" w:sz="4" w:space="0" w:color="auto"/>
            </w:tcBorders>
            <w:vAlign w:val="center"/>
          </w:tcPr>
          <w:p w14:paraId="53DA9A70"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排名</w:t>
            </w:r>
          </w:p>
        </w:tc>
        <w:tc>
          <w:tcPr>
            <w:tcW w:w="0" w:type="auto"/>
            <w:tcBorders>
              <w:top w:val="nil"/>
              <w:left w:val="nil"/>
              <w:bottom w:val="single" w:sz="4" w:space="0" w:color="auto"/>
              <w:right w:val="single" w:sz="4" w:space="0" w:color="auto"/>
            </w:tcBorders>
            <w:vAlign w:val="center"/>
          </w:tcPr>
          <w:p w14:paraId="046399B3" w14:textId="77777777" w:rsidR="00D61BF9" w:rsidRDefault="00000000">
            <w:pPr>
              <w:spacing w:after="0" w:line="240" w:lineRule="auto"/>
              <w:jc w:val="center"/>
              <w:rPr>
                <w:rFonts w:ascii="Calibri" w:eastAsia="Times New Roman" w:hAnsi="Calibri" w:cs="Calibri"/>
                <w:b/>
                <w:bCs/>
                <w:color w:val="1D1D1B"/>
                <w:kern w:val="0"/>
                <w:sz w:val="16"/>
                <w:szCs w:val="16"/>
                <w:lang w:eastAsia="en-GB"/>
                <w14:ligatures w14:val="none"/>
              </w:rPr>
            </w:pPr>
            <w:r>
              <w:rPr>
                <w:rFonts w:ascii="Calibri" w:eastAsia="Times New Roman" w:hAnsi="Calibri" w:cs="Calibri"/>
                <w:b/>
                <w:bCs/>
                <w:color w:val="1D1D1B"/>
                <w:kern w:val="0"/>
                <w:sz w:val="16"/>
                <w:szCs w:val="16"/>
                <w:lang w:eastAsia="en-GB"/>
                <w14:ligatures w14:val="none"/>
              </w:rPr>
              <w:t>变化</w:t>
            </w:r>
          </w:p>
        </w:tc>
      </w:tr>
      <w:tr w:rsidR="00D61BF9" w14:paraId="02AA72A3" w14:textId="77777777">
        <w:trPr>
          <w:trHeight w:val="300"/>
          <w:jc w:val="center"/>
        </w:trPr>
        <w:tc>
          <w:tcPr>
            <w:tcW w:w="0" w:type="auto"/>
            <w:tcBorders>
              <w:top w:val="nil"/>
              <w:left w:val="single" w:sz="4" w:space="0" w:color="auto"/>
              <w:bottom w:val="single" w:sz="4" w:space="0" w:color="auto"/>
              <w:right w:val="single" w:sz="4" w:space="0" w:color="auto"/>
            </w:tcBorders>
            <w:vAlign w:val="center"/>
          </w:tcPr>
          <w:p w14:paraId="795F6053" w14:textId="77777777" w:rsidR="00D61BF9" w:rsidRDefault="00000000">
            <w:pPr>
              <w:spacing w:after="0" w:line="240" w:lineRule="auto"/>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清华大学</w:t>
            </w:r>
          </w:p>
        </w:tc>
        <w:tc>
          <w:tcPr>
            <w:tcW w:w="0" w:type="auto"/>
            <w:tcBorders>
              <w:top w:val="nil"/>
              <w:left w:val="nil"/>
              <w:bottom w:val="single" w:sz="4" w:space="0" w:color="auto"/>
              <w:right w:val="single" w:sz="4" w:space="0" w:color="auto"/>
            </w:tcBorders>
            <w:vAlign w:val="center"/>
          </w:tcPr>
          <w:p w14:paraId="5AFF3860"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3</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0C22AE31"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2981562F"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4</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61D40E62"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0</w:t>
            </w:r>
          </w:p>
        </w:tc>
        <w:tc>
          <w:tcPr>
            <w:tcW w:w="0" w:type="auto"/>
            <w:tcBorders>
              <w:top w:val="nil"/>
              <w:left w:val="nil"/>
              <w:bottom w:val="single" w:sz="4" w:space="0" w:color="auto"/>
              <w:right w:val="single" w:sz="4" w:space="0" w:color="auto"/>
            </w:tcBorders>
            <w:vAlign w:val="center"/>
          </w:tcPr>
          <w:p w14:paraId="1F38A01E"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vAlign w:val="center"/>
          </w:tcPr>
          <w:p w14:paraId="5A63628F"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2</w:t>
            </w:r>
          </w:p>
        </w:tc>
        <w:tc>
          <w:tcPr>
            <w:tcW w:w="0" w:type="auto"/>
            <w:tcBorders>
              <w:top w:val="nil"/>
              <w:left w:val="nil"/>
              <w:bottom w:val="single" w:sz="4" w:space="0" w:color="auto"/>
              <w:right w:val="single" w:sz="4" w:space="0" w:color="auto"/>
            </w:tcBorders>
            <w:vAlign w:val="center"/>
          </w:tcPr>
          <w:p w14:paraId="31C8E29D"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0</w:t>
            </w:r>
          </w:p>
        </w:tc>
      </w:tr>
      <w:tr w:rsidR="00D61BF9" w14:paraId="04690174" w14:textId="77777777">
        <w:trPr>
          <w:trHeight w:val="300"/>
          <w:jc w:val="center"/>
        </w:trPr>
        <w:tc>
          <w:tcPr>
            <w:tcW w:w="0" w:type="auto"/>
            <w:tcBorders>
              <w:top w:val="nil"/>
              <w:left w:val="single" w:sz="4" w:space="0" w:color="auto"/>
              <w:bottom w:val="single" w:sz="4" w:space="0" w:color="auto"/>
              <w:right w:val="single" w:sz="4" w:space="0" w:color="auto"/>
            </w:tcBorders>
            <w:vAlign w:val="center"/>
          </w:tcPr>
          <w:p w14:paraId="5FFC8345" w14:textId="77777777" w:rsidR="00D61BF9" w:rsidRDefault="00000000">
            <w:pPr>
              <w:spacing w:after="0" w:line="240" w:lineRule="auto"/>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北京大学</w:t>
            </w:r>
          </w:p>
        </w:tc>
        <w:tc>
          <w:tcPr>
            <w:tcW w:w="0" w:type="auto"/>
            <w:tcBorders>
              <w:top w:val="nil"/>
              <w:left w:val="nil"/>
              <w:bottom w:val="single" w:sz="4" w:space="0" w:color="auto"/>
              <w:right w:val="single" w:sz="4" w:space="0" w:color="auto"/>
            </w:tcBorders>
            <w:vAlign w:val="center"/>
          </w:tcPr>
          <w:p w14:paraId="7544E6C6"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2</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6F5642AC"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5B48AD5B"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3</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0E2F530E"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C00000"/>
                <w:kern w:val="0"/>
                <w:sz w:val="16"/>
                <w:szCs w:val="16"/>
                <w:lang w:eastAsia="en-GB"/>
                <w14:ligatures w14:val="none"/>
              </w:rPr>
              <w:t>-1</w:t>
            </w:r>
          </w:p>
        </w:tc>
        <w:tc>
          <w:tcPr>
            <w:tcW w:w="0" w:type="auto"/>
            <w:tcBorders>
              <w:top w:val="nil"/>
              <w:left w:val="nil"/>
              <w:bottom w:val="single" w:sz="4" w:space="0" w:color="auto"/>
              <w:right w:val="single" w:sz="4" w:space="0" w:color="auto"/>
            </w:tcBorders>
            <w:vAlign w:val="center"/>
          </w:tcPr>
          <w:p w14:paraId="4891EF24"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vAlign w:val="center"/>
          </w:tcPr>
          <w:p w14:paraId="2190149E"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3</w:t>
            </w:r>
          </w:p>
        </w:tc>
        <w:tc>
          <w:tcPr>
            <w:tcW w:w="0" w:type="auto"/>
            <w:tcBorders>
              <w:top w:val="nil"/>
              <w:left w:val="nil"/>
              <w:bottom w:val="single" w:sz="4" w:space="0" w:color="auto"/>
              <w:right w:val="single" w:sz="4" w:space="0" w:color="auto"/>
            </w:tcBorders>
            <w:vAlign w:val="center"/>
          </w:tcPr>
          <w:p w14:paraId="2F73B163"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0</w:t>
            </w:r>
          </w:p>
        </w:tc>
      </w:tr>
      <w:tr w:rsidR="00D61BF9" w14:paraId="30119ABD" w14:textId="77777777">
        <w:trPr>
          <w:trHeight w:val="300"/>
          <w:jc w:val="center"/>
        </w:trPr>
        <w:tc>
          <w:tcPr>
            <w:tcW w:w="0" w:type="auto"/>
            <w:tcBorders>
              <w:top w:val="nil"/>
              <w:left w:val="single" w:sz="4" w:space="0" w:color="auto"/>
              <w:bottom w:val="single" w:sz="4" w:space="0" w:color="auto"/>
              <w:right w:val="single" w:sz="4" w:space="0" w:color="auto"/>
            </w:tcBorders>
            <w:vAlign w:val="center"/>
          </w:tcPr>
          <w:p w14:paraId="4B69747D" w14:textId="77777777" w:rsidR="00D61BF9" w:rsidRDefault="00000000">
            <w:pPr>
              <w:spacing w:after="0" w:line="240" w:lineRule="auto"/>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复旦大学</w:t>
            </w:r>
          </w:p>
        </w:tc>
        <w:tc>
          <w:tcPr>
            <w:tcW w:w="0" w:type="auto"/>
            <w:tcBorders>
              <w:top w:val="nil"/>
              <w:left w:val="nil"/>
              <w:bottom w:val="single" w:sz="4" w:space="0" w:color="auto"/>
              <w:right w:val="single" w:sz="4" w:space="0" w:color="auto"/>
            </w:tcBorders>
            <w:vAlign w:val="center"/>
          </w:tcPr>
          <w:p w14:paraId="27A6C5D7"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6</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44008832"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6375BDC1"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w:t>
            </w:r>
          </w:p>
        </w:tc>
        <w:tc>
          <w:tcPr>
            <w:tcW w:w="0" w:type="auto"/>
            <w:tcBorders>
              <w:top w:val="nil"/>
              <w:left w:val="nil"/>
              <w:bottom w:val="single" w:sz="4" w:space="0" w:color="auto"/>
              <w:right w:val="single" w:sz="4" w:space="0" w:color="auto"/>
            </w:tcBorders>
            <w:shd w:val="clear" w:color="auto" w:fill="F2F2F2" w:themeFill="background1" w:themeFillShade="F2"/>
            <w:vAlign w:val="center"/>
          </w:tcPr>
          <w:p w14:paraId="36FD7BEA"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00B050"/>
                <w:kern w:val="0"/>
                <w:sz w:val="16"/>
                <w:szCs w:val="16"/>
                <w:lang w:eastAsia="en-GB"/>
                <w14:ligatures w14:val="none"/>
              </w:rPr>
              <w:t>+1</w:t>
            </w:r>
          </w:p>
        </w:tc>
        <w:tc>
          <w:tcPr>
            <w:tcW w:w="0" w:type="auto"/>
            <w:tcBorders>
              <w:top w:val="nil"/>
              <w:left w:val="nil"/>
              <w:bottom w:val="single" w:sz="4" w:space="0" w:color="auto"/>
              <w:right w:val="single" w:sz="4" w:space="0" w:color="auto"/>
            </w:tcBorders>
            <w:vAlign w:val="center"/>
          </w:tcPr>
          <w:p w14:paraId="3587A1F1"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100</w:t>
            </w:r>
          </w:p>
        </w:tc>
        <w:tc>
          <w:tcPr>
            <w:tcW w:w="0" w:type="auto"/>
            <w:tcBorders>
              <w:top w:val="nil"/>
              <w:left w:val="nil"/>
              <w:bottom w:val="single" w:sz="4" w:space="0" w:color="auto"/>
              <w:right w:val="single" w:sz="4" w:space="0" w:color="auto"/>
            </w:tcBorders>
            <w:vAlign w:val="center"/>
          </w:tcPr>
          <w:p w14:paraId="2F5C5D8A"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1D1D1B"/>
                <w:kern w:val="0"/>
                <w:sz w:val="16"/>
                <w:szCs w:val="16"/>
                <w:lang w:eastAsia="en-GB"/>
                <w14:ligatures w14:val="none"/>
              </w:rPr>
              <w:t>9</w:t>
            </w:r>
          </w:p>
        </w:tc>
        <w:tc>
          <w:tcPr>
            <w:tcW w:w="0" w:type="auto"/>
            <w:tcBorders>
              <w:top w:val="nil"/>
              <w:left w:val="nil"/>
              <w:bottom w:val="single" w:sz="4" w:space="0" w:color="auto"/>
              <w:right w:val="single" w:sz="4" w:space="0" w:color="auto"/>
            </w:tcBorders>
            <w:vAlign w:val="center"/>
          </w:tcPr>
          <w:p w14:paraId="057D3973" w14:textId="77777777" w:rsidR="00D61BF9" w:rsidRDefault="00000000">
            <w:pPr>
              <w:spacing w:after="0" w:line="240" w:lineRule="auto"/>
              <w:jc w:val="center"/>
              <w:rPr>
                <w:rFonts w:ascii="Calibri" w:eastAsia="Times New Roman" w:hAnsi="Calibri" w:cs="Calibri"/>
                <w:color w:val="1D1D1B"/>
                <w:kern w:val="0"/>
                <w:sz w:val="16"/>
                <w:szCs w:val="16"/>
                <w:lang w:eastAsia="en-GB"/>
                <w14:ligatures w14:val="none"/>
              </w:rPr>
            </w:pPr>
            <w:r>
              <w:rPr>
                <w:rFonts w:ascii="Calibri" w:eastAsia="Times New Roman" w:hAnsi="Calibri" w:cs="Calibri"/>
                <w:color w:val="00B050"/>
                <w:kern w:val="0"/>
                <w:sz w:val="16"/>
                <w:szCs w:val="16"/>
                <w:lang w:eastAsia="en-GB"/>
                <w14:ligatures w14:val="none"/>
              </w:rPr>
              <w:t>+5</w:t>
            </w:r>
          </w:p>
        </w:tc>
      </w:tr>
    </w:tbl>
    <w:p w14:paraId="2E6A13B6" w14:textId="77777777" w:rsidR="00D61BF9" w:rsidRDefault="00D61BF9">
      <w:pPr>
        <w:rPr>
          <w:rFonts w:ascii="Calibri" w:hAnsi="Calibri" w:cs="Calibri"/>
          <w:color w:val="000000"/>
          <w:sz w:val="22"/>
          <w:szCs w:val="22"/>
          <w:shd w:val="clear" w:color="auto" w:fill="FFFFFF"/>
        </w:rPr>
      </w:pPr>
    </w:p>
    <w:p w14:paraId="3682F8CC" w14:textId="77777777" w:rsidR="00D61BF9" w:rsidRDefault="00000000">
      <w:pPr>
        <w:rPr>
          <w:rFonts w:ascii="Calibri" w:hAnsi="Calibri" w:cs="Calibri"/>
          <w:b/>
          <w:bCs/>
          <w:color w:val="000000"/>
          <w:sz w:val="22"/>
          <w:szCs w:val="22"/>
          <w:shd w:val="clear" w:color="auto" w:fill="FFFFFF"/>
        </w:rPr>
      </w:pPr>
      <w:r>
        <w:rPr>
          <w:rFonts w:ascii="Calibri" w:hAnsi="Calibri" w:cs="Calibri"/>
          <w:b/>
          <w:bCs/>
          <w:color w:val="000000"/>
          <w:sz w:val="22"/>
          <w:szCs w:val="22"/>
          <w:shd w:val="clear" w:color="auto" w:fill="FFFFFF"/>
        </w:rPr>
        <w:t>国际化仍是一大短板</w:t>
      </w:r>
    </w:p>
    <w:p w14:paraId="598F6F1E"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内地）高校</w:t>
      </w:r>
      <w:r>
        <w:rPr>
          <w:rFonts w:ascii="Calibri" w:hAnsi="Calibri" w:cs="Calibri"/>
          <w:color w:val="000000"/>
          <w:sz w:val="22"/>
          <w:szCs w:val="22"/>
          <w:shd w:val="clear" w:color="auto" w:fill="FFFFFF"/>
          <w:lang w:eastAsia="zh-CN"/>
        </w:rPr>
        <w:t>面临的最大挑战在于国际化指标方面：在</w:t>
      </w:r>
      <w:r>
        <w:rPr>
          <w:rFonts w:ascii="Calibri" w:hAnsi="Calibri" w:cs="Calibri"/>
          <w:color w:val="000000"/>
          <w:sz w:val="22"/>
          <w:szCs w:val="22"/>
          <w:shd w:val="clear" w:color="auto" w:fill="FFFFFF"/>
          <w:lang w:eastAsia="zh-CN"/>
        </w:rPr>
        <w:t>“</w:t>
      </w:r>
      <w:r>
        <w:rPr>
          <w:rFonts w:ascii="Calibri" w:eastAsiaTheme="minorEastAsia" w:hAnsi="Calibri" w:cs="Calibri" w:hint="eastAsia"/>
          <w:color w:val="000000"/>
          <w:sz w:val="22"/>
          <w:szCs w:val="22"/>
          <w:shd w:val="clear" w:color="auto" w:fill="FFFFFF"/>
          <w:lang w:eastAsia="zh-CN"/>
        </w:rPr>
        <w:t>出境交换生比例</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eastAsiaTheme="minorEastAsia" w:hAnsi="Calibri" w:cs="Calibri" w:hint="eastAsia"/>
          <w:color w:val="000000"/>
          <w:sz w:val="22"/>
          <w:szCs w:val="22"/>
          <w:shd w:val="clear" w:color="auto" w:fill="FFFFFF"/>
          <w:lang w:eastAsia="zh-CN"/>
        </w:rPr>
        <w:t>入境交换生比例</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两项指标上，表现均低于区域平均水平；同时，在这些指标以及</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国际学生</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和</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拥有博士学位的教职员工</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方面，中国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也出现了最大的净下降幅度。这一现象在</w:t>
      </w:r>
      <w:r>
        <w:rPr>
          <w:rFonts w:ascii="Calibri" w:hAnsi="Calibri" w:cs="Calibri"/>
          <w:color w:val="000000"/>
          <w:sz w:val="22"/>
          <w:szCs w:val="22"/>
          <w:shd w:val="clear" w:color="auto" w:fill="FFFFFF"/>
          <w:lang w:eastAsia="zh-CN"/>
        </w:rPr>
        <w:t>“</w:t>
      </w:r>
      <w:r>
        <w:rPr>
          <w:rFonts w:ascii="Calibri" w:eastAsiaTheme="minorEastAsia" w:hAnsi="Calibri" w:cs="Calibri" w:hint="eastAsia"/>
          <w:color w:val="000000"/>
          <w:sz w:val="22"/>
          <w:szCs w:val="22"/>
          <w:shd w:val="clear" w:color="auto" w:fill="FFFFFF"/>
          <w:lang w:eastAsia="zh-CN"/>
        </w:rPr>
        <w:t>入境交换生比例</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方面尤为突出，其得分不足区域平均水平的一半；而在</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国际学生</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方面，排名最高的</w:t>
      </w:r>
      <w:r>
        <w:rPr>
          <w:rFonts w:ascii="Calibri" w:eastAsia="SimSun" w:hAnsi="Calibri" w:cs="Calibri" w:hint="eastAsia"/>
          <w:color w:val="000000"/>
          <w:sz w:val="22"/>
          <w:szCs w:val="22"/>
          <w:shd w:val="clear" w:color="auto" w:fill="FFFFFF"/>
          <w:lang w:val="en-US" w:eastAsia="zh-CN"/>
        </w:rPr>
        <w:t>暨南</w:t>
      </w:r>
      <w:r>
        <w:rPr>
          <w:rFonts w:ascii="Calibri" w:eastAsia="Times New Roman" w:hAnsi="Calibri" w:cs="Calibri"/>
          <w:kern w:val="0"/>
          <w:sz w:val="22"/>
          <w:szCs w:val="22"/>
          <w:lang w:eastAsia="zh-CN"/>
          <w14:ligatures w14:val="none"/>
        </w:rPr>
        <w:t>大学</w:t>
      </w:r>
      <w:r>
        <w:rPr>
          <w:rFonts w:ascii="Calibri" w:hAnsi="Calibri" w:cs="Calibri"/>
          <w:color w:val="000000"/>
          <w:sz w:val="22"/>
          <w:szCs w:val="22"/>
          <w:shd w:val="clear" w:color="auto" w:fill="FFFFFF"/>
          <w:lang w:eastAsia="zh-CN"/>
        </w:rPr>
        <w:t>仅位列</w:t>
      </w:r>
      <w:r>
        <w:rPr>
          <w:rFonts w:ascii="Calibri" w:eastAsia="SimSun" w:hAnsi="Calibri" w:cs="Calibri" w:hint="eastAsia"/>
          <w:color w:val="000000"/>
          <w:sz w:val="22"/>
          <w:szCs w:val="22"/>
          <w:shd w:val="clear" w:color="auto" w:fill="FFFFFF"/>
          <w:lang w:val="en-US" w:eastAsia="zh-CN"/>
        </w:rPr>
        <w:t>第</w:t>
      </w:r>
      <w:r>
        <w:rPr>
          <w:rFonts w:ascii="Calibri" w:eastAsia="SimSun" w:hAnsi="Calibri" w:cs="Calibri" w:hint="eastAsia"/>
          <w:color w:val="000000"/>
          <w:sz w:val="22"/>
          <w:szCs w:val="22"/>
          <w:shd w:val="clear" w:color="auto" w:fill="FFFFFF"/>
          <w:lang w:val="en-US" w:eastAsia="zh-CN"/>
        </w:rPr>
        <w:t>41</w:t>
      </w:r>
      <w:r>
        <w:rPr>
          <w:rFonts w:ascii="Calibri" w:eastAsia="SimSun" w:hAnsi="Calibri" w:cs="Calibri" w:hint="eastAsia"/>
          <w:color w:val="000000"/>
          <w:sz w:val="22"/>
          <w:szCs w:val="22"/>
          <w:shd w:val="clear" w:color="auto" w:fill="FFFFFF"/>
          <w:lang w:val="en-US" w:eastAsia="zh-CN"/>
        </w:rPr>
        <w:t>名</w:t>
      </w:r>
      <w:r>
        <w:rPr>
          <w:rFonts w:ascii="Calibri" w:hAnsi="Calibri" w:cs="Calibri"/>
          <w:color w:val="000000"/>
          <w:sz w:val="22"/>
          <w:szCs w:val="22"/>
          <w:shd w:val="clear" w:color="auto" w:fill="FFFFFF"/>
          <w:lang w:eastAsia="zh-CN"/>
        </w:rPr>
        <w:t>。</w:t>
      </w:r>
    </w:p>
    <w:p w14:paraId="6EA6B6E6"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这表明，尽管</w:t>
      </w:r>
      <w:r>
        <w:rPr>
          <w:rFonts w:ascii="Calibri" w:eastAsia="SimSun" w:hAnsi="Calibri" w:cs="Calibri" w:hint="eastAsia"/>
          <w:color w:val="000000"/>
          <w:sz w:val="22"/>
          <w:szCs w:val="22"/>
          <w:shd w:val="clear" w:color="auto" w:fill="FFFFFF"/>
          <w:lang w:eastAsia="zh-CN"/>
        </w:rPr>
        <w:t>中国（内地）高校</w:t>
      </w:r>
      <w:r>
        <w:rPr>
          <w:rFonts w:ascii="Calibri" w:hAnsi="Calibri" w:cs="Calibri"/>
          <w:color w:val="000000"/>
          <w:sz w:val="22"/>
          <w:szCs w:val="22"/>
          <w:shd w:val="clear" w:color="auto" w:fill="FFFFFF"/>
          <w:lang w:eastAsia="zh-CN"/>
        </w:rPr>
        <w:t>在科研和学术声誉方面已成为全球领军者，但国际化仍是一个相对薄弱的环节。自疫情以来，中国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的国际学生</w:t>
      </w:r>
      <w:r>
        <w:rPr>
          <w:rFonts w:ascii="Calibri" w:eastAsia="SimSun" w:hAnsi="Calibri" w:cs="Calibri" w:hint="eastAsia"/>
          <w:color w:val="000000"/>
          <w:sz w:val="22"/>
          <w:szCs w:val="22"/>
          <w:shd w:val="clear" w:color="auto" w:fill="FFFFFF"/>
          <w:lang w:val="en-US" w:eastAsia="zh-CN"/>
        </w:rPr>
        <w:t>数量</w:t>
      </w:r>
      <w:r>
        <w:rPr>
          <w:rFonts w:ascii="Calibri" w:hAnsi="Calibri" w:cs="Calibri"/>
          <w:color w:val="000000"/>
          <w:sz w:val="22"/>
          <w:szCs w:val="22"/>
          <w:shd w:val="clear" w:color="auto" w:fill="FFFFFF"/>
          <w:lang w:eastAsia="zh-CN"/>
        </w:rPr>
        <w:t>已</w:t>
      </w:r>
      <w:hyperlink r:id="rId22" w:history="1">
        <w:r>
          <w:rPr>
            <w:rStyle w:val="Hyperlink"/>
            <w:rFonts w:ascii="Calibri" w:hAnsi="Calibri" w:cs="Calibri"/>
            <w:sz w:val="22"/>
            <w:szCs w:val="22"/>
            <w:shd w:val="clear" w:color="auto" w:fill="FFFFFF"/>
            <w:lang w:eastAsia="zh-CN"/>
          </w:rPr>
          <w:t>显著</w:t>
        </w:r>
        <w:r>
          <w:rPr>
            <w:rStyle w:val="Hyperlink"/>
            <w:rFonts w:ascii="Calibri" w:eastAsia="SimSun" w:hAnsi="Calibri" w:cs="Calibri" w:hint="eastAsia"/>
            <w:sz w:val="22"/>
            <w:szCs w:val="22"/>
            <w:shd w:val="clear" w:color="auto" w:fill="FFFFFF"/>
            <w:lang w:val="en-US" w:eastAsia="zh-CN"/>
          </w:rPr>
          <w:t>恢复</w:t>
        </w:r>
      </w:hyperlink>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2024–25</w:t>
      </w:r>
      <w:r>
        <w:rPr>
          <w:rFonts w:ascii="Calibri" w:hAnsi="Calibri" w:cs="Calibri"/>
          <w:color w:val="000000"/>
          <w:sz w:val="22"/>
          <w:szCs w:val="22"/>
          <w:shd w:val="clear" w:color="auto" w:fill="FFFFFF"/>
          <w:lang w:eastAsia="zh-CN"/>
        </w:rPr>
        <w:t>学年注册的</w:t>
      </w:r>
      <w:hyperlink r:id="rId23" w:history="1">
        <w:r>
          <w:rPr>
            <w:rStyle w:val="Hyperlink"/>
            <w:rFonts w:ascii="Calibri" w:hAnsi="Calibri" w:cs="Calibri"/>
            <w:sz w:val="22"/>
            <w:szCs w:val="22"/>
            <w:shd w:val="clear" w:color="auto" w:fill="FFFFFF"/>
            <w:lang w:eastAsia="zh-CN"/>
          </w:rPr>
          <w:t>国际学生</w:t>
        </w:r>
      </w:hyperlink>
      <w:r>
        <w:rPr>
          <w:rFonts w:ascii="Calibri" w:hAnsi="Calibri" w:cs="Calibri"/>
          <w:color w:val="000000"/>
          <w:sz w:val="22"/>
          <w:szCs w:val="22"/>
          <w:shd w:val="clear" w:color="auto" w:fill="FFFFFF"/>
          <w:lang w:eastAsia="zh-CN"/>
        </w:rPr>
        <w:t>人数</w:t>
      </w:r>
      <w:hyperlink r:id="rId24" w:history="1">
        <w:r>
          <w:rPr>
            <w:rStyle w:val="Hyperlink"/>
            <w:rFonts w:ascii="Calibri" w:hAnsi="Calibri" w:cs="Calibri"/>
            <w:sz w:val="22"/>
            <w:szCs w:val="22"/>
            <w:shd w:val="clear" w:color="auto" w:fill="FFFFFF"/>
            <w:lang w:eastAsia="zh-CN"/>
          </w:rPr>
          <w:t>约为</w:t>
        </w:r>
        <w:r>
          <w:rPr>
            <w:rStyle w:val="Hyperlink"/>
            <w:rFonts w:ascii="Calibri" w:hAnsi="Calibri" w:cs="Calibri"/>
            <w:sz w:val="22"/>
            <w:szCs w:val="22"/>
            <w:shd w:val="clear" w:color="auto" w:fill="FFFFFF"/>
            <w:lang w:eastAsia="zh-CN"/>
          </w:rPr>
          <w:t>38</w:t>
        </w:r>
        <w:r>
          <w:rPr>
            <w:rStyle w:val="Hyperlink"/>
            <w:rFonts w:ascii="Calibri" w:hAnsi="Calibri" w:cs="Calibri"/>
            <w:sz w:val="22"/>
            <w:szCs w:val="22"/>
            <w:shd w:val="clear" w:color="auto" w:fill="FFFFFF"/>
            <w:lang w:eastAsia="zh-CN"/>
          </w:rPr>
          <w:t>万</w:t>
        </w:r>
      </w:hyperlink>
      <w:r>
        <w:rPr>
          <w:rFonts w:ascii="Calibri" w:hAnsi="Calibri" w:cs="Calibri"/>
          <w:color w:val="000000"/>
          <w:sz w:val="22"/>
          <w:szCs w:val="22"/>
          <w:shd w:val="clear" w:color="auto" w:fill="FFFFFF"/>
          <w:lang w:eastAsia="zh-CN"/>
        </w:rPr>
        <w:t>，政策制定者继续推广</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来华留学</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品牌并拓展</w:t>
      </w:r>
      <w:hyperlink r:id="rId25" w:history="1">
        <w:r>
          <w:rPr>
            <w:rStyle w:val="Hyperlink"/>
            <w:rFonts w:ascii="Calibri" w:hAnsi="Calibri" w:cs="Calibri"/>
            <w:sz w:val="22"/>
            <w:szCs w:val="22"/>
            <w:shd w:val="clear" w:color="auto" w:fill="FFFFFF"/>
            <w:lang w:eastAsia="zh-CN"/>
          </w:rPr>
          <w:t>国际高等教育合作伙伴关系</w:t>
        </w:r>
      </w:hyperlink>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 xml:space="preserve"> </w:t>
      </w:r>
      <w:r>
        <w:rPr>
          <w:rFonts w:ascii="Calibri" w:hAnsi="Calibri" w:cs="Calibri"/>
          <w:color w:val="000000"/>
          <w:sz w:val="22"/>
          <w:szCs w:val="22"/>
          <w:shd w:val="clear" w:color="auto" w:fill="FFFFFF"/>
          <w:lang w:eastAsia="zh-CN"/>
        </w:rPr>
        <w:t>然而，国际学生人数仍低于疫情前近</w:t>
      </w:r>
      <w:r>
        <w:rPr>
          <w:rFonts w:ascii="Calibri" w:hAnsi="Calibri" w:cs="Calibri"/>
          <w:color w:val="000000"/>
          <w:sz w:val="22"/>
          <w:szCs w:val="22"/>
          <w:shd w:val="clear" w:color="auto" w:fill="FFFFFF"/>
          <w:lang w:eastAsia="zh-CN"/>
        </w:rPr>
        <w:t>50</w:t>
      </w:r>
      <w:r>
        <w:rPr>
          <w:rFonts w:ascii="Calibri" w:hAnsi="Calibri" w:cs="Calibri"/>
          <w:color w:val="000000"/>
          <w:sz w:val="22"/>
          <w:szCs w:val="22"/>
          <w:shd w:val="clear" w:color="auto" w:fill="FFFFFF"/>
          <w:lang w:eastAsia="zh-CN"/>
        </w:rPr>
        <w:t>万人的水平，</w:t>
      </w:r>
      <w:hyperlink r:id="rId26" w:history="1">
        <w:r>
          <w:rPr>
            <w:rStyle w:val="Hyperlink"/>
            <w:rFonts w:ascii="Calibri" w:hAnsi="Calibri" w:cs="Calibri"/>
            <w:sz w:val="22"/>
            <w:szCs w:val="22"/>
            <w:shd w:val="clear" w:color="auto" w:fill="FFFFFF"/>
            <w:lang w:eastAsia="zh-CN"/>
          </w:rPr>
          <w:t>而出国留学人数</w:t>
        </w:r>
      </w:hyperlink>
      <w:r>
        <w:rPr>
          <w:rFonts w:ascii="Calibri" w:hAnsi="Calibri" w:cs="Calibri"/>
          <w:color w:val="000000"/>
          <w:sz w:val="22"/>
          <w:szCs w:val="22"/>
          <w:shd w:val="clear" w:color="auto" w:fill="FFFFFF"/>
          <w:lang w:eastAsia="zh-CN"/>
        </w:rPr>
        <w:t>较</w:t>
      </w:r>
      <w:r>
        <w:rPr>
          <w:rFonts w:ascii="Calibri" w:hAnsi="Calibri" w:cs="Calibri"/>
          <w:color w:val="000000"/>
          <w:sz w:val="22"/>
          <w:szCs w:val="22"/>
          <w:shd w:val="clear" w:color="auto" w:fill="FFFFFF"/>
          <w:lang w:eastAsia="zh-CN"/>
        </w:rPr>
        <w:t>2019</w:t>
      </w:r>
      <w:r>
        <w:rPr>
          <w:rFonts w:ascii="Calibri" w:hAnsi="Calibri" w:cs="Calibri"/>
          <w:color w:val="000000"/>
          <w:sz w:val="22"/>
          <w:szCs w:val="22"/>
          <w:shd w:val="clear" w:color="auto" w:fill="FFFFFF"/>
          <w:lang w:eastAsia="zh-CN"/>
        </w:rPr>
        <w:t>年的峰值下降了约</w:t>
      </w:r>
      <w:r>
        <w:rPr>
          <w:rFonts w:ascii="Calibri" w:hAnsi="Calibri" w:cs="Calibri"/>
          <w:color w:val="000000"/>
          <w:sz w:val="22"/>
          <w:szCs w:val="22"/>
          <w:shd w:val="clear" w:color="auto" w:fill="FFFFFF"/>
          <w:lang w:eastAsia="zh-CN"/>
        </w:rPr>
        <w:t>20%</w:t>
      </w:r>
      <w:r>
        <w:rPr>
          <w:rFonts w:ascii="Calibri" w:hAnsi="Calibri" w:cs="Calibri"/>
          <w:color w:val="000000"/>
          <w:sz w:val="22"/>
          <w:szCs w:val="22"/>
          <w:shd w:val="clear" w:color="auto" w:fill="FFFFFF"/>
          <w:lang w:eastAsia="zh-CN"/>
        </w:rPr>
        <w:t>，行业专家将此描述为一个规模较小、但更为成熟的市场。</w:t>
      </w:r>
      <w:r>
        <w:rPr>
          <w:rFonts w:ascii="Calibri" w:hAnsi="Calibri" w:cs="Calibri"/>
          <w:color w:val="000000"/>
          <w:sz w:val="22"/>
          <w:szCs w:val="22"/>
          <w:shd w:val="clear" w:color="auto" w:fill="FFFFFF"/>
          <w:lang w:eastAsia="zh-CN"/>
        </w:rPr>
        <w:t xml:space="preserve"> </w:t>
      </w:r>
    </w:p>
    <w:p w14:paraId="0CC39011"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lastRenderedPageBreak/>
        <w:t>QS</w:t>
      </w:r>
      <w:r>
        <w:rPr>
          <w:rFonts w:ascii="Calibri" w:hAnsi="Calibri" w:cs="Calibri"/>
          <w:color w:val="000000"/>
          <w:sz w:val="22"/>
          <w:szCs w:val="22"/>
          <w:shd w:val="clear" w:color="auto" w:fill="FFFFFF"/>
          <w:lang w:eastAsia="zh-CN"/>
        </w:rPr>
        <w:t>《</w:t>
      </w:r>
      <w:hyperlink r:id="rId27" w:history="1">
        <w:r>
          <w:rPr>
            <w:rStyle w:val="Hyperlink"/>
            <w:rFonts w:ascii="Calibri" w:hAnsi="Calibri" w:cs="Calibri"/>
            <w:sz w:val="22"/>
            <w:szCs w:val="22"/>
            <w:shd w:val="clear" w:color="auto" w:fill="FFFFFF"/>
            <w:lang w:eastAsia="zh-CN"/>
          </w:rPr>
          <w:t>全球学生流动</w:t>
        </w:r>
      </w:hyperlink>
      <w:r>
        <w:rPr>
          <w:rFonts w:ascii="Calibri" w:hAnsi="Calibri" w:cs="Calibri"/>
          <w:color w:val="000000"/>
          <w:sz w:val="22"/>
          <w:szCs w:val="22"/>
          <w:shd w:val="clear" w:color="auto" w:fill="FFFFFF"/>
          <w:lang w:eastAsia="zh-CN"/>
        </w:rPr>
        <w:t>报告》预测，到</w:t>
      </w:r>
      <w:r>
        <w:rPr>
          <w:rFonts w:ascii="Calibri" w:hAnsi="Calibri" w:cs="Calibri"/>
          <w:color w:val="000000"/>
          <w:sz w:val="22"/>
          <w:szCs w:val="22"/>
          <w:shd w:val="clear" w:color="auto" w:fill="FFFFFF"/>
          <w:lang w:eastAsia="zh-CN"/>
        </w:rPr>
        <w:t>2030</w:t>
      </w:r>
      <w:r>
        <w:rPr>
          <w:rFonts w:ascii="Calibri" w:hAnsi="Calibri" w:cs="Calibri"/>
          <w:color w:val="000000"/>
          <w:sz w:val="22"/>
          <w:szCs w:val="22"/>
          <w:shd w:val="clear" w:color="auto" w:fill="FFFFFF"/>
          <w:lang w:eastAsia="zh-CN"/>
        </w:rPr>
        <w:t>年，中国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的国际学生入学人数将以每年</w:t>
      </w:r>
      <w:r>
        <w:rPr>
          <w:rFonts w:ascii="Calibri" w:hAnsi="Calibri" w:cs="Calibri"/>
          <w:color w:val="000000"/>
          <w:sz w:val="22"/>
          <w:szCs w:val="22"/>
          <w:shd w:val="clear" w:color="auto" w:fill="FFFFFF"/>
          <w:lang w:eastAsia="zh-CN"/>
        </w:rPr>
        <w:t>2.5%</w:t>
      </w:r>
      <w:r>
        <w:rPr>
          <w:rFonts w:ascii="Calibri" w:hAnsi="Calibri" w:cs="Calibri"/>
          <w:color w:val="000000"/>
          <w:sz w:val="22"/>
          <w:szCs w:val="22"/>
          <w:shd w:val="clear" w:color="auto" w:fill="FFFFFF"/>
          <w:lang w:eastAsia="zh-CN"/>
        </w:rPr>
        <w:t>的速度增长，增速低于马来西亚和韩国等提供更多英语授课课程的区域同行。</w:t>
      </w:r>
    </w:p>
    <w:p w14:paraId="457A8F0D" w14:textId="77777777" w:rsidR="00D61BF9" w:rsidRDefault="00000000">
      <w:pPr>
        <w:rPr>
          <w:rFonts w:ascii="Calibri" w:hAnsi="Calibri" w:cs="Calibri"/>
          <w:color w:val="000000"/>
          <w:sz w:val="22"/>
          <w:szCs w:val="22"/>
          <w:shd w:val="clear" w:color="auto" w:fill="FFFFFF"/>
          <w:lang w:eastAsia="zh-CN"/>
        </w:rPr>
      </w:pPr>
      <w:r>
        <w:rPr>
          <w:rFonts w:ascii="Calibri" w:hAnsi="Calibri" w:cs="Calibri"/>
          <w:color w:val="000000"/>
          <w:sz w:val="22"/>
          <w:szCs w:val="22"/>
          <w:shd w:val="clear" w:color="auto" w:fill="FFFFFF"/>
          <w:lang w:eastAsia="zh-CN"/>
        </w:rPr>
        <w:t>因此，中国</w:t>
      </w:r>
      <w:r>
        <w:rPr>
          <w:rFonts w:ascii="Calibri" w:eastAsia="SimSun" w:hAnsi="Calibri" w:cs="Calibri" w:hint="eastAsia"/>
          <w:color w:val="000000"/>
          <w:sz w:val="22"/>
          <w:szCs w:val="22"/>
          <w:shd w:val="clear" w:color="auto" w:fill="FFFFFF"/>
          <w:lang w:eastAsia="zh-CN"/>
        </w:rPr>
        <w:t>（</w:t>
      </w:r>
      <w:r>
        <w:rPr>
          <w:rFonts w:ascii="Calibri" w:eastAsia="SimSun" w:hAnsi="Calibri" w:cs="Calibri" w:hint="eastAsia"/>
          <w:color w:val="000000"/>
          <w:sz w:val="22"/>
          <w:szCs w:val="22"/>
          <w:shd w:val="clear" w:color="auto" w:fill="FFFFFF"/>
          <w:lang w:val="en-US" w:eastAsia="zh-CN"/>
        </w:rPr>
        <w:t>内地）</w:t>
      </w:r>
      <w:r>
        <w:rPr>
          <w:rFonts w:ascii="Calibri" w:hAnsi="Calibri" w:cs="Calibri"/>
          <w:color w:val="000000"/>
          <w:sz w:val="22"/>
          <w:szCs w:val="22"/>
          <w:shd w:val="clear" w:color="auto" w:fill="FFFFFF"/>
          <w:lang w:eastAsia="zh-CN"/>
        </w:rPr>
        <w:t>在全球高等教育领域的影响力正越来越多地由卓越的研究水平和院校声誉所驱动，而非学生流动和交流</w:t>
      </w:r>
      <w:r>
        <w:rPr>
          <w:rFonts w:ascii="Calibri" w:hAnsi="Calibri" w:cs="Calibri"/>
          <w:color w:val="000000"/>
          <w:sz w:val="22"/>
          <w:szCs w:val="22"/>
          <w:shd w:val="clear" w:color="auto" w:fill="FFFFFF"/>
          <w:lang w:eastAsia="zh-CN"/>
        </w:rPr>
        <w:t>——</w:t>
      </w:r>
      <w:r>
        <w:rPr>
          <w:rFonts w:ascii="Calibri" w:hAnsi="Calibri" w:cs="Calibri"/>
          <w:color w:val="000000"/>
          <w:sz w:val="22"/>
          <w:szCs w:val="22"/>
          <w:shd w:val="clear" w:color="auto" w:fill="FFFFFF"/>
          <w:lang w:eastAsia="zh-CN"/>
        </w:rPr>
        <w:t>在后者方面，新加坡、</w:t>
      </w:r>
      <w:r>
        <w:rPr>
          <w:rFonts w:ascii="Calibri" w:eastAsia="SimSun" w:hAnsi="Calibri" w:cs="Calibri" w:hint="eastAsia"/>
          <w:color w:val="000000"/>
          <w:sz w:val="22"/>
          <w:szCs w:val="22"/>
          <w:shd w:val="clear" w:color="auto" w:fill="FFFFFF"/>
          <w:lang w:val="en-US" w:eastAsia="zh-CN"/>
        </w:rPr>
        <w:t>中国</w:t>
      </w:r>
      <w:r>
        <w:rPr>
          <w:rFonts w:ascii="Calibri" w:hAnsi="Calibri" w:cs="Calibri"/>
          <w:color w:val="000000"/>
          <w:sz w:val="22"/>
          <w:szCs w:val="22"/>
          <w:shd w:val="clear" w:color="auto" w:fill="FFFFFF"/>
          <w:lang w:eastAsia="zh-CN"/>
        </w:rPr>
        <w:t>香港和韩国等区域竞争对手仍占据优势。</w:t>
      </w:r>
    </w:p>
    <w:p w14:paraId="09CECC61" w14:textId="77777777" w:rsidR="00D61BF9" w:rsidRDefault="00000000">
      <w:pP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b/>
          <w:bCs/>
          <w:kern w:val="0"/>
          <w:sz w:val="22"/>
          <w:szCs w:val="22"/>
          <w:u w:val="single"/>
          <w:lang w:eastAsia="zh-CN"/>
          <w14:ligatures w14:val="none"/>
        </w:rPr>
        <w:t>区域概况</w:t>
      </w:r>
    </w:p>
    <w:p w14:paraId="5D8352DE" w14:textId="77777777" w:rsidR="00D61BF9" w:rsidRDefault="00000000">
      <w:pPr>
        <w:pStyle w:val="ListParagraph"/>
        <w:numPr>
          <w:ilvl w:val="0"/>
          <w:numId w:val="4"/>
        </w:numP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hint="eastAsia"/>
          <w:kern w:val="0"/>
          <w:sz w:val="22"/>
          <w:szCs w:val="22"/>
          <w:lang w:eastAsia="zh-CN"/>
          <w14:ligatures w14:val="none"/>
        </w:rPr>
        <w:t>在拥有五所及以上上榜大学的地区中，</w:t>
      </w:r>
      <w:r>
        <w:rPr>
          <w:rFonts w:ascii="Calibri" w:eastAsia="SimSun" w:hAnsi="Calibri" w:cs="Calibri" w:hint="eastAsia"/>
          <w:kern w:val="0"/>
          <w:sz w:val="22"/>
          <w:szCs w:val="22"/>
          <w:lang w:val="en-US" w:eastAsia="zh-CN"/>
          <w14:ligatures w14:val="none"/>
        </w:rPr>
        <w:t>中国</w:t>
      </w:r>
      <w:r>
        <w:rPr>
          <w:rFonts w:ascii="Microsoft YaHei" w:eastAsia="Microsoft YaHei" w:hAnsi="Microsoft YaHei" w:cs="Microsoft YaHei" w:hint="eastAsia"/>
          <w:kern w:val="0"/>
          <w:sz w:val="22"/>
          <w:szCs w:val="22"/>
          <w:lang w:eastAsia="zh-CN"/>
          <w14:ligatures w14:val="none"/>
        </w:rPr>
        <w:t>香港</w:t>
      </w:r>
      <w:r>
        <w:rPr>
          <w:rFonts w:ascii="Calibri" w:eastAsia="SimSun" w:hAnsi="Calibri" w:cs="Calibri" w:hint="eastAsia"/>
          <w:kern w:val="0"/>
          <w:sz w:val="22"/>
          <w:szCs w:val="22"/>
          <w:lang w:val="en-US" w:eastAsia="zh-CN"/>
          <w14:ligatures w14:val="none"/>
        </w:rPr>
        <w:t>特别行政区</w:t>
      </w:r>
      <w:r>
        <w:rPr>
          <w:rFonts w:ascii="Microsoft YaHei" w:eastAsia="Microsoft YaHei" w:hAnsi="Microsoft YaHei" w:cs="Microsoft YaHei" w:hint="eastAsia"/>
          <w:kern w:val="0"/>
          <w:sz w:val="22"/>
          <w:szCs w:val="22"/>
          <w:lang w:eastAsia="zh-CN"/>
          <w14:ligatures w14:val="none"/>
        </w:rPr>
        <w:t>的高等教育体系进步最为显著：八所大学排名上升，两所下降，净提升率达</w:t>
      </w:r>
      <w:r>
        <w:rPr>
          <w:rFonts w:ascii="Calibri" w:eastAsia="Times New Roman" w:hAnsi="Calibri" w:cs="Calibri"/>
          <w:kern w:val="0"/>
          <w:sz w:val="22"/>
          <w:szCs w:val="22"/>
          <w:lang w:eastAsia="zh-CN"/>
          <w14:ligatures w14:val="none"/>
        </w:rPr>
        <w:t>55%</w:t>
      </w:r>
      <w:r>
        <w:rPr>
          <w:rFonts w:ascii="Microsoft YaHei" w:eastAsia="Microsoft YaHei" w:hAnsi="Microsoft YaHei" w:cs="Microsoft YaHei" w:hint="eastAsia"/>
          <w:kern w:val="0"/>
          <w:sz w:val="22"/>
          <w:szCs w:val="22"/>
          <w:lang w:eastAsia="zh-CN"/>
          <w14:ligatures w14:val="none"/>
        </w:rPr>
        <w:t>。马尔代夫首次上榜，新增两所院校</w:t>
      </w:r>
      <w:r>
        <w:rPr>
          <w:rFonts w:ascii="Calibri" w:eastAsia="SimSun" w:hAnsi="Calibri" w:cs="Calibri" w:hint="eastAsia"/>
          <w:kern w:val="0"/>
          <w:sz w:val="22"/>
          <w:szCs w:val="22"/>
          <w:lang w:val="en-US" w:eastAsia="zh-CN"/>
          <w14:ligatures w14:val="none"/>
        </w:rPr>
        <w:t>上榜</w:t>
      </w:r>
      <w:r>
        <w:rPr>
          <w:rFonts w:ascii="Microsoft YaHei" w:eastAsia="Microsoft YaHei" w:hAnsi="Microsoft YaHei" w:cs="Microsoft YaHei" w:hint="eastAsia"/>
          <w:kern w:val="0"/>
          <w:sz w:val="22"/>
          <w:szCs w:val="22"/>
          <w:lang w:eastAsia="zh-CN"/>
          <w14:ligatures w14:val="none"/>
        </w:rPr>
        <w:t>：马尔代夫国立大学和维拉学院。</w:t>
      </w:r>
    </w:p>
    <w:p w14:paraId="120F003E" w14:textId="77777777" w:rsidR="00D61BF9" w:rsidRDefault="00000000">
      <w:pPr>
        <w:pStyle w:val="ListParagraph"/>
        <w:numPr>
          <w:ilvl w:val="0"/>
          <w:numId w:val="5"/>
        </w:numPr>
        <w:contextualSpacing w:val="0"/>
        <w:jc w:val="both"/>
        <w:rPr>
          <w:lang w:eastAsia="zh-CN"/>
        </w:rPr>
      </w:pPr>
      <w:r>
        <w:rPr>
          <w:rFonts w:ascii="Microsoft YaHei" w:eastAsia="Microsoft YaHei" w:hAnsi="Microsoft YaHei" w:cs="Microsoft YaHei" w:hint="eastAsia"/>
          <w:sz w:val="22"/>
          <w:szCs w:val="22"/>
          <w:lang w:eastAsia="zh-CN"/>
        </w:rPr>
        <w:t>印</w:t>
      </w:r>
      <w:r>
        <w:rPr>
          <w:rFonts w:ascii="Calibri" w:eastAsia="Calibri" w:hAnsi="Calibri" w:cs="Calibri"/>
          <w:sz w:val="22"/>
          <w:szCs w:val="22"/>
          <w:lang w:eastAsia="zh-CN"/>
        </w:rPr>
        <w:t>度顶尖大学整体表现下滑，六所顶尖院校全部排名下降，德里大学跌出前100名。不过，印度仍是亚洲的研究强国，在研究成果和拥有博士学位的教职员工数量方面领跑该地区。</w:t>
      </w:r>
    </w:p>
    <w:p w14:paraId="64890C15" w14:textId="77777777" w:rsidR="00D61BF9" w:rsidRDefault="00000000">
      <w:pPr>
        <w:pStyle w:val="ListParagraph"/>
        <w:numPr>
          <w:ilvl w:val="0"/>
          <w:numId w:val="5"/>
        </w:numPr>
        <w:ind w:left="714" w:hanging="357"/>
        <w:contextualSpacing w:val="0"/>
        <w:textAlignment w:val="baseline"/>
        <w:rPr>
          <w:rFonts w:ascii="Calibri" w:eastAsia="Times New Roman" w:hAnsi="Calibri" w:cs="Calibri"/>
          <w:kern w:val="0"/>
          <w:sz w:val="22"/>
          <w:szCs w:val="22"/>
          <w:lang w:eastAsia="zh-CN"/>
          <w14:ligatures w14:val="none"/>
        </w:rPr>
      </w:pPr>
      <w:r>
        <w:rPr>
          <w:rFonts w:ascii="Calibri" w:eastAsia="Times New Roman" w:hAnsi="Calibri" w:cs="Calibri" w:hint="eastAsia"/>
          <w:kern w:val="0"/>
          <w:sz w:val="22"/>
          <w:szCs w:val="22"/>
          <w:lang w:eastAsia="zh-CN"/>
          <w14:ligatures w14:val="none"/>
        </w:rPr>
        <w:t>日本是亚洲排名下滑幅度最大的</w:t>
      </w:r>
      <w:r>
        <w:rPr>
          <w:rFonts w:ascii="Calibri" w:eastAsia="SimSun" w:hAnsi="Calibri" w:cs="Calibri" w:hint="eastAsia"/>
          <w:kern w:val="0"/>
          <w:sz w:val="22"/>
          <w:szCs w:val="22"/>
          <w:lang w:val="en-US" w:eastAsia="zh-CN"/>
          <w14:ligatures w14:val="none"/>
        </w:rPr>
        <w:t>教育体系之一</w:t>
      </w:r>
      <w:r>
        <w:rPr>
          <w:rFonts w:ascii="Calibri" w:eastAsia="Times New Roman" w:hAnsi="Calibri" w:cs="Calibri"/>
          <w:kern w:val="0"/>
          <w:sz w:val="22"/>
          <w:szCs w:val="22"/>
          <w:lang w:eastAsia="zh-CN"/>
          <w14:ligatures w14:val="none"/>
        </w:rPr>
        <w:t>。尽管如此，东京大学在学术界和雇主眼中仍保持着该地区顶尖大学的地位，而雇主声誉继续成为日本顶尖院校的显著优势。</w:t>
      </w:r>
    </w:p>
    <w:p w14:paraId="78A17F5B"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尽管整体排名普遍下滑，韩国顶尖大学的实力仍在持续增强。首尔国立大学、成均馆大学和汉阳大学均实现排名上升，该国在前20名大学数量上仅次于中国</w:t>
      </w:r>
      <w:r>
        <w:rPr>
          <w:rFonts w:ascii="Calibri" w:eastAsia="SimSun" w:hAnsi="Calibri" w:cs="Calibri" w:hint="eastAsia"/>
          <w:kern w:val="0"/>
          <w:sz w:val="22"/>
          <w:szCs w:val="22"/>
          <w:lang w:eastAsia="zh-CN"/>
          <w14:ligatures w14:val="none"/>
        </w:rPr>
        <w:t>（</w:t>
      </w:r>
      <w:r>
        <w:rPr>
          <w:rFonts w:ascii="Calibri" w:eastAsia="SimSun" w:hAnsi="Calibri" w:cs="Calibri" w:hint="eastAsia"/>
          <w:kern w:val="0"/>
          <w:sz w:val="22"/>
          <w:szCs w:val="22"/>
          <w:lang w:val="en-US" w:eastAsia="zh-CN"/>
          <w14:ligatures w14:val="none"/>
        </w:rPr>
        <w:t>内地）</w:t>
      </w:r>
      <w:r>
        <w:rPr>
          <w:rFonts w:ascii="Calibri" w:eastAsia="Times New Roman" w:hAnsi="Calibri" w:cs="Calibri"/>
          <w:kern w:val="0"/>
          <w:sz w:val="22"/>
          <w:szCs w:val="22"/>
          <w:lang w:eastAsia="zh-CN"/>
          <w14:ligatures w14:val="none"/>
        </w:rPr>
        <w:t>，位居第二。</w:t>
      </w:r>
    </w:p>
    <w:p w14:paraId="669FBE51"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SimSun" w:hAnsi="Calibri" w:cs="Calibri" w:hint="eastAsia"/>
          <w:kern w:val="0"/>
          <w:sz w:val="22"/>
          <w:szCs w:val="22"/>
          <w:lang w:val="en-US" w:eastAsia="zh-CN"/>
          <w14:ligatures w14:val="none"/>
        </w:rPr>
        <w:t>中国</w:t>
      </w:r>
      <w:r>
        <w:rPr>
          <w:rFonts w:ascii="Calibri" w:eastAsia="Times New Roman" w:hAnsi="Calibri" w:cs="Calibri"/>
          <w:kern w:val="0"/>
          <w:sz w:val="22"/>
          <w:szCs w:val="22"/>
          <w:lang w:eastAsia="zh-CN"/>
          <w14:ligatures w14:val="none"/>
        </w:rPr>
        <w:t>香港特别行政区是今年表现最为突出的地区之一，在成熟教育体系中</w:t>
      </w:r>
      <w:r>
        <w:rPr>
          <w:rFonts w:ascii="Calibri" w:eastAsiaTheme="minorEastAsia" w:hAnsi="Calibri" w:cs="Calibri" w:hint="eastAsia"/>
          <w:kern w:val="0"/>
          <w:sz w:val="22"/>
          <w:szCs w:val="22"/>
          <w:lang w:eastAsia="zh-CN"/>
          <w14:ligatures w14:val="none"/>
        </w:rPr>
        <w:t>表现出</w:t>
      </w:r>
      <w:r>
        <w:rPr>
          <w:rFonts w:ascii="Calibri" w:eastAsia="Times New Roman" w:hAnsi="Calibri" w:cs="Calibri"/>
          <w:kern w:val="0"/>
          <w:sz w:val="22"/>
          <w:szCs w:val="22"/>
          <w:lang w:eastAsia="zh-CN"/>
          <w14:ligatures w14:val="none"/>
        </w:rPr>
        <w:t>最强劲的提升幅度。该地区拥有比其他任何市场都多的前十名大学，且多家院校跻身历史最高排名。</w:t>
      </w:r>
    </w:p>
    <w:p w14:paraId="19674563"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新加坡仍属亚洲最强大的高等教育体系之一，尽管新加坡国立大学和南洋理工大学已跌出前五名。</w:t>
      </w:r>
    </w:p>
    <w:p w14:paraId="707EB5F0"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lastRenderedPageBreak/>
        <w:t>印度尼西亚新增22所大学</w:t>
      </w:r>
      <w:r>
        <w:rPr>
          <w:rFonts w:ascii="Calibri" w:eastAsia="SimSun" w:hAnsi="Calibri" w:cs="Calibri" w:hint="eastAsia"/>
          <w:kern w:val="0"/>
          <w:sz w:val="22"/>
          <w:szCs w:val="22"/>
          <w:lang w:val="en-US" w:eastAsia="zh-CN"/>
          <w14:ligatures w14:val="none"/>
        </w:rPr>
        <w:t>上榜</w:t>
      </w:r>
      <w:r>
        <w:rPr>
          <w:rFonts w:ascii="Calibri" w:eastAsia="Times New Roman" w:hAnsi="Calibri" w:cs="Calibri"/>
          <w:kern w:val="0"/>
          <w:sz w:val="22"/>
          <w:szCs w:val="22"/>
          <w:lang w:eastAsia="zh-CN"/>
          <w14:ligatures w14:val="none"/>
        </w:rPr>
        <w:t>，尽管大多数老牌院校排名有所下滑。加查马达大学位居该国榜首，尽管科研表现有所减弱，但学生流动性仍是其显著优势。</w:t>
      </w:r>
    </w:p>
    <w:p w14:paraId="4816A74E"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马来西亚在取得全面进步的同时，国际化程度也显著提升。有16所大学创下历史最高排名，且马来西亚高校在国际学生数量、科研合作及学生交流方面均位居亚洲前列。</w:t>
      </w:r>
    </w:p>
    <w:p w14:paraId="281D4390" w14:textId="77777777" w:rsidR="00D61BF9" w:rsidRDefault="00000000">
      <w:pPr>
        <w:pStyle w:val="ListParagraph"/>
        <w:numPr>
          <w:ilvl w:val="0"/>
          <w:numId w:val="5"/>
        </w:numPr>
        <w:contextualSpacing w:val="0"/>
        <w:jc w:val="both"/>
        <w:textAlignment w:val="baseline"/>
        <w:rPr>
          <w:rFonts w:ascii="Calibri" w:eastAsia="Times New Roman" w:hAnsi="Calibri" w:cs="Calibri"/>
          <w:kern w:val="0"/>
          <w:sz w:val="22"/>
          <w:szCs w:val="22"/>
          <w:lang w:eastAsia="zh-CN"/>
          <w14:ligatures w14:val="none"/>
        </w:rPr>
      </w:pPr>
      <w:r>
        <w:rPr>
          <w:rFonts w:ascii="Calibri" w:eastAsia="Times New Roman" w:hAnsi="Calibri" w:cs="Calibri"/>
          <w:kern w:val="0"/>
          <w:sz w:val="22"/>
          <w:szCs w:val="22"/>
          <w:lang w:eastAsia="zh-CN"/>
          <w14:ligatures w14:val="none"/>
        </w:rPr>
        <w:t>中亚地区持续扩张，以哈萨克斯坦为首，该国包揽了该地区所有跻身前100名的席位。乌兹别克斯坦是发展最快的高校体系之一，而吉尔吉斯斯坦则录得亚洲跌幅最大的国家之一。</w:t>
      </w:r>
    </w:p>
    <w:p w14:paraId="05B5B831" w14:textId="77777777" w:rsidR="00D61BF9" w:rsidRDefault="00000000">
      <w:pP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22"/>
          <w:szCs w:val="22"/>
          <w:lang w:eastAsia="zh-CN"/>
          <w14:ligatures w14:val="none"/>
        </w:rPr>
        <w:t>下表列出了在QS各项指标中表现最佳的大学。</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4"/>
        <w:gridCol w:w="658"/>
        <w:gridCol w:w="3492"/>
        <w:gridCol w:w="1619"/>
        <w:gridCol w:w="1357"/>
      </w:tblGrid>
      <w:tr w:rsidR="00D61BF9" w14:paraId="599D9469" w14:textId="77777777">
        <w:trPr>
          <w:trHeight w:val="285"/>
        </w:trPr>
        <w:tc>
          <w:tcPr>
            <w:tcW w:w="9000" w:type="dxa"/>
            <w:gridSpan w:val="5"/>
            <w:tcBorders>
              <w:top w:val="single" w:sz="6" w:space="0" w:color="auto"/>
              <w:left w:val="single" w:sz="6" w:space="0" w:color="auto"/>
              <w:bottom w:val="single" w:sz="6" w:space="0" w:color="auto"/>
              <w:right w:val="single" w:sz="6" w:space="0" w:color="auto"/>
            </w:tcBorders>
          </w:tcPr>
          <w:p w14:paraId="2767F137" w14:textId="77777777" w:rsidR="00D61BF9" w:rsidRDefault="00000000">
            <w:pPr>
              <w:spacing w:after="0" w:line="240" w:lineRule="auto"/>
              <w:jc w:val="center"/>
              <w:textAlignment w:val="baseline"/>
              <w:rPr>
                <w:rFonts w:ascii="Times New Roman" w:eastAsia="Times New Roman" w:hAnsi="Times New Roman" w:cs="Times New Roman"/>
                <w:kern w:val="0"/>
                <w:lang w:eastAsia="zh-CN"/>
                <w14:ligatures w14:val="none"/>
              </w:rPr>
            </w:pPr>
            <w:r>
              <w:rPr>
                <w:rFonts w:ascii="Calibri" w:eastAsia="Times New Roman" w:hAnsi="Calibri" w:cs="Calibri"/>
                <w:b/>
                <w:bCs/>
                <w:color w:val="1D1D1B"/>
                <w:kern w:val="0"/>
                <w:sz w:val="20"/>
                <w:szCs w:val="20"/>
                <w:lang w:eastAsia="zh-CN"/>
                <w14:ligatures w14:val="none"/>
              </w:rPr>
              <w:t>表6：各指标的</w:t>
            </w:r>
            <w:r>
              <w:rPr>
                <w:rFonts w:ascii="Calibri" w:eastAsia="SimSun" w:hAnsi="Calibri" w:cs="Calibri" w:hint="eastAsia"/>
                <w:b/>
                <w:bCs/>
                <w:color w:val="1D1D1B"/>
                <w:kern w:val="0"/>
                <w:sz w:val="20"/>
                <w:szCs w:val="20"/>
                <w:lang w:val="en-US" w:eastAsia="zh-CN"/>
                <w14:ligatures w14:val="none"/>
              </w:rPr>
              <w:t>亚洲</w:t>
            </w:r>
            <w:r>
              <w:rPr>
                <w:rFonts w:ascii="Calibri" w:eastAsia="Times New Roman" w:hAnsi="Calibri" w:cs="Calibri"/>
                <w:b/>
                <w:bCs/>
                <w:color w:val="1D1D1B"/>
                <w:kern w:val="0"/>
                <w:sz w:val="20"/>
                <w:szCs w:val="20"/>
                <w:lang w:eastAsia="zh-CN"/>
                <w14:ligatures w14:val="none"/>
              </w:rPr>
              <w:t>领军者   </w:t>
            </w:r>
          </w:p>
        </w:tc>
      </w:tr>
      <w:tr w:rsidR="00D61BF9" w14:paraId="307C5EEE" w14:textId="77777777">
        <w:trPr>
          <w:trHeight w:val="285"/>
        </w:trPr>
        <w:tc>
          <w:tcPr>
            <w:tcW w:w="1665" w:type="dxa"/>
            <w:tcBorders>
              <w:top w:val="nil"/>
              <w:left w:val="single" w:sz="6" w:space="0" w:color="auto"/>
              <w:bottom w:val="single" w:sz="6" w:space="0" w:color="auto"/>
              <w:right w:val="single" w:sz="6" w:space="0" w:color="auto"/>
            </w:tcBorders>
          </w:tcPr>
          <w:p w14:paraId="0D535A49"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b/>
                <w:bCs/>
                <w:color w:val="1D1D1B"/>
                <w:kern w:val="0"/>
                <w:sz w:val="16"/>
                <w:szCs w:val="16"/>
                <w:lang w:eastAsia="en-GB"/>
                <w14:ligatures w14:val="none"/>
              </w:rPr>
              <w:t>指标   </w:t>
            </w:r>
          </w:p>
        </w:tc>
        <w:tc>
          <w:tcPr>
            <w:tcW w:w="675" w:type="dxa"/>
            <w:tcBorders>
              <w:top w:val="nil"/>
              <w:left w:val="nil"/>
              <w:bottom w:val="single" w:sz="6" w:space="0" w:color="auto"/>
              <w:right w:val="single" w:sz="6" w:space="0" w:color="auto"/>
            </w:tcBorders>
          </w:tcPr>
          <w:p w14:paraId="51BB69B3"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b/>
                <w:bCs/>
                <w:color w:val="1D1D1B"/>
                <w:kern w:val="0"/>
                <w:sz w:val="16"/>
                <w:szCs w:val="16"/>
                <w:lang w:eastAsia="en-GB"/>
                <w14:ligatures w14:val="none"/>
              </w:rPr>
              <w:t>权重   </w:t>
            </w:r>
          </w:p>
        </w:tc>
        <w:tc>
          <w:tcPr>
            <w:tcW w:w="3570" w:type="dxa"/>
            <w:tcBorders>
              <w:top w:val="nil"/>
              <w:left w:val="nil"/>
              <w:bottom w:val="single" w:sz="6" w:space="0" w:color="auto"/>
              <w:right w:val="single" w:sz="6" w:space="0" w:color="auto"/>
            </w:tcBorders>
          </w:tcPr>
          <w:p w14:paraId="1DD2E74C"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b/>
                <w:bCs/>
                <w:color w:val="1D1D1B"/>
                <w:kern w:val="0"/>
                <w:sz w:val="16"/>
                <w:szCs w:val="16"/>
                <w:lang w:eastAsia="en-GB"/>
                <w14:ligatures w14:val="none"/>
              </w:rPr>
              <w:t>区域领军者   </w:t>
            </w:r>
          </w:p>
        </w:tc>
        <w:tc>
          <w:tcPr>
            <w:tcW w:w="1665" w:type="dxa"/>
            <w:tcBorders>
              <w:top w:val="nil"/>
              <w:left w:val="nil"/>
              <w:bottom w:val="single" w:sz="6" w:space="0" w:color="auto"/>
              <w:right w:val="single" w:sz="6" w:space="0" w:color="auto"/>
            </w:tcBorders>
          </w:tcPr>
          <w:p w14:paraId="3F001E55"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b/>
                <w:bCs/>
                <w:color w:val="1D1D1B"/>
                <w:kern w:val="0"/>
                <w:sz w:val="16"/>
                <w:szCs w:val="16"/>
                <w:lang w:eastAsia="en-GB"/>
                <w14:ligatures w14:val="none"/>
              </w:rPr>
              <w:t>高等教育体系   </w:t>
            </w:r>
          </w:p>
        </w:tc>
        <w:tc>
          <w:tcPr>
            <w:tcW w:w="1410" w:type="dxa"/>
            <w:tcBorders>
              <w:top w:val="nil"/>
              <w:left w:val="nil"/>
              <w:bottom w:val="single" w:sz="6" w:space="0" w:color="auto"/>
              <w:right w:val="single" w:sz="6" w:space="0" w:color="auto"/>
            </w:tcBorders>
          </w:tcPr>
          <w:p w14:paraId="029886EA"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b/>
                <w:bCs/>
                <w:color w:val="1D1D1B"/>
                <w:kern w:val="0"/>
                <w:sz w:val="16"/>
                <w:szCs w:val="16"/>
                <w:lang w:eastAsia="en-GB"/>
                <w14:ligatures w14:val="none"/>
              </w:rPr>
              <w:t>综合排名   </w:t>
            </w:r>
          </w:p>
        </w:tc>
      </w:tr>
      <w:tr w:rsidR="00D61BF9" w14:paraId="46255453" w14:textId="77777777">
        <w:trPr>
          <w:trHeight w:val="225"/>
        </w:trPr>
        <w:tc>
          <w:tcPr>
            <w:tcW w:w="1665" w:type="dxa"/>
            <w:tcBorders>
              <w:top w:val="nil"/>
              <w:left w:val="single" w:sz="6" w:space="0" w:color="auto"/>
              <w:bottom w:val="single" w:sz="6" w:space="0" w:color="auto"/>
              <w:right w:val="single" w:sz="6" w:space="0" w:color="auto"/>
            </w:tcBorders>
          </w:tcPr>
          <w:p w14:paraId="2E52927A"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学术声誉   </w:t>
            </w:r>
          </w:p>
        </w:tc>
        <w:tc>
          <w:tcPr>
            <w:tcW w:w="675" w:type="dxa"/>
            <w:tcBorders>
              <w:top w:val="nil"/>
              <w:left w:val="nil"/>
              <w:bottom w:val="single" w:sz="6" w:space="0" w:color="auto"/>
              <w:right w:val="single" w:sz="6" w:space="0" w:color="auto"/>
            </w:tcBorders>
          </w:tcPr>
          <w:p w14:paraId="30CA1DC6"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30%   </w:t>
            </w:r>
          </w:p>
        </w:tc>
        <w:tc>
          <w:tcPr>
            <w:tcW w:w="3570" w:type="dxa"/>
            <w:tcBorders>
              <w:top w:val="nil"/>
              <w:left w:val="nil"/>
              <w:bottom w:val="single" w:sz="6" w:space="0" w:color="auto"/>
              <w:right w:val="single" w:sz="6" w:space="0" w:color="auto"/>
            </w:tcBorders>
          </w:tcPr>
          <w:p w14:paraId="54E50B65"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东京大学   </w:t>
            </w:r>
          </w:p>
        </w:tc>
        <w:tc>
          <w:tcPr>
            <w:tcW w:w="1665" w:type="dxa"/>
            <w:tcBorders>
              <w:top w:val="nil"/>
              <w:left w:val="nil"/>
              <w:bottom w:val="single" w:sz="6" w:space="0" w:color="auto"/>
              <w:right w:val="single" w:sz="6" w:space="0" w:color="auto"/>
            </w:tcBorders>
          </w:tcPr>
          <w:p w14:paraId="71F3130E"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日本   </w:t>
            </w:r>
          </w:p>
        </w:tc>
        <w:tc>
          <w:tcPr>
            <w:tcW w:w="1410" w:type="dxa"/>
            <w:tcBorders>
              <w:top w:val="nil"/>
              <w:left w:val="nil"/>
              <w:bottom w:val="single" w:sz="6" w:space="0" w:color="auto"/>
              <w:right w:val="single" w:sz="6" w:space="0" w:color="auto"/>
            </w:tcBorders>
          </w:tcPr>
          <w:p w14:paraId="152EF979"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27   </w:t>
            </w:r>
          </w:p>
        </w:tc>
      </w:tr>
      <w:tr w:rsidR="00D61BF9" w14:paraId="6A08CD95" w14:textId="77777777">
        <w:trPr>
          <w:trHeight w:val="270"/>
        </w:trPr>
        <w:tc>
          <w:tcPr>
            <w:tcW w:w="1665" w:type="dxa"/>
            <w:tcBorders>
              <w:top w:val="nil"/>
              <w:left w:val="single" w:sz="6" w:space="0" w:color="auto"/>
              <w:bottom w:val="single" w:sz="6" w:space="0" w:color="auto"/>
              <w:right w:val="single" w:sz="6" w:space="0" w:color="auto"/>
            </w:tcBorders>
          </w:tcPr>
          <w:p w14:paraId="2120C4ED"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雇主声誉   </w:t>
            </w:r>
          </w:p>
        </w:tc>
        <w:tc>
          <w:tcPr>
            <w:tcW w:w="675" w:type="dxa"/>
            <w:tcBorders>
              <w:top w:val="nil"/>
              <w:left w:val="nil"/>
              <w:bottom w:val="single" w:sz="6" w:space="0" w:color="auto"/>
              <w:right w:val="single" w:sz="6" w:space="0" w:color="auto"/>
            </w:tcBorders>
          </w:tcPr>
          <w:p w14:paraId="012F8A99"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20%   </w:t>
            </w:r>
          </w:p>
        </w:tc>
        <w:tc>
          <w:tcPr>
            <w:tcW w:w="3570" w:type="dxa"/>
            <w:tcBorders>
              <w:top w:val="nil"/>
              <w:left w:val="nil"/>
              <w:bottom w:val="single" w:sz="6" w:space="0" w:color="auto"/>
              <w:right w:val="single" w:sz="6" w:space="0" w:color="auto"/>
            </w:tcBorders>
          </w:tcPr>
          <w:p w14:paraId="17E4C289"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东京大学   </w:t>
            </w:r>
          </w:p>
        </w:tc>
        <w:tc>
          <w:tcPr>
            <w:tcW w:w="1665" w:type="dxa"/>
            <w:tcBorders>
              <w:top w:val="nil"/>
              <w:left w:val="nil"/>
              <w:bottom w:val="single" w:sz="6" w:space="0" w:color="auto"/>
              <w:right w:val="single" w:sz="6" w:space="0" w:color="auto"/>
            </w:tcBorders>
          </w:tcPr>
          <w:p w14:paraId="3E07C907"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日本   </w:t>
            </w:r>
          </w:p>
        </w:tc>
        <w:tc>
          <w:tcPr>
            <w:tcW w:w="1410" w:type="dxa"/>
            <w:tcBorders>
              <w:top w:val="nil"/>
              <w:left w:val="nil"/>
              <w:bottom w:val="single" w:sz="6" w:space="0" w:color="auto"/>
              <w:right w:val="single" w:sz="6" w:space="0" w:color="auto"/>
            </w:tcBorders>
          </w:tcPr>
          <w:p w14:paraId="4BB7ECEB"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27   </w:t>
            </w:r>
          </w:p>
        </w:tc>
      </w:tr>
      <w:tr w:rsidR="00D61BF9" w14:paraId="407953B2" w14:textId="77777777">
        <w:trPr>
          <w:trHeight w:val="405"/>
        </w:trPr>
        <w:tc>
          <w:tcPr>
            <w:tcW w:w="1665" w:type="dxa"/>
            <w:tcBorders>
              <w:top w:val="nil"/>
              <w:left w:val="single" w:sz="6" w:space="0" w:color="auto"/>
              <w:bottom w:val="single" w:sz="6" w:space="0" w:color="auto"/>
              <w:right w:val="single" w:sz="6" w:space="0" w:color="auto"/>
            </w:tcBorders>
          </w:tcPr>
          <w:p w14:paraId="6EC3C1A4"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师生比例   </w:t>
            </w:r>
          </w:p>
        </w:tc>
        <w:tc>
          <w:tcPr>
            <w:tcW w:w="675" w:type="dxa"/>
            <w:tcBorders>
              <w:top w:val="nil"/>
              <w:left w:val="nil"/>
              <w:bottom w:val="single" w:sz="6" w:space="0" w:color="auto"/>
              <w:right w:val="single" w:sz="6" w:space="0" w:color="auto"/>
            </w:tcBorders>
          </w:tcPr>
          <w:p w14:paraId="66E89BB9"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10%   </w:t>
            </w:r>
          </w:p>
        </w:tc>
        <w:tc>
          <w:tcPr>
            <w:tcW w:w="3570" w:type="dxa"/>
            <w:tcBorders>
              <w:top w:val="nil"/>
              <w:left w:val="nil"/>
              <w:bottom w:val="single" w:sz="6" w:space="0" w:color="auto"/>
              <w:right w:val="single" w:sz="6" w:space="0" w:color="auto"/>
            </w:tcBorders>
          </w:tcPr>
          <w:p w14:paraId="04AAFED3"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上海中医药大学；沙赫德大学（</w:t>
            </w:r>
            <w:r>
              <w:rPr>
                <w:rFonts w:ascii="Calibri" w:eastAsia="Times New Roman" w:hAnsi="Calibri" w:cs="Calibri"/>
                <w:i/>
                <w:iCs/>
                <w:color w:val="1D1D1B"/>
                <w:kern w:val="0"/>
                <w:sz w:val="16"/>
                <w:szCs w:val="16"/>
                <w:lang w:eastAsia="zh-CN"/>
                <w14:ligatures w14:val="none"/>
              </w:rPr>
              <w:t>并列</w:t>
            </w:r>
            <w:r>
              <w:rPr>
                <w:rFonts w:ascii="Calibri" w:eastAsia="Times New Roman" w:hAnsi="Calibri" w:cs="Calibri"/>
                <w:color w:val="1D1D1B"/>
                <w:kern w:val="0"/>
                <w:sz w:val="16"/>
                <w:szCs w:val="16"/>
                <w:lang w:eastAsia="zh-CN"/>
                <w14:ligatures w14:val="none"/>
              </w:rPr>
              <w:t>）   </w:t>
            </w:r>
          </w:p>
        </w:tc>
        <w:tc>
          <w:tcPr>
            <w:tcW w:w="1665" w:type="dxa"/>
            <w:tcBorders>
              <w:top w:val="nil"/>
              <w:left w:val="nil"/>
              <w:bottom w:val="single" w:sz="6" w:space="0" w:color="auto"/>
              <w:right w:val="single" w:sz="6" w:space="0" w:color="auto"/>
            </w:tcBorders>
          </w:tcPr>
          <w:p w14:paraId="2EFE865F"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中国</w:t>
            </w:r>
            <w:r>
              <w:rPr>
                <w:rFonts w:ascii="Calibri" w:eastAsia="SimSun" w:hAnsi="Calibri" w:cs="Calibri" w:hint="eastAsia"/>
                <w:color w:val="1D1D1B"/>
                <w:kern w:val="0"/>
                <w:sz w:val="16"/>
                <w:szCs w:val="16"/>
                <w:lang w:eastAsia="zh-CN"/>
                <w14:ligatures w14:val="none"/>
              </w:rPr>
              <w:t>（内地）</w:t>
            </w:r>
            <w:r>
              <w:rPr>
                <w:rFonts w:ascii="Calibri" w:eastAsia="Times New Roman" w:hAnsi="Calibri" w:cs="Calibri"/>
                <w:color w:val="1D1D1B"/>
                <w:kern w:val="0"/>
                <w:sz w:val="16"/>
                <w:szCs w:val="16"/>
                <w:lang w:eastAsia="zh-CN"/>
                <w14:ligatures w14:val="none"/>
              </w:rPr>
              <w:t>；伊朗   </w:t>
            </w:r>
          </w:p>
        </w:tc>
        <w:tc>
          <w:tcPr>
            <w:tcW w:w="1410" w:type="dxa"/>
            <w:tcBorders>
              <w:top w:val="nil"/>
              <w:left w:val="nil"/>
              <w:bottom w:val="single" w:sz="6" w:space="0" w:color="auto"/>
              <w:right w:val="single" w:sz="6" w:space="0" w:color="auto"/>
            </w:tcBorders>
          </w:tcPr>
          <w:p w14:paraId="7575BA4F"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561；1101-1200   </w:t>
            </w:r>
          </w:p>
        </w:tc>
      </w:tr>
      <w:tr w:rsidR="00D61BF9" w14:paraId="0F42F4FD" w14:textId="77777777">
        <w:trPr>
          <w:trHeight w:val="270"/>
        </w:trPr>
        <w:tc>
          <w:tcPr>
            <w:tcW w:w="1665" w:type="dxa"/>
            <w:tcBorders>
              <w:top w:val="nil"/>
              <w:left w:val="single" w:sz="6" w:space="0" w:color="auto"/>
              <w:bottom w:val="single" w:sz="6" w:space="0" w:color="auto"/>
              <w:right w:val="single" w:sz="6" w:space="0" w:color="auto"/>
            </w:tcBorders>
          </w:tcPr>
          <w:p w14:paraId="098CBC31"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commentRangeStart w:id="0"/>
            <w:r>
              <w:rPr>
                <w:rFonts w:ascii="Calibri" w:eastAsia="Times New Roman" w:hAnsi="Calibri" w:cs="Calibri"/>
                <w:color w:val="1D1D1B"/>
                <w:kern w:val="0"/>
                <w:sz w:val="16"/>
                <w:szCs w:val="16"/>
                <w:lang w:eastAsia="zh-CN"/>
                <w14:ligatures w14:val="none"/>
              </w:rPr>
              <w:t>每篇论文的被引用次数   </w:t>
            </w:r>
          </w:p>
        </w:tc>
        <w:tc>
          <w:tcPr>
            <w:tcW w:w="675" w:type="dxa"/>
            <w:tcBorders>
              <w:top w:val="nil"/>
              <w:left w:val="nil"/>
              <w:bottom w:val="single" w:sz="6" w:space="0" w:color="auto"/>
              <w:right w:val="single" w:sz="6" w:space="0" w:color="auto"/>
            </w:tcBorders>
          </w:tcPr>
          <w:p w14:paraId="771C662F"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10%   </w:t>
            </w:r>
          </w:p>
        </w:tc>
        <w:tc>
          <w:tcPr>
            <w:tcW w:w="3570" w:type="dxa"/>
            <w:tcBorders>
              <w:top w:val="nil"/>
              <w:left w:val="nil"/>
              <w:bottom w:val="single" w:sz="6" w:space="0" w:color="auto"/>
              <w:right w:val="single" w:sz="6" w:space="0" w:color="auto"/>
            </w:tcBorders>
          </w:tcPr>
          <w:p w14:paraId="178916BB"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亚洲女子大学   </w:t>
            </w:r>
          </w:p>
        </w:tc>
        <w:tc>
          <w:tcPr>
            <w:tcW w:w="1665" w:type="dxa"/>
            <w:tcBorders>
              <w:top w:val="nil"/>
              <w:left w:val="nil"/>
              <w:bottom w:val="single" w:sz="6" w:space="0" w:color="auto"/>
              <w:right w:val="single" w:sz="6" w:space="0" w:color="auto"/>
            </w:tcBorders>
          </w:tcPr>
          <w:p w14:paraId="0139CEF1"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孟加拉国   </w:t>
            </w:r>
          </w:p>
        </w:tc>
        <w:tc>
          <w:tcPr>
            <w:tcW w:w="1410" w:type="dxa"/>
            <w:tcBorders>
              <w:top w:val="nil"/>
              <w:left w:val="nil"/>
              <w:bottom w:val="single" w:sz="6" w:space="0" w:color="auto"/>
              <w:right w:val="single" w:sz="6" w:space="0" w:color="auto"/>
            </w:tcBorders>
          </w:tcPr>
          <w:p w14:paraId="21C4A036"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851-900   </w:t>
            </w:r>
            <w:commentRangeEnd w:id="0"/>
            <w:r>
              <w:rPr>
                <w:rStyle w:val="CommentReference"/>
                <w:rFonts w:ascii="Times New Roman" w:eastAsia="Times New Roman" w:hAnsi="Times New Roman" w:cs="Times New Roman"/>
                <w:kern w:val="0"/>
                <w:sz w:val="24"/>
                <w:szCs w:val="24"/>
                <w:lang w:eastAsia="en-GB"/>
                <w14:ligatures w14:val="none"/>
              </w:rPr>
              <w:commentReference w:id="0"/>
            </w:r>
          </w:p>
        </w:tc>
      </w:tr>
      <w:tr w:rsidR="00D61BF9" w14:paraId="62FEE50F" w14:textId="77777777">
        <w:trPr>
          <w:trHeight w:val="270"/>
        </w:trPr>
        <w:tc>
          <w:tcPr>
            <w:tcW w:w="1665" w:type="dxa"/>
            <w:tcBorders>
              <w:top w:val="nil"/>
              <w:left w:val="single" w:sz="6" w:space="0" w:color="auto"/>
              <w:bottom w:val="single" w:sz="6" w:space="0" w:color="auto"/>
              <w:right w:val="single" w:sz="6" w:space="0" w:color="auto"/>
            </w:tcBorders>
          </w:tcPr>
          <w:p w14:paraId="16BD43D3"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每位教师发表论文数   </w:t>
            </w:r>
          </w:p>
        </w:tc>
        <w:tc>
          <w:tcPr>
            <w:tcW w:w="675" w:type="dxa"/>
            <w:tcBorders>
              <w:top w:val="nil"/>
              <w:left w:val="nil"/>
              <w:bottom w:val="single" w:sz="6" w:space="0" w:color="auto"/>
              <w:right w:val="single" w:sz="6" w:space="0" w:color="auto"/>
            </w:tcBorders>
          </w:tcPr>
          <w:p w14:paraId="75DFB06E"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5%   </w:t>
            </w:r>
          </w:p>
        </w:tc>
        <w:tc>
          <w:tcPr>
            <w:tcW w:w="3570" w:type="dxa"/>
            <w:tcBorders>
              <w:top w:val="nil"/>
              <w:left w:val="nil"/>
              <w:bottom w:val="single" w:sz="6" w:space="0" w:color="auto"/>
              <w:right w:val="single" w:sz="6" w:space="0" w:color="auto"/>
            </w:tcBorders>
          </w:tcPr>
          <w:p w14:paraId="21806C0E"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印度科学研究所（IISc）班加罗尔   </w:t>
            </w:r>
          </w:p>
        </w:tc>
        <w:tc>
          <w:tcPr>
            <w:tcW w:w="1665" w:type="dxa"/>
            <w:tcBorders>
              <w:top w:val="nil"/>
              <w:left w:val="nil"/>
              <w:bottom w:val="single" w:sz="6" w:space="0" w:color="auto"/>
              <w:right w:val="single" w:sz="6" w:space="0" w:color="auto"/>
            </w:tcBorders>
          </w:tcPr>
          <w:p w14:paraId="56BE0929"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印度   </w:t>
            </w:r>
          </w:p>
        </w:tc>
        <w:tc>
          <w:tcPr>
            <w:tcW w:w="1410" w:type="dxa"/>
            <w:tcBorders>
              <w:top w:val="nil"/>
              <w:left w:val="nil"/>
              <w:bottom w:val="single" w:sz="6" w:space="0" w:color="auto"/>
              <w:right w:val="single" w:sz="6" w:space="0" w:color="auto"/>
            </w:tcBorders>
          </w:tcPr>
          <w:p w14:paraId="53724CF3"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79   </w:t>
            </w:r>
          </w:p>
        </w:tc>
      </w:tr>
      <w:tr w:rsidR="00D61BF9" w14:paraId="5C4BA926" w14:textId="77777777">
        <w:trPr>
          <w:trHeight w:val="270"/>
        </w:trPr>
        <w:tc>
          <w:tcPr>
            <w:tcW w:w="1665" w:type="dxa"/>
            <w:tcBorders>
              <w:top w:val="nil"/>
              <w:left w:val="single" w:sz="6" w:space="0" w:color="auto"/>
              <w:bottom w:val="single" w:sz="6" w:space="0" w:color="auto"/>
              <w:right w:val="single" w:sz="6" w:space="0" w:color="auto"/>
            </w:tcBorders>
          </w:tcPr>
          <w:p w14:paraId="67A66808"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拥有博士学位的教职员工   </w:t>
            </w:r>
          </w:p>
        </w:tc>
        <w:tc>
          <w:tcPr>
            <w:tcW w:w="675" w:type="dxa"/>
            <w:tcBorders>
              <w:top w:val="nil"/>
              <w:left w:val="nil"/>
              <w:bottom w:val="single" w:sz="6" w:space="0" w:color="auto"/>
              <w:right w:val="single" w:sz="6" w:space="0" w:color="auto"/>
            </w:tcBorders>
          </w:tcPr>
          <w:p w14:paraId="75F1F736"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5%   </w:t>
            </w:r>
          </w:p>
        </w:tc>
        <w:tc>
          <w:tcPr>
            <w:tcW w:w="3570" w:type="dxa"/>
            <w:tcBorders>
              <w:top w:val="nil"/>
              <w:left w:val="nil"/>
              <w:bottom w:val="single" w:sz="6" w:space="0" w:color="auto"/>
              <w:right w:val="single" w:sz="6" w:space="0" w:color="auto"/>
            </w:tcBorders>
          </w:tcPr>
          <w:p w14:paraId="5EA5B991"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i/>
                <w:iCs/>
                <w:color w:val="1D1D1B"/>
                <w:kern w:val="0"/>
                <w:sz w:val="16"/>
                <w:szCs w:val="16"/>
                <w:lang w:eastAsia="en-GB"/>
                <w14:ligatures w14:val="none"/>
              </w:rPr>
              <w:t>29所</w:t>
            </w:r>
            <w:r>
              <w:rPr>
                <w:rFonts w:ascii="Calibri" w:eastAsia="SimSun" w:hAnsi="Calibri" w:cs="Calibri" w:hint="eastAsia"/>
                <w:i/>
                <w:iCs/>
                <w:color w:val="1D1D1B"/>
                <w:kern w:val="0"/>
                <w:sz w:val="16"/>
                <w:szCs w:val="16"/>
                <w:lang w:val="en-US" w:eastAsia="zh-CN"/>
                <w14:ligatures w14:val="none"/>
              </w:rPr>
              <w:t>高校</w:t>
            </w:r>
            <w:r>
              <w:rPr>
                <w:rFonts w:ascii="Calibri" w:eastAsia="Times New Roman" w:hAnsi="Calibri" w:cs="Calibri"/>
                <w:i/>
                <w:iCs/>
                <w:color w:val="1D1D1B"/>
                <w:kern w:val="0"/>
                <w:sz w:val="16"/>
                <w:szCs w:val="16"/>
                <w:lang w:eastAsia="en-GB"/>
                <w14:ligatures w14:val="none"/>
              </w:rPr>
              <w:t xml:space="preserve">并列 </w:t>
            </w:r>
          </w:p>
        </w:tc>
        <w:tc>
          <w:tcPr>
            <w:tcW w:w="1665" w:type="dxa"/>
            <w:tcBorders>
              <w:top w:val="nil"/>
              <w:left w:val="nil"/>
              <w:bottom w:val="single" w:sz="6" w:space="0" w:color="auto"/>
              <w:right w:val="single" w:sz="6" w:space="0" w:color="auto"/>
            </w:tcBorders>
          </w:tcPr>
          <w:p w14:paraId="16CCDFB2" w14:textId="77777777" w:rsidR="00D61BF9" w:rsidRDefault="00000000">
            <w:pPr>
              <w:spacing w:after="0" w:line="240" w:lineRule="auto"/>
              <w:textAlignment w:val="baseline"/>
              <w:rPr>
                <w:rFonts w:ascii="Calibri" w:eastAsia="Times New Roman" w:hAnsi="Calibri" w:cs="Calibri"/>
                <w:kern w:val="0"/>
                <w:sz w:val="16"/>
                <w:szCs w:val="16"/>
                <w:lang w:eastAsia="en-GB"/>
                <w14:ligatures w14:val="none"/>
              </w:rPr>
            </w:pPr>
            <w:r>
              <w:rPr>
                <w:rFonts w:ascii="Calibri" w:eastAsia="Times New Roman" w:hAnsi="Calibri" w:cs="Calibri"/>
                <w:kern w:val="0"/>
                <w:sz w:val="16"/>
                <w:szCs w:val="16"/>
                <w:lang w:eastAsia="en-GB"/>
                <w14:ligatures w14:val="none"/>
              </w:rPr>
              <w:t>不适用</w:t>
            </w:r>
          </w:p>
        </w:tc>
        <w:tc>
          <w:tcPr>
            <w:tcW w:w="1410" w:type="dxa"/>
            <w:tcBorders>
              <w:top w:val="nil"/>
              <w:left w:val="nil"/>
              <w:bottom w:val="single" w:sz="6" w:space="0" w:color="auto"/>
              <w:right w:val="single" w:sz="6" w:space="0" w:color="auto"/>
            </w:tcBorders>
          </w:tcPr>
          <w:p w14:paraId="4CAE7858"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不适用</w:t>
            </w:r>
          </w:p>
        </w:tc>
      </w:tr>
      <w:tr w:rsidR="00D61BF9" w14:paraId="452A9499" w14:textId="77777777">
        <w:trPr>
          <w:trHeight w:val="405"/>
        </w:trPr>
        <w:tc>
          <w:tcPr>
            <w:tcW w:w="1665" w:type="dxa"/>
            <w:tcBorders>
              <w:top w:val="nil"/>
              <w:left w:val="single" w:sz="6" w:space="0" w:color="auto"/>
              <w:bottom w:val="single" w:sz="6" w:space="0" w:color="auto"/>
              <w:right w:val="single" w:sz="6" w:space="0" w:color="auto"/>
            </w:tcBorders>
          </w:tcPr>
          <w:p w14:paraId="5DA50732"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国际研究网络   </w:t>
            </w:r>
          </w:p>
        </w:tc>
        <w:tc>
          <w:tcPr>
            <w:tcW w:w="675" w:type="dxa"/>
            <w:tcBorders>
              <w:top w:val="nil"/>
              <w:left w:val="nil"/>
              <w:bottom w:val="single" w:sz="6" w:space="0" w:color="auto"/>
              <w:right w:val="single" w:sz="6" w:space="0" w:color="auto"/>
            </w:tcBorders>
          </w:tcPr>
          <w:p w14:paraId="1F11F4B0"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10%   </w:t>
            </w:r>
          </w:p>
        </w:tc>
        <w:tc>
          <w:tcPr>
            <w:tcW w:w="3570" w:type="dxa"/>
            <w:tcBorders>
              <w:top w:val="nil"/>
              <w:left w:val="nil"/>
              <w:bottom w:val="single" w:sz="6" w:space="0" w:color="auto"/>
              <w:right w:val="single" w:sz="6" w:space="0" w:color="auto"/>
            </w:tcBorders>
          </w:tcPr>
          <w:p w14:paraId="0EE4D084"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Times New Roman" w:hAnsi="Calibri" w:cs="Calibri"/>
                <w:color w:val="1D1D1B"/>
                <w:kern w:val="0"/>
                <w:sz w:val="16"/>
                <w:szCs w:val="16"/>
                <w:lang w:eastAsia="zh-CN"/>
                <w14:ligatures w14:val="none"/>
              </w:rPr>
              <w:t>伊斯兰阿扎德大学   </w:t>
            </w:r>
          </w:p>
        </w:tc>
        <w:tc>
          <w:tcPr>
            <w:tcW w:w="1665" w:type="dxa"/>
            <w:tcBorders>
              <w:top w:val="nil"/>
              <w:left w:val="nil"/>
              <w:bottom w:val="single" w:sz="6" w:space="0" w:color="auto"/>
              <w:right w:val="single" w:sz="6" w:space="0" w:color="auto"/>
            </w:tcBorders>
          </w:tcPr>
          <w:p w14:paraId="7B2023DA"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伊朗   </w:t>
            </w:r>
          </w:p>
        </w:tc>
        <w:tc>
          <w:tcPr>
            <w:tcW w:w="1410" w:type="dxa"/>
            <w:tcBorders>
              <w:top w:val="nil"/>
              <w:left w:val="nil"/>
              <w:bottom w:val="single" w:sz="6" w:space="0" w:color="auto"/>
              <w:right w:val="single" w:sz="6" w:space="0" w:color="auto"/>
            </w:tcBorders>
          </w:tcPr>
          <w:p w14:paraId="1B0C627A"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711-720   </w:t>
            </w:r>
          </w:p>
        </w:tc>
      </w:tr>
      <w:tr w:rsidR="00D61BF9" w14:paraId="386166B2" w14:textId="77777777">
        <w:trPr>
          <w:trHeight w:val="270"/>
        </w:trPr>
        <w:tc>
          <w:tcPr>
            <w:tcW w:w="1665" w:type="dxa"/>
            <w:tcBorders>
              <w:top w:val="nil"/>
              <w:left w:val="single" w:sz="6" w:space="0" w:color="auto"/>
              <w:bottom w:val="single" w:sz="6" w:space="0" w:color="auto"/>
              <w:right w:val="single" w:sz="6" w:space="0" w:color="auto"/>
            </w:tcBorders>
          </w:tcPr>
          <w:p w14:paraId="0D9386DB"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国际教师   </w:t>
            </w:r>
          </w:p>
        </w:tc>
        <w:tc>
          <w:tcPr>
            <w:tcW w:w="675" w:type="dxa"/>
            <w:tcBorders>
              <w:top w:val="nil"/>
              <w:left w:val="nil"/>
              <w:bottom w:val="single" w:sz="6" w:space="0" w:color="auto"/>
              <w:right w:val="single" w:sz="6" w:space="0" w:color="auto"/>
            </w:tcBorders>
          </w:tcPr>
          <w:p w14:paraId="6FA927CB"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2.50%   </w:t>
            </w:r>
          </w:p>
        </w:tc>
        <w:tc>
          <w:tcPr>
            <w:tcW w:w="3570" w:type="dxa"/>
            <w:tcBorders>
              <w:top w:val="nil"/>
              <w:left w:val="nil"/>
              <w:bottom w:val="single" w:sz="6" w:space="0" w:color="auto"/>
              <w:right w:val="single" w:sz="6" w:space="0" w:color="auto"/>
            </w:tcBorders>
          </w:tcPr>
          <w:p w14:paraId="47688557"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香港城市大学（CityUHK）   </w:t>
            </w:r>
          </w:p>
        </w:tc>
        <w:tc>
          <w:tcPr>
            <w:tcW w:w="1665" w:type="dxa"/>
            <w:tcBorders>
              <w:top w:val="nil"/>
              <w:left w:val="nil"/>
              <w:bottom w:val="single" w:sz="6" w:space="0" w:color="auto"/>
              <w:right w:val="single" w:sz="6" w:space="0" w:color="auto"/>
            </w:tcBorders>
          </w:tcPr>
          <w:p w14:paraId="0FD03858"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SimSun" w:hAnsi="Calibri" w:cs="Calibri" w:hint="eastAsia"/>
                <w:color w:val="1D1D1B"/>
                <w:kern w:val="0"/>
                <w:sz w:val="16"/>
                <w:szCs w:val="16"/>
                <w:lang w:val="en-US" w:eastAsia="zh-CN"/>
                <w14:ligatures w14:val="none"/>
              </w:rPr>
              <w:t>中国</w:t>
            </w:r>
            <w:r>
              <w:rPr>
                <w:rFonts w:ascii="Calibri" w:eastAsia="Times New Roman" w:hAnsi="Calibri" w:cs="Calibri"/>
                <w:color w:val="1D1D1B"/>
                <w:kern w:val="0"/>
                <w:sz w:val="16"/>
                <w:szCs w:val="16"/>
                <w:lang w:eastAsia="zh-CN"/>
                <w14:ligatures w14:val="none"/>
              </w:rPr>
              <w:t>香港特别行政区   </w:t>
            </w:r>
          </w:p>
        </w:tc>
        <w:tc>
          <w:tcPr>
            <w:tcW w:w="1410" w:type="dxa"/>
            <w:tcBorders>
              <w:top w:val="nil"/>
              <w:left w:val="nil"/>
              <w:bottom w:val="single" w:sz="6" w:space="0" w:color="auto"/>
              <w:right w:val="single" w:sz="6" w:space="0" w:color="auto"/>
            </w:tcBorders>
          </w:tcPr>
          <w:p w14:paraId="420E445C"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4   </w:t>
            </w:r>
          </w:p>
        </w:tc>
      </w:tr>
      <w:tr w:rsidR="00D61BF9" w14:paraId="08BC9D9C" w14:textId="77777777">
        <w:trPr>
          <w:trHeight w:val="240"/>
        </w:trPr>
        <w:tc>
          <w:tcPr>
            <w:tcW w:w="1665" w:type="dxa"/>
            <w:tcBorders>
              <w:top w:val="nil"/>
              <w:left w:val="single" w:sz="6" w:space="0" w:color="auto"/>
              <w:bottom w:val="single" w:sz="6" w:space="0" w:color="auto"/>
              <w:right w:val="single" w:sz="6" w:space="0" w:color="auto"/>
            </w:tcBorders>
          </w:tcPr>
          <w:p w14:paraId="0BAD9C60"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国际学生   </w:t>
            </w:r>
          </w:p>
        </w:tc>
        <w:tc>
          <w:tcPr>
            <w:tcW w:w="675" w:type="dxa"/>
            <w:tcBorders>
              <w:top w:val="nil"/>
              <w:left w:val="nil"/>
              <w:bottom w:val="single" w:sz="6" w:space="0" w:color="auto"/>
              <w:right w:val="single" w:sz="6" w:space="0" w:color="auto"/>
            </w:tcBorders>
          </w:tcPr>
          <w:p w14:paraId="1E54BCF5"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2.50%   </w:t>
            </w:r>
          </w:p>
        </w:tc>
        <w:tc>
          <w:tcPr>
            <w:tcW w:w="3570" w:type="dxa"/>
            <w:tcBorders>
              <w:top w:val="nil"/>
              <w:left w:val="nil"/>
              <w:bottom w:val="single" w:sz="6" w:space="0" w:color="auto"/>
              <w:right w:val="single" w:sz="6" w:space="0" w:color="auto"/>
            </w:tcBorders>
          </w:tcPr>
          <w:p w14:paraId="33E1D1AE"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麦地那国际大学   </w:t>
            </w:r>
          </w:p>
        </w:tc>
        <w:tc>
          <w:tcPr>
            <w:tcW w:w="1665" w:type="dxa"/>
            <w:tcBorders>
              <w:top w:val="nil"/>
              <w:left w:val="nil"/>
              <w:bottom w:val="single" w:sz="6" w:space="0" w:color="auto"/>
              <w:right w:val="single" w:sz="6" w:space="0" w:color="auto"/>
            </w:tcBorders>
          </w:tcPr>
          <w:p w14:paraId="7935CF68"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马来西亚   </w:t>
            </w:r>
          </w:p>
        </w:tc>
        <w:tc>
          <w:tcPr>
            <w:tcW w:w="1410" w:type="dxa"/>
            <w:tcBorders>
              <w:top w:val="nil"/>
              <w:left w:val="nil"/>
              <w:bottom w:val="single" w:sz="6" w:space="0" w:color="auto"/>
              <w:right w:val="single" w:sz="6" w:space="0" w:color="auto"/>
            </w:tcBorders>
          </w:tcPr>
          <w:p w14:paraId="2062C8C3"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851-900   </w:t>
            </w:r>
          </w:p>
        </w:tc>
      </w:tr>
      <w:tr w:rsidR="00D61BF9" w14:paraId="76E4472D" w14:textId="77777777">
        <w:trPr>
          <w:trHeight w:val="270"/>
        </w:trPr>
        <w:tc>
          <w:tcPr>
            <w:tcW w:w="1665" w:type="dxa"/>
            <w:tcBorders>
              <w:top w:val="nil"/>
              <w:left w:val="single" w:sz="6" w:space="0" w:color="auto"/>
              <w:bottom w:val="single" w:sz="6" w:space="0" w:color="auto"/>
              <w:right w:val="single" w:sz="6" w:space="0" w:color="auto"/>
            </w:tcBorders>
          </w:tcPr>
          <w:p w14:paraId="46F72910"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SimSun" w:hAnsi="Calibri" w:cs="Calibri" w:hint="eastAsia"/>
                <w:color w:val="1D1D1B"/>
                <w:kern w:val="0"/>
                <w:sz w:val="16"/>
                <w:szCs w:val="16"/>
                <w:lang w:val="en-US" w:eastAsia="zh-CN"/>
                <w14:ligatures w14:val="none"/>
              </w:rPr>
              <w:t>入境</w:t>
            </w:r>
            <w:r>
              <w:rPr>
                <w:rFonts w:ascii="Calibri" w:eastAsia="Times New Roman" w:hAnsi="Calibri" w:cs="Calibri"/>
                <w:color w:val="1D1D1B"/>
                <w:kern w:val="0"/>
                <w:sz w:val="16"/>
                <w:szCs w:val="16"/>
                <w:lang w:eastAsia="en-GB"/>
                <w14:ligatures w14:val="none"/>
              </w:rPr>
              <w:t>交换生   </w:t>
            </w:r>
          </w:p>
        </w:tc>
        <w:tc>
          <w:tcPr>
            <w:tcW w:w="675" w:type="dxa"/>
            <w:tcBorders>
              <w:top w:val="nil"/>
              <w:left w:val="nil"/>
              <w:bottom w:val="single" w:sz="6" w:space="0" w:color="auto"/>
              <w:right w:val="single" w:sz="6" w:space="0" w:color="auto"/>
            </w:tcBorders>
          </w:tcPr>
          <w:p w14:paraId="12EF17EB"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2.50%   </w:t>
            </w:r>
          </w:p>
        </w:tc>
        <w:tc>
          <w:tcPr>
            <w:tcW w:w="3570" w:type="dxa"/>
            <w:tcBorders>
              <w:top w:val="nil"/>
              <w:left w:val="nil"/>
              <w:bottom w:val="single" w:sz="6" w:space="0" w:color="auto"/>
              <w:right w:val="single" w:sz="6" w:space="0" w:color="auto"/>
            </w:tcBorders>
          </w:tcPr>
          <w:p w14:paraId="79754252"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SimSun" w:hAnsi="Calibri" w:cs="Calibri" w:hint="eastAsia"/>
                <w:color w:val="1D1D1B"/>
                <w:kern w:val="0"/>
                <w:sz w:val="16"/>
                <w:szCs w:val="16"/>
                <w:lang w:val="en-US" w:eastAsia="zh-CN"/>
                <w14:ligatures w14:val="none"/>
              </w:rPr>
              <w:t>美兰</w:t>
            </w:r>
            <w:r>
              <w:rPr>
                <w:rFonts w:ascii="Calibri" w:eastAsia="Times New Roman" w:hAnsi="Calibri" w:cs="Calibri"/>
                <w:color w:val="1D1D1B"/>
                <w:kern w:val="0"/>
                <w:sz w:val="16"/>
                <w:szCs w:val="16"/>
                <w:lang w:eastAsia="en-GB"/>
                <w14:ligatures w14:val="none"/>
              </w:rPr>
              <w:t>大学   </w:t>
            </w:r>
          </w:p>
        </w:tc>
        <w:tc>
          <w:tcPr>
            <w:tcW w:w="1665" w:type="dxa"/>
            <w:tcBorders>
              <w:top w:val="nil"/>
              <w:left w:val="nil"/>
              <w:bottom w:val="single" w:sz="6" w:space="0" w:color="auto"/>
              <w:right w:val="single" w:sz="6" w:space="0" w:color="auto"/>
            </w:tcBorders>
          </w:tcPr>
          <w:p w14:paraId="227E4D96"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马来西亚   </w:t>
            </w:r>
          </w:p>
        </w:tc>
        <w:tc>
          <w:tcPr>
            <w:tcW w:w="1410" w:type="dxa"/>
            <w:tcBorders>
              <w:top w:val="nil"/>
              <w:left w:val="nil"/>
              <w:bottom w:val="single" w:sz="6" w:space="0" w:color="auto"/>
              <w:right w:val="single" w:sz="6" w:space="0" w:color="auto"/>
            </w:tcBorders>
          </w:tcPr>
          <w:p w14:paraId="62732877"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390   </w:t>
            </w:r>
          </w:p>
        </w:tc>
      </w:tr>
      <w:tr w:rsidR="00D61BF9" w14:paraId="0E462174" w14:textId="77777777">
        <w:trPr>
          <w:trHeight w:val="285"/>
        </w:trPr>
        <w:tc>
          <w:tcPr>
            <w:tcW w:w="1665" w:type="dxa"/>
            <w:tcBorders>
              <w:top w:val="nil"/>
              <w:left w:val="single" w:sz="6" w:space="0" w:color="auto"/>
              <w:bottom w:val="single" w:sz="6" w:space="0" w:color="auto"/>
              <w:right w:val="single" w:sz="6" w:space="0" w:color="auto"/>
            </w:tcBorders>
          </w:tcPr>
          <w:p w14:paraId="2E8B8368"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出境交换生   </w:t>
            </w:r>
          </w:p>
        </w:tc>
        <w:tc>
          <w:tcPr>
            <w:tcW w:w="675" w:type="dxa"/>
            <w:tcBorders>
              <w:top w:val="nil"/>
              <w:left w:val="nil"/>
              <w:bottom w:val="single" w:sz="6" w:space="0" w:color="auto"/>
              <w:right w:val="single" w:sz="6" w:space="0" w:color="auto"/>
            </w:tcBorders>
          </w:tcPr>
          <w:p w14:paraId="393D0293"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2.50%   </w:t>
            </w:r>
          </w:p>
        </w:tc>
        <w:tc>
          <w:tcPr>
            <w:tcW w:w="3570" w:type="dxa"/>
            <w:tcBorders>
              <w:top w:val="nil"/>
              <w:left w:val="nil"/>
              <w:bottom w:val="single" w:sz="6" w:space="0" w:color="auto"/>
              <w:right w:val="single" w:sz="6" w:space="0" w:color="auto"/>
            </w:tcBorders>
          </w:tcPr>
          <w:p w14:paraId="74989A6A" w14:textId="77777777" w:rsidR="00D61BF9" w:rsidRDefault="00000000">
            <w:pPr>
              <w:spacing w:after="0" w:line="240" w:lineRule="auto"/>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香港城市大学（CityUHK）   </w:t>
            </w:r>
          </w:p>
        </w:tc>
        <w:tc>
          <w:tcPr>
            <w:tcW w:w="1665" w:type="dxa"/>
            <w:tcBorders>
              <w:top w:val="nil"/>
              <w:left w:val="nil"/>
              <w:bottom w:val="single" w:sz="6" w:space="0" w:color="auto"/>
              <w:right w:val="single" w:sz="6" w:space="0" w:color="auto"/>
            </w:tcBorders>
          </w:tcPr>
          <w:p w14:paraId="1D68CC9F" w14:textId="77777777" w:rsidR="00D61BF9" w:rsidRDefault="00000000">
            <w:pPr>
              <w:spacing w:after="0" w:line="240" w:lineRule="auto"/>
              <w:textAlignment w:val="baseline"/>
              <w:rPr>
                <w:rFonts w:ascii="Times New Roman" w:eastAsia="Times New Roman" w:hAnsi="Times New Roman" w:cs="Times New Roman"/>
                <w:kern w:val="0"/>
                <w:lang w:eastAsia="zh-CN"/>
                <w14:ligatures w14:val="none"/>
              </w:rPr>
            </w:pPr>
            <w:r>
              <w:rPr>
                <w:rFonts w:ascii="Calibri" w:eastAsia="SimSun" w:hAnsi="Calibri" w:cs="Calibri" w:hint="eastAsia"/>
                <w:color w:val="1D1D1B"/>
                <w:kern w:val="0"/>
                <w:sz w:val="16"/>
                <w:szCs w:val="16"/>
                <w:lang w:val="en-US" w:eastAsia="zh-CN"/>
                <w14:ligatures w14:val="none"/>
              </w:rPr>
              <w:t>中国</w:t>
            </w:r>
            <w:r>
              <w:rPr>
                <w:rFonts w:ascii="Calibri" w:eastAsia="Times New Roman" w:hAnsi="Calibri" w:cs="Calibri"/>
                <w:color w:val="1D1D1B"/>
                <w:kern w:val="0"/>
                <w:sz w:val="16"/>
                <w:szCs w:val="16"/>
                <w:lang w:eastAsia="zh-CN"/>
                <w14:ligatures w14:val="none"/>
              </w:rPr>
              <w:t>香港特别行政区   </w:t>
            </w:r>
          </w:p>
        </w:tc>
        <w:tc>
          <w:tcPr>
            <w:tcW w:w="1410" w:type="dxa"/>
            <w:tcBorders>
              <w:top w:val="nil"/>
              <w:left w:val="nil"/>
              <w:bottom w:val="single" w:sz="6" w:space="0" w:color="auto"/>
              <w:right w:val="single" w:sz="6" w:space="0" w:color="auto"/>
            </w:tcBorders>
          </w:tcPr>
          <w:p w14:paraId="587EA9D4" w14:textId="77777777" w:rsidR="00D61BF9" w:rsidRDefault="00000000">
            <w:pPr>
              <w:spacing w:after="0" w:line="240" w:lineRule="auto"/>
              <w:jc w:val="center"/>
              <w:textAlignment w:val="baseline"/>
              <w:rPr>
                <w:rFonts w:ascii="Times New Roman" w:eastAsia="Times New Roman" w:hAnsi="Times New Roman" w:cs="Times New Roman"/>
                <w:kern w:val="0"/>
                <w:lang w:eastAsia="en-GB"/>
                <w14:ligatures w14:val="none"/>
              </w:rPr>
            </w:pPr>
            <w:r>
              <w:rPr>
                <w:rFonts w:ascii="Calibri" w:eastAsia="Times New Roman" w:hAnsi="Calibri" w:cs="Calibri"/>
                <w:color w:val="1D1D1B"/>
                <w:kern w:val="0"/>
                <w:sz w:val="16"/>
                <w:szCs w:val="16"/>
                <w:lang w:eastAsia="en-GB"/>
                <w14:ligatures w14:val="none"/>
              </w:rPr>
              <w:t>4   </w:t>
            </w:r>
          </w:p>
        </w:tc>
      </w:tr>
    </w:tbl>
    <w:p w14:paraId="337E2726" w14:textId="77777777" w:rsidR="00D61BF9" w:rsidRDefault="00D61BF9">
      <w:pPr>
        <w:spacing w:after="0" w:line="240" w:lineRule="auto"/>
        <w:jc w:val="both"/>
        <w:textAlignment w:val="baseline"/>
        <w:rPr>
          <w:rFonts w:ascii="Segoe UI" w:eastAsia="Times New Roman" w:hAnsi="Segoe UI" w:cs="Segoe UI"/>
          <w:kern w:val="0"/>
          <w:sz w:val="18"/>
          <w:szCs w:val="18"/>
          <w:lang w:eastAsia="en-GB"/>
          <w14:ligatures w14:val="none"/>
        </w:rPr>
      </w:pPr>
    </w:p>
    <w:p w14:paraId="22D7302D" w14:textId="77777777" w:rsidR="00D61BF9" w:rsidRDefault="00000000">
      <w:pPr>
        <w:jc w:val="both"/>
        <w:textAlignment w:val="baseline"/>
        <w:rPr>
          <w:rFonts w:ascii="Microsoft YaHei" w:eastAsia="Microsoft YaHei" w:hAnsi="Microsoft YaHei" w:cs="Microsoft YaHei"/>
          <w:kern w:val="0"/>
          <w:sz w:val="22"/>
          <w:szCs w:val="22"/>
          <w:lang w:val="en-US" w:eastAsia="zh-CN"/>
          <w14:ligatures w14:val="none"/>
        </w:rPr>
      </w:pPr>
      <w:r>
        <w:rPr>
          <w:rFonts w:ascii="Calibri" w:eastAsia="Times New Roman" w:hAnsi="Calibri" w:cs="Calibri"/>
          <w:b/>
          <w:bCs/>
          <w:kern w:val="0"/>
          <w:sz w:val="22"/>
          <w:szCs w:val="22"/>
          <w:lang w:eastAsia="zh-CN"/>
          <w14:ligatures w14:val="none"/>
        </w:rPr>
        <w:t>QS</w:t>
      </w:r>
      <w:r>
        <w:rPr>
          <w:rFonts w:ascii="Microsoft YaHei" w:eastAsia="Microsoft YaHei" w:hAnsi="Microsoft YaHei" w:cs="Microsoft YaHei" w:hint="eastAsia"/>
          <w:b/>
          <w:bCs/>
          <w:kern w:val="0"/>
          <w:sz w:val="22"/>
          <w:szCs w:val="22"/>
          <w:lang w:eastAsia="zh-CN"/>
          <w14:ligatures w14:val="none"/>
        </w:rPr>
        <w:t>高级副总裁本</w:t>
      </w:r>
      <w:r>
        <w:rPr>
          <w:rFonts w:ascii="Calibri" w:eastAsia="Times New Roman" w:hAnsi="Calibri" w:cs="Calibri"/>
          <w:b/>
          <w:bCs/>
          <w:kern w:val="0"/>
          <w:sz w:val="22"/>
          <w:szCs w:val="22"/>
          <w:lang w:eastAsia="zh-CN"/>
          <w14:ligatures w14:val="none"/>
        </w:rPr>
        <w:t>·</w:t>
      </w:r>
      <w:r>
        <w:rPr>
          <w:rFonts w:ascii="Microsoft YaHei" w:eastAsia="Microsoft YaHei" w:hAnsi="Microsoft YaHei" w:cs="Microsoft YaHei" w:hint="eastAsia"/>
          <w:b/>
          <w:bCs/>
          <w:kern w:val="0"/>
          <w:sz w:val="22"/>
          <w:szCs w:val="22"/>
          <w:lang w:eastAsia="zh-CN"/>
          <w14:ligatures w14:val="none"/>
        </w:rPr>
        <w:t>索特</w:t>
      </w:r>
      <w:r>
        <w:rPr>
          <w:rFonts w:ascii="Microsoft YaHei" w:eastAsia="Microsoft YaHei" w:hAnsi="Microsoft YaHei" w:cs="Microsoft YaHei" w:hint="eastAsia"/>
          <w:kern w:val="0"/>
          <w:sz w:val="22"/>
          <w:szCs w:val="22"/>
          <w:lang w:eastAsia="zh-CN"/>
          <w14:ligatures w14:val="none"/>
        </w:rPr>
        <w:t>表示：“</w:t>
      </w:r>
      <w:r>
        <w:rPr>
          <w:rFonts w:ascii="Microsoft YaHei" w:eastAsia="Microsoft YaHei" w:hAnsi="Microsoft YaHei" w:cs="Microsoft YaHei"/>
          <w:kern w:val="0"/>
          <w:sz w:val="22"/>
          <w:szCs w:val="22"/>
          <w:lang w:val="en-US" w:eastAsia="zh-CN"/>
          <w14:ligatures w14:val="none"/>
        </w:rPr>
        <w:t>今年的排名涵盖26个高等教育体系的1,700多所大学，为这一持续塑造全球高等教育未来的地区提供了重要的比较基准。排名显示，随着亚洲高等教育版图日益多元并迅速扩大，区域竞争也愈发激烈，但在卓越研究、国际参与和学术声誉方面表现突出的院校，仍在不断巩固其领先地位。</w:t>
      </w:r>
    </w:p>
    <w:p w14:paraId="345FF65B" w14:textId="77777777" w:rsidR="00D61BF9" w:rsidRDefault="00000000">
      <w:pPr>
        <w:jc w:val="both"/>
        <w:textAlignment w:val="baseline"/>
        <w:rPr>
          <w:rFonts w:ascii="Microsoft YaHei" w:eastAsia="Microsoft YaHei" w:hAnsi="Microsoft YaHei" w:cs="Microsoft YaHei"/>
          <w:kern w:val="0"/>
          <w:sz w:val="22"/>
          <w:szCs w:val="22"/>
          <w:lang w:val="en-US" w:eastAsia="zh-CN"/>
          <w14:ligatures w14:val="none"/>
        </w:rPr>
      </w:pPr>
      <w:r>
        <w:rPr>
          <w:rFonts w:ascii="Microsoft YaHei" w:eastAsia="Microsoft YaHei" w:hAnsi="Microsoft YaHei" w:cs="Microsoft YaHei"/>
          <w:kern w:val="0"/>
          <w:sz w:val="22"/>
          <w:szCs w:val="22"/>
          <w:lang w:val="en-US" w:eastAsia="zh-CN"/>
          <w14:ligatures w14:val="none"/>
        </w:rPr>
        <w:t>香港大学连续第二年蝉联榜首；中国内地高校的表现同样亮眼，两所大学自2023年以来首次跻身前三，另有七所院校进入前20名，数量超过其他任何高等教育体系。中国香港特别行政</w:t>
      </w:r>
      <w:r>
        <w:rPr>
          <w:rFonts w:ascii="Microsoft YaHei" w:eastAsia="Microsoft YaHei" w:hAnsi="Microsoft YaHei" w:cs="Microsoft YaHei"/>
          <w:kern w:val="0"/>
          <w:sz w:val="22"/>
          <w:szCs w:val="22"/>
          <w:lang w:val="en-US" w:eastAsia="zh-CN"/>
          <w14:ligatures w14:val="none"/>
        </w:rPr>
        <w:lastRenderedPageBreak/>
        <w:t>区进一步巩固了其作为亚洲顶尖高等教育体系之一的地位，共有五所大学跻身前十；在拥有至少五所上榜大学的高等教育体系中，其院校排名的整体净提升幅度也位居首位。新加坡顶尖大学依然稳居亚洲一流高校之列，不过随着区域竞争加剧，新加坡国立大学和南洋理工大学均跌出前五名。</w:t>
      </w:r>
    </w:p>
    <w:p w14:paraId="607AC9E3" w14:textId="77777777" w:rsidR="00D61BF9" w:rsidRDefault="00000000">
      <w:pPr>
        <w:jc w:val="both"/>
        <w:textAlignment w:val="baseline"/>
        <w:rPr>
          <w:rFonts w:ascii="Microsoft YaHei" w:eastAsia="Microsoft YaHei" w:hAnsi="Microsoft YaHei" w:cs="Microsoft YaHei"/>
          <w:kern w:val="0"/>
          <w:sz w:val="22"/>
          <w:szCs w:val="22"/>
          <w:lang w:val="en-US" w:eastAsia="zh-CN"/>
          <w14:ligatures w14:val="none"/>
        </w:rPr>
      </w:pPr>
      <w:r>
        <w:rPr>
          <w:rFonts w:ascii="Microsoft YaHei" w:eastAsia="Microsoft YaHei" w:hAnsi="Microsoft YaHei" w:cs="Microsoft YaHei"/>
          <w:kern w:val="0"/>
          <w:sz w:val="22"/>
          <w:szCs w:val="22"/>
          <w:lang w:val="en-US" w:eastAsia="zh-CN"/>
          <w14:ligatures w14:val="none"/>
        </w:rPr>
        <w:t>在亚洲其他地区，多个高等教育体系也取得了历史性突破。马来西亚高校取得了一系列突破性成绩：马来西亚国立大学创下历史最佳排名，双威大学则首次跻身前50名。韩国进一步巩固了在榜单前列的优势，共有六所大学跻身前20名；中亚高等教育的整体表现也继续提升，乌兹别克斯坦的上榜大学数量有所增加，哈萨克斯坦的法拉比大学则继续保持其作为该地区领先高校的地位。</w:t>
      </w:r>
      <w:r>
        <w:rPr>
          <w:rFonts w:ascii="Microsoft YaHei" w:eastAsia="Microsoft YaHei" w:hAnsi="Microsoft YaHei" w:cs="Microsoft YaHei" w:hint="eastAsia"/>
          <w:kern w:val="0"/>
          <w:sz w:val="22"/>
          <w:szCs w:val="22"/>
          <w:lang w:val="en-US" w:eastAsia="zh-CN"/>
          <w14:ligatures w14:val="none"/>
        </w:rPr>
        <w:t>“</w:t>
      </w:r>
    </w:p>
    <w:p w14:paraId="1E16E03F" w14:textId="77777777" w:rsidR="00D61BF9" w:rsidRDefault="00000000">
      <w:pPr>
        <w:jc w:val="both"/>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22"/>
          <w:szCs w:val="22"/>
          <w:lang w:eastAsia="zh-CN"/>
          <w14:ligatures w14:val="none"/>
        </w:rPr>
        <w:t>”</w:t>
      </w:r>
    </w:p>
    <w:p w14:paraId="6EA596CB" w14:textId="77777777" w:rsidR="00D61BF9" w:rsidRDefault="00000000">
      <w:pPr>
        <w:textAlignment w:val="baseline"/>
        <w:rPr>
          <w:rFonts w:ascii="Segoe UI" w:eastAsia="Times New Roman" w:hAnsi="Segoe UI" w:cs="Segoe UI"/>
          <w:kern w:val="0"/>
          <w:sz w:val="18"/>
          <w:szCs w:val="18"/>
          <w:lang w:eastAsia="zh-CN"/>
          <w14:ligatures w14:val="none"/>
        </w:rPr>
      </w:pPr>
      <w:r>
        <w:rPr>
          <w:rFonts w:ascii="Microsoft YaHei" w:eastAsia="Microsoft YaHei" w:hAnsi="Microsoft YaHei" w:cs="Microsoft YaHei" w:hint="eastAsia"/>
          <w:kern w:val="0"/>
          <w:sz w:val="22"/>
          <w:szCs w:val="22"/>
          <w:lang w:val="en-US" w:eastAsia="zh-CN"/>
          <w14:ligatures w14:val="none"/>
        </w:rPr>
        <w:t>完</w:t>
      </w:r>
      <w:r>
        <w:rPr>
          <w:rFonts w:ascii="Calibri" w:eastAsia="Times New Roman" w:hAnsi="Calibri" w:cs="Calibri"/>
          <w:kern w:val="0"/>
          <w:sz w:val="22"/>
          <w:szCs w:val="22"/>
          <w:lang w:val="en-US" w:eastAsia="zh-CN"/>
          <w14:ligatures w14:val="none"/>
        </w:rPr>
        <w:t>整的《</w:t>
      </w:r>
      <w:r>
        <w:rPr>
          <w:rFonts w:ascii="Calibri" w:eastAsia="SimSun" w:hAnsi="Calibri" w:cs="Calibri" w:hint="eastAsia"/>
          <w:b/>
          <w:bCs/>
          <w:kern w:val="0"/>
          <w:sz w:val="22"/>
          <w:szCs w:val="22"/>
          <w:lang w:val="en-US" w:eastAsia="zh-CN"/>
          <w14:ligatures w14:val="none"/>
        </w:rPr>
        <w:t>2027QS</w:t>
      </w:r>
      <w:r>
        <w:rPr>
          <w:rFonts w:ascii="Calibri" w:eastAsia="SimSun" w:hAnsi="Calibri" w:cs="Calibri" w:hint="eastAsia"/>
          <w:b/>
          <w:bCs/>
          <w:kern w:val="0"/>
          <w:sz w:val="22"/>
          <w:szCs w:val="22"/>
          <w:lang w:val="en-US" w:eastAsia="zh-CN"/>
          <w14:ligatures w14:val="none"/>
        </w:rPr>
        <w:t>亚洲大学排名</w:t>
      </w:r>
      <w:r>
        <w:rPr>
          <w:rFonts w:ascii="Calibri" w:eastAsia="Times New Roman" w:hAnsi="Calibri" w:cs="Calibri"/>
          <w:b/>
          <w:bCs/>
          <w:kern w:val="0"/>
          <w:sz w:val="22"/>
          <w:szCs w:val="22"/>
          <w:lang w:val="en-US" w:eastAsia="zh-CN"/>
          <w14:ligatures w14:val="none"/>
        </w:rPr>
        <w:t>》</w:t>
      </w:r>
      <w:r>
        <w:rPr>
          <w:rFonts w:ascii="Calibri" w:eastAsia="Times New Roman" w:hAnsi="Calibri" w:cs="Calibri"/>
          <w:kern w:val="0"/>
          <w:sz w:val="22"/>
          <w:szCs w:val="22"/>
          <w:lang w:val="en-US" w:eastAsia="zh-CN"/>
          <w14:ligatures w14:val="none"/>
        </w:rPr>
        <w:t>将在禁令解除后发布，并可在</w:t>
      </w:r>
      <w:hyperlink r:id="rId31" w:tgtFrame="_blank" w:history="1">
        <w:r>
          <w:rPr>
            <w:rFonts w:ascii="Calibri" w:eastAsia="Times New Roman" w:hAnsi="Calibri" w:cs="Calibri"/>
            <w:color w:val="467886"/>
            <w:kern w:val="0"/>
            <w:sz w:val="22"/>
            <w:szCs w:val="22"/>
            <w:u w:val="single"/>
            <w:lang w:eastAsia="zh-CN"/>
            <w14:ligatures w14:val="none"/>
          </w:rPr>
          <w:t xml:space="preserve"> https://www.topuniversities.com/asia-university-rankings</w:t>
        </w:r>
      </w:hyperlink>
      <w:r>
        <w:rPr>
          <w:rFonts w:ascii="Calibri" w:eastAsia="Times New Roman" w:hAnsi="Calibri" w:cs="Calibri"/>
          <w:kern w:val="0"/>
          <w:sz w:val="22"/>
          <w:szCs w:val="22"/>
          <w:lang w:val="en-US" w:eastAsia="zh-CN"/>
          <w14:ligatures w14:val="none"/>
        </w:rPr>
        <w:t xml:space="preserve"> 查阅</w:t>
      </w:r>
    </w:p>
    <w:p w14:paraId="6196D5A4" w14:textId="77777777" w:rsidR="00D61BF9" w:rsidRDefault="00000000">
      <w:pPr>
        <w:jc w:val="cente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22"/>
          <w:szCs w:val="22"/>
          <w:lang w:eastAsia="zh-CN"/>
          <w14:ligatures w14:val="none"/>
        </w:rPr>
        <w:t xml:space="preserve"> -完-</w:t>
      </w:r>
    </w:p>
    <w:p w14:paraId="728EE3FE" w14:textId="77777777" w:rsidR="00D61BF9" w:rsidRDefault="00000000">
      <w:pPr>
        <w:textAlignment w:val="baseline"/>
        <w:rPr>
          <w:rFonts w:ascii="Segoe UI" w:eastAsia="Times New Roman" w:hAnsi="Segoe UI" w:cs="Segoe UI"/>
          <w:kern w:val="0"/>
          <w:sz w:val="18"/>
          <w:szCs w:val="18"/>
          <w:lang w:eastAsia="zh-CN"/>
          <w14:ligatures w14:val="none"/>
        </w:rPr>
      </w:pPr>
      <w:r>
        <w:rPr>
          <w:rFonts w:ascii="Calibri" w:eastAsia="Times New Roman" w:hAnsi="Calibri" w:cs="Calibri"/>
          <w:kern w:val="0"/>
          <w:sz w:val="22"/>
          <w:szCs w:val="22"/>
          <w:lang w:eastAsia="zh-CN"/>
          <w14:ligatures w14:val="none"/>
        </w:rPr>
        <w:t>如需了解更多信息或申请采访QS分析师，请联系：</w:t>
      </w:r>
    </w:p>
    <w:p w14:paraId="6ECD8B4B" w14:textId="77777777" w:rsidR="00D61BF9" w:rsidRPr="0020441B" w:rsidRDefault="00000000">
      <w:pPr>
        <w:spacing w:after="0" w:line="240" w:lineRule="auto"/>
        <w:textAlignment w:val="baseline"/>
        <w:rPr>
          <w:rFonts w:ascii="Segoe UI" w:eastAsia="Times New Roman" w:hAnsi="Segoe UI" w:cs="Segoe UI"/>
          <w:kern w:val="0"/>
          <w:sz w:val="18"/>
          <w:szCs w:val="18"/>
          <w:lang w:val="it-IT" w:eastAsia="en-GB"/>
          <w14:ligatures w14:val="none"/>
        </w:rPr>
      </w:pPr>
      <w:r w:rsidRPr="0020441B">
        <w:rPr>
          <w:rFonts w:ascii="Calibri" w:eastAsia="Times New Roman" w:hAnsi="Calibri" w:cs="Calibri"/>
          <w:b/>
          <w:bCs/>
          <w:kern w:val="0"/>
          <w:sz w:val="22"/>
          <w:szCs w:val="22"/>
          <w:lang w:val="it-IT" w:eastAsia="en-GB"/>
          <w14:ligatures w14:val="none"/>
        </w:rPr>
        <w:t>Simona Bizzozero</w:t>
      </w:r>
      <w:r w:rsidRPr="0020441B">
        <w:rPr>
          <w:rFonts w:ascii="Calibri" w:eastAsia="Times New Roman" w:hAnsi="Calibri" w:cs="Calibri"/>
          <w:kern w:val="0"/>
          <w:sz w:val="22"/>
          <w:szCs w:val="22"/>
          <w:lang w:val="it-IT" w:eastAsia="en-GB"/>
          <w14:ligatures w14:val="none"/>
        </w:rPr>
        <w:t>      </w:t>
      </w:r>
      <w:r w:rsidRPr="0020441B">
        <w:rPr>
          <w:rFonts w:ascii="Calibri" w:eastAsia="Times New Roman" w:hAnsi="Calibri" w:cs="Calibri"/>
          <w:kern w:val="0"/>
          <w:sz w:val="22"/>
          <w:szCs w:val="22"/>
          <w:lang w:val="it-IT" w:eastAsia="en-GB"/>
          <w14:ligatures w14:val="none"/>
        </w:rPr>
        <w:br/>
        <w:t xml:space="preserve"> QS</w:t>
      </w:r>
      <w:r>
        <w:rPr>
          <w:rFonts w:ascii="Calibri" w:eastAsia="Times New Roman" w:hAnsi="Calibri" w:cs="Calibri"/>
          <w:kern w:val="0"/>
          <w:sz w:val="22"/>
          <w:szCs w:val="22"/>
          <w:lang w:val="en-US" w:eastAsia="en-GB"/>
          <w14:ligatures w14:val="none"/>
        </w:rPr>
        <w:t>全球传播总监</w:t>
      </w:r>
      <w:r w:rsidRPr="0020441B">
        <w:rPr>
          <w:rFonts w:ascii="Calibri" w:eastAsia="Times New Roman" w:hAnsi="Calibri" w:cs="Calibri"/>
          <w:kern w:val="0"/>
          <w:sz w:val="22"/>
          <w:szCs w:val="22"/>
          <w:lang w:val="it-IT" w:eastAsia="en-GB"/>
          <w14:ligatures w14:val="none"/>
        </w:rPr>
        <w:t>      </w:t>
      </w:r>
      <w:r w:rsidRPr="0020441B">
        <w:rPr>
          <w:rFonts w:ascii="Calibri" w:eastAsia="Times New Roman" w:hAnsi="Calibri" w:cs="Calibri"/>
          <w:kern w:val="0"/>
          <w:sz w:val="22"/>
          <w:szCs w:val="22"/>
          <w:lang w:val="it-IT" w:eastAsia="en-GB"/>
          <w14:ligatures w14:val="none"/>
        </w:rPr>
        <w:br/>
        <w:t xml:space="preserve"> simona@qs.com |  +44 (0) 7880 620856 | </w:t>
      </w:r>
      <w:hyperlink r:id="rId32" w:tgtFrame="_blank" w:history="1">
        <w:r w:rsidRPr="0020441B">
          <w:rPr>
            <w:rFonts w:ascii="Calibri" w:eastAsia="Times New Roman" w:hAnsi="Calibri" w:cs="Calibri"/>
            <w:color w:val="467886"/>
            <w:kern w:val="0"/>
            <w:sz w:val="22"/>
            <w:szCs w:val="22"/>
            <w:u w:val="single"/>
            <w:lang w:val="it-IT" w:eastAsia="en-GB"/>
            <w14:ligatures w14:val="none"/>
          </w:rPr>
          <w:t>LinkedIn</w:t>
        </w:r>
      </w:hyperlink>
      <w:r w:rsidRPr="0020441B">
        <w:rPr>
          <w:rFonts w:ascii="Calibri" w:eastAsia="Times New Roman" w:hAnsi="Calibri" w:cs="Calibri"/>
          <w:kern w:val="0"/>
          <w:sz w:val="22"/>
          <w:szCs w:val="22"/>
          <w:lang w:val="it-IT" w:eastAsia="en-GB"/>
          <w14:ligatures w14:val="none"/>
        </w:rPr>
        <w:t xml:space="preserve"> </w:t>
      </w:r>
    </w:p>
    <w:p w14:paraId="5E65BE8B" w14:textId="77777777" w:rsidR="00D61BF9" w:rsidRPr="0020441B" w:rsidRDefault="00D61BF9">
      <w:pPr>
        <w:spacing w:after="0" w:line="240" w:lineRule="auto"/>
        <w:textAlignment w:val="baseline"/>
        <w:rPr>
          <w:rFonts w:ascii="Segoe UI" w:eastAsia="Times New Roman" w:hAnsi="Segoe UI" w:cs="Segoe UI"/>
          <w:kern w:val="0"/>
          <w:sz w:val="18"/>
          <w:szCs w:val="18"/>
          <w:lang w:val="it-IT" w:eastAsia="en-GB"/>
          <w14:ligatures w14:val="none"/>
        </w:rPr>
      </w:pPr>
    </w:p>
    <w:p w14:paraId="004BD5E8" w14:textId="77777777" w:rsidR="00D61BF9" w:rsidRPr="0020441B" w:rsidRDefault="00000000">
      <w:pPr>
        <w:spacing w:after="0" w:line="240" w:lineRule="auto"/>
        <w:textAlignment w:val="baseline"/>
        <w:rPr>
          <w:rFonts w:ascii="Segoe UI" w:eastAsia="Times New Roman" w:hAnsi="Segoe UI" w:cs="Segoe UI"/>
          <w:kern w:val="0"/>
          <w:sz w:val="18"/>
          <w:szCs w:val="18"/>
          <w:lang w:val="it-IT" w:eastAsia="en-GB"/>
          <w14:ligatures w14:val="none"/>
        </w:rPr>
      </w:pPr>
      <w:r w:rsidRPr="0020441B">
        <w:rPr>
          <w:rFonts w:ascii="Calibri" w:eastAsia="Times New Roman" w:hAnsi="Calibri" w:cs="Calibri"/>
          <w:b/>
          <w:bCs/>
          <w:kern w:val="0"/>
          <w:sz w:val="22"/>
          <w:szCs w:val="22"/>
          <w:lang w:val="it-IT" w:eastAsia="en-GB"/>
          <w14:ligatures w14:val="none"/>
        </w:rPr>
        <w:t xml:space="preserve">Will Barbieri </w:t>
      </w:r>
      <w:r w:rsidRPr="0020441B">
        <w:rPr>
          <w:rFonts w:ascii="Calibri" w:eastAsia="Times New Roman" w:hAnsi="Calibri" w:cs="Calibri"/>
          <w:kern w:val="0"/>
          <w:sz w:val="22"/>
          <w:szCs w:val="22"/>
          <w:lang w:val="it-IT" w:eastAsia="en-GB"/>
          <w14:ligatures w14:val="none"/>
        </w:rPr>
        <w:t>      </w:t>
      </w:r>
      <w:r w:rsidRPr="0020441B">
        <w:rPr>
          <w:rFonts w:ascii="Calibri" w:eastAsia="Times New Roman" w:hAnsi="Calibri" w:cs="Calibri"/>
          <w:kern w:val="0"/>
          <w:sz w:val="22"/>
          <w:szCs w:val="22"/>
          <w:lang w:val="it-IT" w:eastAsia="en-GB"/>
          <w14:ligatures w14:val="none"/>
        </w:rPr>
        <w:br/>
        <w:t xml:space="preserve"> QS</w:t>
      </w:r>
      <w:r>
        <w:rPr>
          <w:rFonts w:ascii="Calibri" w:eastAsia="Times New Roman" w:hAnsi="Calibri" w:cs="Calibri"/>
          <w:kern w:val="0"/>
          <w:sz w:val="22"/>
          <w:szCs w:val="22"/>
          <w:lang w:val="en-US" w:eastAsia="en-GB"/>
          <w14:ligatures w14:val="none"/>
        </w:rPr>
        <w:t>传播专员</w:t>
      </w:r>
    </w:p>
    <w:p w14:paraId="7859DEF9" w14:textId="77777777" w:rsidR="00D61BF9" w:rsidRPr="0020441B" w:rsidRDefault="00000000">
      <w:pPr>
        <w:spacing w:after="0" w:line="240" w:lineRule="auto"/>
        <w:textAlignment w:val="baseline"/>
        <w:rPr>
          <w:rFonts w:ascii="Segoe UI" w:eastAsia="Times New Roman" w:hAnsi="Segoe UI" w:cs="Segoe UI"/>
          <w:kern w:val="0"/>
          <w:sz w:val="18"/>
          <w:szCs w:val="18"/>
          <w:lang w:val="it-IT" w:eastAsia="zh-CN"/>
          <w14:ligatures w14:val="none"/>
        </w:rPr>
      </w:pPr>
      <w:hyperlink r:id="rId33" w:tgtFrame="_blank" w:history="1">
        <w:r w:rsidRPr="0020441B">
          <w:rPr>
            <w:rFonts w:ascii="Calibri" w:eastAsia="Times New Roman" w:hAnsi="Calibri" w:cs="Calibri"/>
            <w:color w:val="467886"/>
            <w:kern w:val="0"/>
            <w:sz w:val="22"/>
            <w:szCs w:val="22"/>
            <w:u w:val="single"/>
            <w:lang w:val="it-IT" w:eastAsia="zh-CN"/>
            <w14:ligatures w14:val="none"/>
          </w:rPr>
          <w:t>William.barbieri@qs.com</w:t>
        </w:r>
      </w:hyperlink>
    </w:p>
    <w:p w14:paraId="2ACBF16B" w14:textId="77777777" w:rsidR="00D61BF9" w:rsidRPr="0020441B" w:rsidRDefault="00D61BF9">
      <w:pPr>
        <w:spacing w:after="0" w:line="240" w:lineRule="auto"/>
        <w:textAlignment w:val="baseline"/>
        <w:rPr>
          <w:rFonts w:ascii="Segoe UI" w:eastAsia="Times New Roman" w:hAnsi="Segoe UI" w:cs="Segoe UI"/>
          <w:kern w:val="0"/>
          <w:sz w:val="18"/>
          <w:szCs w:val="18"/>
          <w:lang w:val="it-IT" w:eastAsia="zh-CN"/>
          <w14:ligatures w14:val="none"/>
        </w:rPr>
      </w:pPr>
    </w:p>
    <w:p w14:paraId="6CF95A94" w14:textId="77777777" w:rsidR="00D61BF9" w:rsidRPr="0020441B" w:rsidRDefault="00000000">
      <w:pPr>
        <w:textAlignment w:val="baseline"/>
        <w:rPr>
          <w:rFonts w:ascii="Segoe UI" w:eastAsia="Times New Roman" w:hAnsi="Segoe UI" w:cs="Segoe UI"/>
          <w:kern w:val="0"/>
          <w:sz w:val="18"/>
          <w:szCs w:val="18"/>
          <w:lang w:val="it-IT" w:eastAsia="zh-CN"/>
          <w14:ligatures w14:val="none"/>
        </w:rPr>
      </w:pPr>
      <w:r>
        <w:rPr>
          <w:rFonts w:ascii="Calibri" w:eastAsia="Times New Roman" w:hAnsi="Calibri" w:cs="Calibri"/>
          <w:b/>
          <w:bCs/>
          <w:kern w:val="0"/>
          <w:sz w:val="22"/>
          <w:szCs w:val="22"/>
          <w:u w:val="single"/>
          <w:lang w:val="en-US" w:eastAsia="zh-CN"/>
          <w14:ligatures w14:val="none"/>
        </w:rPr>
        <w:t>编辑须知</w:t>
      </w:r>
      <w:r w:rsidRPr="0020441B">
        <w:rPr>
          <w:rFonts w:ascii="Calibri" w:eastAsia="Times New Roman" w:hAnsi="Calibri" w:cs="Calibri"/>
          <w:b/>
          <w:bCs/>
          <w:kern w:val="0"/>
          <w:sz w:val="22"/>
          <w:szCs w:val="22"/>
          <w:u w:val="single"/>
          <w:lang w:val="it-IT" w:eastAsia="zh-CN"/>
          <w14:ligatures w14:val="none"/>
        </w:rPr>
        <w:t xml:space="preserve"> </w:t>
      </w:r>
    </w:p>
    <w:p w14:paraId="3514CF43" w14:textId="77777777" w:rsidR="00D61BF9" w:rsidRPr="0020441B" w:rsidRDefault="00000000">
      <w:pPr>
        <w:textAlignment w:val="baseline"/>
        <w:rPr>
          <w:rFonts w:ascii="Segoe UI" w:eastAsia="Times New Roman" w:hAnsi="Segoe UI" w:cs="Segoe UI"/>
          <w:kern w:val="0"/>
          <w:sz w:val="18"/>
          <w:szCs w:val="18"/>
          <w:lang w:val="it-IT" w:eastAsia="zh-CN"/>
          <w14:ligatures w14:val="none"/>
        </w:rPr>
      </w:pPr>
      <w:r w:rsidRPr="0020441B">
        <w:rPr>
          <w:rFonts w:ascii="Calibri" w:eastAsia="Times New Roman" w:hAnsi="Calibri" w:cs="Calibri"/>
          <w:b/>
          <w:bCs/>
          <w:kern w:val="0"/>
          <w:sz w:val="22"/>
          <w:szCs w:val="22"/>
          <w:lang w:val="it-IT" w:eastAsia="zh-CN"/>
          <w14:ligatures w14:val="none"/>
        </w:rPr>
        <w:t xml:space="preserve">QS Quacquarelli Symonds </w:t>
      </w:r>
      <w:r>
        <w:rPr>
          <w:rFonts w:ascii="Calibri" w:eastAsia="Times New Roman" w:hAnsi="Calibri" w:cs="Calibri"/>
          <w:kern w:val="0"/>
          <w:sz w:val="22"/>
          <w:szCs w:val="22"/>
          <w:lang w:val="en-US" w:eastAsia="zh-CN"/>
          <w14:ligatures w14:val="none"/>
        </w:rPr>
        <w:t>是全球高等教育领域领先的服务、分析与洞察提供</w:t>
      </w:r>
      <w:r>
        <w:rPr>
          <w:rFonts w:ascii="Calibri" w:eastAsia="SimSun" w:hAnsi="Calibri" w:cs="Calibri" w:hint="eastAsia"/>
          <w:kern w:val="0"/>
          <w:sz w:val="22"/>
          <w:szCs w:val="22"/>
          <w:lang w:val="en-US" w:eastAsia="zh-CN"/>
          <w14:ligatures w14:val="none"/>
        </w:rPr>
        <w:t>者</w:t>
      </w:r>
      <w:r w:rsidRPr="0020441B">
        <w:rPr>
          <w:rFonts w:ascii="Calibri" w:eastAsia="Times New Roman" w:hAnsi="Calibri" w:cs="Calibri"/>
          <w:kern w:val="0"/>
          <w:sz w:val="22"/>
          <w:szCs w:val="22"/>
          <w:lang w:val="it-IT" w:eastAsia="zh-CN"/>
          <w14:ligatures w14:val="none"/>
        </w:rPr>
        <w:t>，</w:t>
      </w:r>
      <w:r>
        <w:rPr>
          <w:rFonts w:ascii="Calibri" w:eastAsia="Times New Roman" w:hAnsi="Calibri" w:cs="Calibri"/>
          <w:kern w:val="0"/>
          <w:sz w:val="22"/>
          <w:szCs w:val="22"/>
          <w:lang w:val="en-US" w:eastAsia="zh-CN"/>
          <w14:ligatures w14:val="none"/>
        </w:rPr>
        <w:t>其使命是</w:t>
      </w:r>
      <w:r>
        <w:rPr>
          <w:rFonts w:ascii="Calibri" w:eastAsia="Times New Roman" w:hAnsi="Calibri" w:cs="Calibri"/>
          <w:kern w:val="0"/>
          <w:sz w:val="22"/>
          <w:szCs w:val="22"/>
          <w:lang w:eastAsia="zh-CN"/>
          <w14:ligatures w14:val="none"/>
        </w:rPr>
        <w:t>帮助世界各地有志之士通过教育成就、国际流动和职业发展来发挥自身潜能</w:t>
      </w:r>
      <w:r>
        <w:rPr>
          <w:rFonts w:ascii="Calibri" w:eastAsia="Times New Roman" w:hAnsi="Calibri" w:cs="Calibri"/>
          <w:i/>
          <w:iCs/>
          <w:kern w:val="0"/>
          <w:sz w:val="22"/>
          <w:szCs w:val="22"/>
          <w:lang w:eastAsia="zh-CN"/>
          <w14:ligatures w14:val="none"/>
        </w:rPr>
        <w:t>。</w:t>
      </w:r>
      <w:r w:rsidRPr="0020441B">
        <w:rPr>
          <w:rFonts w:ascii="Calibri" w:eastAsia="Times New Roman" w:hAnsi="Calibri" w:cs="Calibri"/>
          <w:i/>
          <w:iCs/>
          <w:kern w:val="0"/>
          <w:sz w:val="22"/>
          <w:szCs w:val="22"/>
          <w:lang w:val="it-IT" w:eastAsia="zh-CN"/>
          <w14:ligatures w14:val="none"/>
        </w:rPr>
        <w:t xml:space="preserve"> </w:t>
      </w:r>
    </w:p>
    <w:p w14:paraId="7A5FFB9A" w14:textId="77777777" w:rsidR="00D61BF9" w:rsidRPr="0020441B" w:rsidRDefault="00000000">
      <w:pPr>
        <w:textAlignment w:val="baseline"/>
        <w:rPr>
          <w:lang w:val="it-IT" w:eastAsia="zh-CN"/>
        </w:rPr>
      </w:pPr>
      <w:r w:rsidRPr="0020441B">
        <w:rPr>
          <w:rFonts w:ascii="Calibri" w:eastAsia="Times New Roman" w:hAnsi="Calibri" w:cs="Calibri"/>
          <w:i/>
          <w:iCs/>
          <w:kern w:val="0"/>
          <w:sz w:val="22"/>
          <w:szCs w:val="22"/>
          <w:lang w:val="it-IT" w:eastAsia="zh-CN"/>
          <w14:ligatures w14:val="none"/>
        </w:rPr>
        <w:t>QS</w:t>
      </w:r>
      <w:r>
        <w:rPr>
          <w:rFonts w:ascii="Calibri" w:eastAsia="Times New Roman" w:hAnsi="Calibri" w:cs="Calibri"/>
          <w:i/>
          <w:iCs/>
          <w:kern w:val="0"/>
          <w:sz w:val="22"/>
          <w:szCs w:val="22"/>
          <w:lang w:val="en-US" w:eastAsia="zh-CN"/>
          <w14:ligatures w14:val="none"/>
        </w:rPr>
        <w:t>世界大学排名</w:t>
      </w:r>
      <w:r>
        <w:rPr>
          <w:rFonts w:ascii="Calibri" w:eastAsia="Times New Roman" w:hAnsi="Calibri" w:cs="Calibri"/>
          <w:kern w:val="0"/>
          <w:sz w:val="22"/>
          <w:szCs w:val="22"/>
          <w:lang w:val="en-US" w:eastAsia="zh-CN"/>
          <w14:ligatures w14:val="none"/>
        </w:rPr>
        <w:t>系列于</w:t>
      </w:r>
      <w:r w:rsidRPr="0020441B">
        <w:rPr>
          <w:rFonts w:ascii="Calibri" w:eastAsia="Times New Roman" w:hAnsi="Calibri" w:cs="Calibri"/>
          <w:kern w:val="0"/>
          <w:sz w:val="22"/>
          <w:szCs w:val="22"/>
          <w:lang w:val="it-IT" w:eastAsia="zh-CN"/>
          <w14:ligatures w14:val="none"/>
        </w:rPr>
        <w:t>2004</w:t>
      </w:r>
      <w:r>
        <w:rPr>
          <w:rFonts w:ascii="Calibri" w:eastAsia="Times New Roman" w:hAnsi="Calibri" w:cs="Calibri"/>
          <w:kern w:val="0"/>
          <w:sz w:val="22"/>
          <w:szCs w:val="22"/>
          <w:lang w:val="en-US" w:eastAsia="zh-CN"/>
          <w14:ligatures w14:val="none"/>
        </w:rPr>
        <w:t>年首次发布</w:t>
      </w:r>
      <w:r w:rsidRPr="0020441B">
        <w:rPr>
          <w:rFonts w:ascii="Calibri" w:eastAsia="Times New Roman" w:hAnsi="Calibri" w:cs="Calibri"/>
          <w:kern w:val="0"/>
          <w:sz w:val="22"/>
          <w:szCs w:val="22"/>
          <w:lang w:val="it-IT" w:eastAsia="zh-CN"/>
          <w14:ligatures w14:val="none"/>
        </w:rPr>
        <w:t>，</w:t>
      </w:r>
      <w:r>
        <w:rPr>
          <w:rFonts w:ascii="Calibri" w:eastAsia="Times New Roman" w:hAnsi="Calibri" w:cs="Calibri"/>
          <w:kern w:val="0"/>
          <w:sz w:val="22"/>
          <w:szCs w:val="22"/>
          <w:lang w:val="en-US" w:eastAsia="zh-CN"/>
          <w14:ligatures w14:val="none"/>
        </w:rPr>
        <w:t>是全球最受欢迎的大学表现比较数据来源。</w:t>
      </w:r>
    </w:p>
    <w:sectPr w:rsidR="00D61BF9" w:rsidRPr="0020441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ce Wei" w:date="2026-10-26T11:31:00Z" w:initials="">
    <w:p w14:paraId="3D7BA20D" w14:textId="77777777" w:rsidR="00D61BF9" w:rsidRDefault="0020441B">
      <w:pPr>
        <w:pStyle w:val="CommentText"/>
      </w:pPr>
      <w:r>
        <w:rPr>
          <w:rStyle w:val="CommentReference"/>
        </w:rPr>
        <w:annotationRef/>
      </w:r>
      <w:r w:rsidR="00000000">
        <w:rPr>
          <w:rFonts w:hint="eastAsia"/>
          <w:lang w:eastAsia="zh-CN"/>
        </w:rPr>
        <w:t>这个确定吗？一共有</w:t>
      </w:r>
      <w:r w:rsidR="00000000">
        <w:t>9</w:t>
      </w:r>
      <w:r w:rsidR="00000000">
        <w:rPr>
          <w:rFonts w:hint="eastAsia"/>
          <w:lang w:eastAsia="zh-CN"/>
        </w:rPr>
        <w:t>所满分学校</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7BA20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7BA20D" w16cid:durableId="3D7BA2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BD8C" w14:textId="77777777" w:rsidR="00431CE5" w:rsidRDefault="00431CE5">
      <w:pPr>
        <w:spacing w:line="240" w:lineRule="auto"/>
      </w:pPr>
      <w:r>
        <w:separator/>
      </w:r>
    </w:p>
  </w:endnote>
  <w:endnote w:type="continuationSeparator" w:id="0">
    <w:p w14:paraId="469FF8F3" w14:textId="77777777" w:rsidR="00431CE5" w:rsidRDefault="00431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Microsoft YaHei">
    <w:altName w:val="方正雅意黑 GB18030L2"/>
    <w:panose1 w:val="020B0503020204020204"/>
    <w:charset w:val="86"/>
    <w:family w:val="swiss"/>
    <w:pitch w:val="variable"/>
    <w:sig w:usb0="80000287" w:usb1="2ACF3C50" w:usb2="00000016" w:usb3="00000000" w:csb0="0004001F" w:csb1="00000000"/>
  </w:font>
  <w:font w:name="Red Hat Text">
    <w:panose1 w:val="02010303040201060303"/>
    <w:charset w:val="00"/>
    <w:family w:val="auto"/>
    <w:pitch w:val="variable"/>
    <w:sig w:usb0="A000006F" w:usb1="4000006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B8314" w14:textId="77777777" w:rsidR="00431CE5" w:rsidRDefault="00431CE5">
      <w:pPr>
        <w:spacing w:after="0"/>
      </w:pPr>
      <w:r>
        <w:separator/>
      </w:r>
    </w:p>
  </w:footnote>
  <w:footnote w:type="continuationSeparator" w:id="0">
    <w:p w14:paraId="66CE24B3" w14:textId="77777777" w:rsidR="00431CE5" w:rsidRDefault="00431CE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C057D"/>
    <w:multiLevelType w:val="multilevel"/>
    <w:tmpl w:val="103C057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24610BF"/>
    <w:multiLevelType w:val="multilevel"/>
    <w:tmpl w:val="224610B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E42C1E"/>
    <w:multiLevelType w:val="multilevel"/>
    <w:tmpl w:val="2AE42C1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1F73978"/>
    <w:multiLevelType w:val="multilevel"/>
    <w:tmpl w:val="51F739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E082013"/>
    <w:multiLevelType w:val="multilevel"/>
    <w:tmpl w:val="5E0820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91208861">
    <w:abstractNumId w:val="0"/>
  </w:num>
  <w:num w:numId="2" w16cid:durableId="73553630">
    <w:abstractNumId w:val="4"/>
  </w:num>
  <w:num w:numId="3" w16cid:durableId="1554583296">
    <w:abstractNumId w:val="1"/>
  </w:num>
  <w:num w:numId="4" w16cid:durableId="757943711">
    <w:abstractNumId w:val="2"/>
  </w:num>
  <w:num w:numId="5" w16cid:durableId="17021977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ce Wei">
    <w15:presenceInfo w15:providerId="AD" w15:userId="S::wei@qs.com::3968295c-713b-4a13-83f9-d3f78bdfbd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889"/>
    <w:rsid w:val="00036F17"/>
    <w:rsid w:val="000A2F05"/>
    <w:rsid w:val="0015410C"/>
    <w:rsid w:val="0020441B"/>
    <w:rsid w:val="002136ED"/>
    <w:rsid w:val="003C220B"/>
    <w:rsid w:val="003D27A8"/>
    <w:rsid w:val="004143AA"/>
    <w:rsid w:val="00431CE5"/>
    <w:rsid w:val="004B22FC"/>
    <w:rsid w:val="005F46FD"/>
    <w:rsid w:val="006002DF"/>
    <w:rsid w:val="006041B3"/>
    <w:rsid w:val="006B4462"/>
    <w:rsid w:val="006B641F"/>
    <w:rsid w:val="00705554"/>
    <w:rsid w:val="00791889"/>
    <w:rsid w:val="007D4CA4"/>
    <w:rsid w:val="009D54F9"/>
    <w:rsid w:val="009E4372"/>
    <w:rsid w:val="00A12EBD"/>
    <w:rsid w:val="00AD0DE1"/>
    <w:rsid w:val="00AD17FB"/>
    <w:rsid w:val="00B518AF"/>
    <w:rsid w:val="00B72FE4"/>
    <w:rsid w:val="00C96690"/>
    <w:rsid w:val="00CB506D"/>
    <w:rsid w:val="00CD133A"/>
    <w:rsid w:val="00CE7BF2"/>
    <w:rsid w:val="00D37072"/>
    <w:rsid w:val="00D61BF9"/>
    <w:rsid w:val="00E01342"/>
    <w:rsid w:val="00F33273"/>
    <w:rsid w:val="05922E69"/>
    <w:rsid w:val="0761F923"/>
    <w:rsid w:val="095B5B3D"/>
    <w:rsid w:val="0A9FE2A6"/>
    <w:rsid w:val="0B37FA85"/>
    <w:rsid w:val="13A4F859"/>
    <w:rsid w:val="1BEC2D8B"/>
    <w:rsid w:val="350F8274"/>
    <w:rsid w:val="3513453C"/>
    <w:rsid w:val="35C0E393"/>
    <w:rsid w:val="3EA4C366"/>
    <w:rsid w:val="3ED27363"/>
    <w:rsid w:val="417A6FDE"/>
    <w:rsid w:val="44CA72B6"/>
    <w:rsid w:val="4B91BC15"/>
    <w:rsid w:val="4D52B58A"/>
    <w:rsid w:val="63F089C9"/>
    <w:rsid w:val="654DEC4A"/>
    <w:rsid w:val="6B54A198"/>
    <w:rsid w:val="6CAB8257"/>
    <w:rsid w:val="6F174B70"/>
    <w:rsid w:val="7358099C"/>
    <w:rsid w:val="741FCAD5"/>
    <w:rsid w:val="77D7F8D7"/>
    <w:rsid w:val="7BBFEB9C"/>
    <w:rsid w:val="7BFE9C25"/>
    <w:rsid w:val="7FE7A59D"/>
    <w:rsid w:val="D3F1E0CD"/>
    <w:rsid w:val="F7F87C49"/>
    <w:rsid w:val="FEDF763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668EF6-8A91-4499-A29A-F61B19D4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60"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spacing w:line="240" w:lineRule="auto"/>
    </w:pPr>
    <w:rPr>
      <w:sz w:val="20"/>
      <w:szCs w:val="20"/>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Pr>
      <w:b/>
      <w:bCs/>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96607D" w:themeColor="followedHyperlink"/>
      <w:u w:val="single"/>
    </w:r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style>
  <w:style w:type="character" w:customStyle="1" w:styleId="scxw162734844">
    <w:name w:val="scxw162734844"/>
    <w:basedOn w:val="DefaultParagraphFont"/>
  </w:style>
  <w:style w:type="character" w:customStyle="1" w:styleId="eop">
    <w:name w:val="eop"/>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unhideWhenUse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topuniversities.com/world-university-rankings" TargetMode="External"/><Relationship Id="rId18" Type="http://schemas.openxmlformats.org/officeDocument/2006/relationships/hyperlink" Target="https://www.nature.com/nature-index/news/harvard-loses-first-place-nature-index" TargetMode="External"/><Relationship Id="rId26" Type="http://schemas.openxmlformats.org/officeDocument/2006/relationships/hyperlink" Target="https://thepienews.com/chinas-outbound-student-drop-signals-maturing-market/" TargetMode="External"/><Relationship Id="rId3" Type="http://schemas.openxmlformats.org/officeDocument/2006/relationships/customXml" Target="../customXml/item3.xml"/><Relationship Id="rId21" Type="http://schemas.openxmlformats.org/officeDocument/2006/relationships/hyperlink" Target="https://hepo.iesalc.unesco.org/pc/page/content/202505_chn_HEEdPlan/"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26055784.fs1.hubspotusercontent-eu1.net/hubfs/26055784/Press%20Releases%20and%20Media%20Assets/Asia%202027/Assets/China%20ranked%20universities%20-%20Asia%202027.xlsx" TargetMode="External"/><Relationship Id="rId17" Type="http://schemas.openxmlformats.org/officeDocument/2006/relationships/hyperlink" Target="https://www.nature.com/nature-index/news/harvard-loses-first-place-nature-index" TargetMode="External"/><Relationship Id="rId25" Type="http://schemas.openxmlformats.org/officeDocument/2006/relationships/hyperlink" Target="https://www.education.gov.au/download/19823/transnational-education-policy-reform-china-2025/42970/document/pdf" TargetMode="External"/><Relationship Id="rId33" Type="http://schemas.openxmlformats.org/officeDocument/2006/relationships/hyperlink" Target="mailto:William.barbieri@qs.com" TargetMode="External"/><Relationship Id="rId2" Type="http://schemas.openxmlformats.org/officeDocument/2006/relationships/customXml" Target="../customXml/item2.xml"/><Relationship Id="rId16" Type="http://schemas.openxmlformats.org/officeDocument/2006/relationships/hyperlink" Target="https://www.chinadaily.com.cn/a/202602/28/WS69a282f0a310d6866eb3ac27.html" TargetMode="External"/><Relationship Id="rId20" Type="http://schemas.openxmlformats.org/officeDocument/2006/relationships/hyperlink" Target="https://hepo.iesalc.unesco.org/pc/page/content/202505_chn_HEEdPlan/"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puniversities.com/asia-university-rankings" TargetMode="External"/><Relationship Id="rId24" Type="http://schemas.openxmlformats.org/officeDocument/2006/relationships/hyperlink" Target="https://global.chinadaily.com.cn/a/202604/13/WS69dc6bbba310d6866eb4313a.html" TargetMode="External"/><Relationship Id="rId32" Type="http://schemas.openxmlformats.org/officeDocument/2006/relationships/hyperlink" Target="https://www.linkedin.com/in/simona-bizzozero/" TargetMode="External"/><Relationship Id="rId5" Type="http://schemas.openxmlformats.org/officeDocument/2006/relationships/styles" Target="styles.xml"/><Relationship Id="rId15" Type="http://schemas.openxmlformats.org/officeDocument/2006/relationships/hyperlink" Target="https://english.www.gov.cn/policies/latestreleases/202410/21/content_WS67158e06c6d0868f4e8ec212.html" TargetMode="External"/><Relationship Id="rId23" Type="http://schemas.openxmlformats.org/officeDocument/2006/relationships/hyperlink" Target="https://global.chinadaily.com.cn/a/202604/13/WS69dc6bbba310d6866eb4313a.html" TargetMode="External"/><Relationship Id="rId28" Type="http://schemas.openxmlformats.org/officeDocument/2006/relationships/comments" Target="comments.xml"/><Relationship Id="rId36" Type="http://schemas.openxmlformats.org/officeDocument/2006/relationships/theme" Target="theme/theme1.xml"/><Relationship Id="rId10" Type="http://schemas.openxmlformats.org/officeDocument/2006/relationships/hyperlink" Target="https://www.topuniversities.com/asia-university-rankings" TargetMode="External"/><Relationship Id="rId19" Type="http://schemas.openxmlformats.org/officeDocument/2006/relationships/hyperlink" Target="https://ningbo.chinadaily.com.cn/2026-07/01/c_1194331.htm" TargetMode="External"/><Relationship Id="rId31" Type="http://schemas.openxmlformats.org/officeDocument/2006/relationships/hyperlink" Target="https://www.topuniversities.com/asia-university-ranking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nglish.www.gov.cn/policies/latestreleases/202410/21/content_WS67158e06c6d0868f4e8ec212.html" TargetMode="External"/><Relationship Id="rId22" Type="http://schemas.openxmlformats.org/officeDocument/2006/relationships/hyperlink" Target="https://monitor.icef.com/2026/07/china-in-2026-slowing-outbound-student-mobility-accelerating-inbound-momentum/" TargetMode="External"/><Relationship Id="rId27" Type="http://schemas.openxmlformats.org/officeDocument/2006/relationships/hyperlink" Target="https://www.qs.com/insights/global-student-flows-china" TargetMode="External"/><Relationship Id="rId30" Type="http://schemas.microsoft.com/office/2016/09/relationships/commentsIds" Target="commentsIds.xml"/><Relationship Id="rId35" Type="http://schemas.microsoft.com/office/2011/relationships/people" Target="peop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Description="Create a new document." ma:contentTypeVersion="18" ma:contentTypeName="Document" ma:contentTypeScope="" ma:contentTypeID="0x0101003E0E7D80358B05498AAD86436FFF3841" ma:versionID="aeb23b0220247b39bb13556bfa61ed08">
  <xsd:schema xmlns:ns2="0bfbcbea-6f95-4c61-b234-a6bbe804a9e6" xmlns:ns3="d1395174-bdeb-4ce1-892c-65ecf02aaaf8" xmlns:xsd="http://www.w3.org/2001/XMLSchema" xmlns:xs="http://www.w3.org/2001/XMLSchema" xmlns:p="http://schemas.microsoft.com/office/2006/metadata/properties" ns2:_="" targetNamespace="http://schemas.microsoft.com/office/2006/metadata/properties" ns3:_="" ma:root="true" ma:fieldsID="443d749eda87b5f1d4b61f95be378174">
    <xsd:import namespace="0bfbcbea-6f95-4c61-b234-a6bbe804a9e6"/>
    <xsd:import namespace="d1395174-bdeb-4ce1-892c-65ecf02aaaf8"/>
    <xsd:element name="properties">
      <xsd:complexType>
        <xsd:sequence>
          <xsd:element name="documentManagement">
            <xsd:complexType>
              <xsd:all>
                <xsd:element minOccurs="0" ref="ns2:SharedWithUsers"/>
                <xsd:element minOccurs="0" ref="ns2:SharedWithDetails"/>
                <xsd:element minOccurs="0" ref="ns3:MediaServiceMetadata"/>
                <xsd:element minOccurs="0" ref="ns3:MediaServiceFastMetadata"/>
                <xsd:element minOccurs="0" ref="ns3:MediaServiceDateTaken"/>
                <xsd:element minOccurs="0" ref="ns3:MediaServiceAutoTags"/>
                <xsd:element minOccurs="0" ref="ns3:MediaServiceOCR"/>
                <xsd:element minOccurs="0" ref="ns3:MediaServiceLocation"/>
                <xsd:element minOccurs="0" ref="ns3:MediaServiceGenerationTime"/>
                <xsd:element minOccurs="0" ref="ns3:MediaServiceEventHashCode"/>
                <xsd:element minOccurs="0" ref="ns3:MediaServiceAutoKeyPoints"/>
                <xsd:element minOccurs="0" ref="ns3:MediaServiceKeyPoints"/>
                <xsd:element minOccurs="0" ref="ns3:lcf76f155ced4ddcb4097134ff3c332f"/>
                <xsd:element minOccurs="0" ref="ns2:TaxCatchAll"/>
                <xsd:element minOccurs="0" ref="ns3:MediaLengthInSeconds"/>
                <xsd:element minOccurs="0" ref="ns3:MediaServiceObjectDetectorVersions"/>
                <xsd:element minOccurs="0" ref="ns3:MediaServiceSearchProperties"/>
              </xsd:all>
            </xsd:complexType>
          </xsd:element>
        </xsd:sequence>
      </xsd:complexType>
    </xsd:element>
  </xsd:schema>
  <xsd:schema xmlns:pc="http://schemas.microsoft.com/office/infopath/2007/PartnerControls" xmlns:xsd="http://www.w3.org/2001/XMLSchema" xmlns:xs="http://www.w3.org/2001/XMLSchema" xmlns:dms="http://schemas.microsoft.com/office/2006/documentManagement/types" targetNamespace="0bfbcbea-6f95-4c61-b234-a6bbe804a9e6" elementFormDefault="qualified">
    <xsd:import namespace="http://schemas.microsoft.com/office/2006/documentManagement/types"/>
    <xsd:import namespace="http://schemas.microsoft.com/office/infopath/2007/PartnerControls"/>
    <xsd:element nillable="true" ma:index="8" ma:displayName="Shared With" name="SharedWithUsers" ma:readOnly="true" ma:internalName="SharedWithUsers">
      <xsd:complexType>
        <xsd:complexContent>
          <xsd:extension base="dms:UserMulti">
            <xsd:sequence>
              <xsd:element maxOccurs="unbounded" minOccurs="0" name="UserInfo">
                <xsd:complexType>
                  <xsd:sequence>
                    <xsd:element type="xsd:string" minOccurs="0" name="DisplayName"/>
                    <xsd:element nillable="true" type="dms:UserId" minOccurs="0" name="AccountId"/>
                    <xsd:element type="xsd:string" minOccurs="0" name="AccountType"/>
                  </xsd:sequence>
                </xsd:complexType>
              </xsd:element>
            </xsd:sequence>
          </xsd:extension>
        </xsd:complexContent>
      </xsd:complexType>
    </xsd:element>
    <xsd:element nillable="true" ma:index="9" ma:displayName="Shared With Details" name="SharedWithDetails" ma:readOnly="true" ma:internalName="SharedWithDetails">
      <xsd:simpleType>
        <xsd:restriction base="dms:Note">
          <xsd:maxLength value="255"/>
        </xsd:restriction>
      </xsd:simpleType>
    </xsd:element>
    <xsd:element nillable="true" ma:web="0bfbcbea-6f95-4c61-b234-a6bbe804a9e6" ma:index="22" ma:displayName="Taxonomy Catch All Column" ma:hidden="true" ma:list="{99a89a7e-35a0-4c85-9e66-9ece76e32d86}" name="TaxCatchAll" ma:showField="CatchAllData" ma:internalName="TaxCatchAll">
      <xsd:complexType>
        <xsd:complexContent>
          <xsd:extension base="dms:MultiChoiceLookup">
            <xsd:sequence>
              <xsd:element nillable="true" type="dms:Lookup" maxOccurs="unbounded" minOccurs="0" name="Value"/>
            </xsd:sequence>
          </xsd:extension>
        </xsd:complexContent>
      </xsd:complexType>
    </xsd:element>
  </xsd:schema>
  <xsd:schema xmlns:pc="http://schemas.microsoft.com/office/infopath/2007/PartnerControls" xmlns:xsd="http://www.w3.org/2001/XMLSchema" xmlns:xs="http://www.w3.org/2001/XMLSchema" xmlns:dms="http://schemas.microsoft.com/office/2006/documentManagement/types" targetNamespace="d1395174-bdeb-4ce1-892c-65ecf02aaaf8" elementFormDefault="qualified">
    <xsd:import namespace="http://schemas.microsoft.com/office/2006/documentManagement/types"/>
    <xsd:import namespace="http://schemas.microsoft.com/office/infopath/2007/PartnerControls"/>
    <xsd:element nillable="true" ma:index="10" ma:displayName="MediaServiceMetadata" ma:hidden="true" name="MediaServiceMetadata" ma:readOnly="true" ma:internalName="MediaServiceMetadata">
      <xsd:simpleType>
        <xsd:restriction base="dms:Note"/>
      </xsd:simpleType>
    </xsd:element>
    <xsd:element nillable="true" ma:index="11" ma:displayName="MediaServiceFastMetadata" ma:hidden="true" name="MediaServiceFastMetadata" ma:readOnly="true" ma:internalName="MediaServiceFastMetadata">
      <xsd:simpleType>
        <xsd:restriction base="dms:Note"/>
      </xsd:simpleType>
    </xsd:element>
    <xsd:element nillable="true" ma:index="12" ma:displayName="MediaServiceDateTaken" ma:hidden="true" name="MediaServiceDateTaken" ma:readOnly="true" ma:internalName="MediaServiceDateTaken">
      <xsd:simpleType>
        <xsd:restriction base="dms:Text"/>
      </xsd:simpleType>
    </xsd:element>
    <xsd:element nillable="true" ma:index="13" ma:displayName="MediaServiceAutoTags" name="MediaServiceAutoTags" ma:readOnly="true" ma:internalName="MediaServiceAutoTags">
      <xsd:simpleType>
        <xsd:restriction base="dms:Text"/>
      </xsd:simpleType>
    </xsd:element>
    <xsd:element nillable="true" ma:index="14" ma:displayName="MediaServiceOCR" name="MediaServiceOCR" ma:readOnly="true" ma:internalName="MediaServiceOCR">
      <xsd:simpleType>
        <xsd:restriction base="dms:Note">
          <xsd:maxLength value="255"/>
        </xsd:restriction>
      </xsd:simpleType>
    </xsd:element>
    <xsd:element nillable="true" ma:index="15" ma:displayName="MediaServiceLocation" name="MediaServiceLocation" ma:readOnly="true" ma:internalName="MediaServiceLocation">
      <xsd:simpleType>
        <xsd:restriction base="dms:Text"/>
      </xsd:simpleType>
    </xsd:element>
    <xsd:element nillable="true" ma:index="16" ma:displayName="MediaServiceGenerationTime" ma:hidden="true" name="MediaServiceGenerationTime" ma:readOnly="true" ma:internalName="MediaServiceGenerationTime">
      <xsd:simpleType>
        <xsd:restriction base="dms:Text"/>
      </xsd:simpleType>
    </xsd:element>
    <xsd:element nillable="true" ma:index="17" ma:displayName="MediaServiceEventHashCode" ma:hidden="true" name="MediaServiceEventHashCode" ma:readOnly="true" ma:internalName="MediaServiceEventHashCode">
      <xsd:simpleType>
        <xsd:restriction base="dms:Text"/>
      </xsd:simpleType>
    </xsd:element>
    <xsd:element nillable="true" ma:index="18" ma:displayName="MediaServiceAutoKeyPoints" ma:hidden="true" name="MediaServiceAutoKeyPoints" ma:readOnly="true" ma:internalName="MediaServiceAutoKeyPoints">
      <xsd:simpleType>
        <xsd:restriction base="dms:Note"/>
      </xsd:simpleType>
    </xsd:element>
    <xsd:element nillable="true" ma:index="19" ma:displayName="KeyPoints" name="MediaServiceKeyPoints" ma:readOnly="true" ma:internalName="MediaServiceKeyPoints">
      <xsd:simpleType>
        <xsd:restriction base="dms:Note">
          <xsd:maxLength value="255"/>
        </xsd:restriction>
      </xsd:simpleType>
    </xsd:element>
    <xsd:element nillable="true" ma:taxonomyMulti="true" ma:isKeyword="false" ma:taxonomy="true" ma:sspId="9c0a45ee-8771-4b9b-8262-76eb4a5fdb71" ma:termSetId="09814cd3-568e-fe90-9814-8d621ff8fb84" ma:index="21" ma:displayName="Image Tags" ma:open="true" ma:anchorId="fba54fb3-c3e1-fe81-a776-ca4b69148c4d" name="lcf76f155ced4ddcb4097134ff3c332f" ma:readOnly="false" ma:fieldId="{5cf76f15-5ced-4ddc-b409-7134ff3c332f}" ma:internalName="lcf76f155ced4ddcb4097134ff3c332f" ma:taxonomyFieldName="MediaServiceImageTags">
      <xsd:complexType>
        <xsd:sequence>
          <xsd:element maxOccurs="1" minOccurs="0" ref="pc:Terms"/>
        </xsd:sequence>
      </xsd:complexType>
    </xsd:element>
    <xsd:element nillable="true" ma:index="23" ma:displayName="MediaLengthInSeconds" ma:hidden="true" name="MediaLengthInSeconds" ma:readOnly="true" ma:internalName="MediaLengthInSeconds">
      <xsd:simpleType>
        <xsd:restriction base="dms:Unknown"/>
      </xsd:simpleType>
    </xsd:element>
    <xsd:element nillable="true" ma:index="24" ma:displayName="MediaServiceObjectDetectorVersions" ma:hidden="true" name="MediaServiceObjectDetectorVersions" ma:readOnly="true" ma:indexed="true" ma:internalName="MediaServiceObjectDetectorVersions">
      <xsd:simpleType>
        <xsd:restriction base="dms:Text"/>
      </xsd:simpleType>
    </xsd:element>
    <xsd:element nillable="true" ma:index="25" ma:displayName="MediaServiceSearchProperties" ma:hidden="true" name="MediaServiceSearchProperties" ma:readOnly="true" ma:internalName="MediaServiceSearchProperties">
      <xsd:simpleType>
        <xsd:restriction base="dms:Note"/>
      </xsd:simpleType>
    </xsd:element>
  </xsd:schema>
  <xsd:schema xmlns:odoc="http://schemas.microsoft.com/internal/obd" xmlns="http://schemas.openxmlformats.org/package/2006/metadata/core-properties" xmlns:dc="http://purl.org/dc/elements/1.1/" xmlns:dcterms="http://purl.org/dc/terms/" xmlns:xsd="http://www.w3.org/2001/XMLSchema" xmlns:xsi="http://www.w3.org/2001/XMLSchema-instance" blockDefault="#all" targetNamespace="http://schemas.openxmlformats.org/package/2006/metadata/core-properties" elementFormDefault="qualified" attributeFormDefault="unqualified">
    <xsd:import schemaLocation="http://dublincore.org/schemas/xmls/qdc/2003/04/02/dc.xsd" namespace="http://purl.org/dc/elements/1.1/"/>
    <xsd:import schemaLocation="http://dublincore.org/schemas/xmls/qdc/2003/04/02/dcterms.xsd" namespace="http://purl.org/dc/terms/"/>
    <xsd:element type="CT_coreProperties" name="coreProperties"/>
    <xsd:complexType name="CT_coreProperties">
      <xsd:all>
        <xsd:element maxOccurs="1" minOccurs="0" ref="dc:creator"/>
        <xsd:element maxOccurs="1" minOccurs="0" ref="dcterms:created"/>
        <xsd:element maxOccurs="1" minOccurs="0" ref="dc:identifier"/>
        <xsd:element ma:index="0" ma:displayName="Content Type" type="xsd:string" maxOccurs="1" minOccurs="0" name="contentType"/>
        <xsd:element ma:index="4" ma:displayName="Title" maxOccurs="1" minOccurs="0" ref="dc:title"/>
        <xsd:element maxOccurs="1" minOccurs="0" ref="dc:subject"/>
        <xsd:element maxOccurs="1" minOccurs="0" ref="dc:description"/>
        <xsd:element type="xsd:string" maxOccurs="1" minOccurs="0" name="keywords"/>
        <xsd:element maxOccurs="1" minOccurs="0" ref="dc:language"/>
        <xsd:element type="xsd:string" maxOccurs="1" minOccurs="0" name="category"/>
        <xsd:element type="xsd:string" maxOccurs="1" minOccurs="0" name="version"/>
        <xsd:element type="xsd:string" maxOccurs="1" minOccurs="0" name="revision">
          <xsd:annotation>
            <xsd:documentation>
                        This value indicates the number of saves or revisions. The application is responsible for updating this value after each revision.
                    </xsd:documentation>
          </xsd:annotation>
        </xsd:element>
        <xsd:element type="xsd:string" maxOccurs="1" minOccurs="0" name="lastModifiedBy"/>
        <xsd:element maxOccurs="1" minOccurs="0" ref="dcterms:modified"/>
        <xsd:element type="xsd:string" maxOccurs="1" minOccurs="0" name="content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minOccurs="0" ref="pc:DisplayName"/>
          <xs:element minOccurs="0" ref="pc:AccountId"/>
          <xs:element minOccurs="0" ref="pc:AccountType"/>
        </xs:sequence>
      </xs:complexType>
    </xs:element>
    <xs:element type="xs:string" name="DisplayName"/>
    <xs:element type="xs:string" name="AccountId"/>
    <xs:element type="xs:string" name="AccountType"/>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type="xs:string" name="EntityNamespace"/>
    <xs:attribute type="xs:string" name="EntityName"/>
    <xs:attribute type="xs:string" name="SystemInstanceName"/>
    <xs:attribute type="xs:string" name="AssociationName"/>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type="xs:string" name="EntityDisplayName"/>
    <xs:element type="xs:string" name="EntityInstanceReference"/>
    <xs:element type="xs:string" name="EntityId1"/>
    <xs:element type="xs:string" name="EntityId2"/>
    <xs:element type="xs:string" name="EntityId3"/>
    <xs:element type="xs:string" name="EntityId4"/>
    <xs:element type="xs:string" name="EntityId5"/>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type="xs:string" name="TermName"/>
    <xs:element type="xs:string" name="TermId"/>
  </xs:schema>
</ct:contentTypeSchema>
</file>

<file path=customXml/item2.xml><?xml version="1.0" encoding="utf-8"?>
<p:properties xmlns:pc="http://schemas.microsoft.com/office/infopath/2007/PartnerControls" xmlns:p="http://schemas.microsoft.com/office/2006/metadata/properties" xmlns:xsi="http://www.w3.org/2001/XMLSchema-instance">
  <documentManagement>
    <TaxCatchAll xmlns="0bfbcbea-6f95-4c61-b234-a6bbe804a9e6" xsi:nil="true"/>
    <lcf76f155ced4ddcb4097134ff3c332f xmlns="d1395174-bdeb-4ce1-892c-65ecf02aaa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7FC6C8-8428-418C-AD67-649FECEECE92}">
  <ds:schemaRefs>
    <ds:schemaRef ds:uri="http://schemas.microsoft.com/office/2006/metadata/contentType"/>
    <ds:schemaRef ds:uri="http://schemas.microsoft.com/office/2006/metadata/properties/metaAttributes"/>
    <ds:schemaRef ds:uri="0bfbcbea-6f95-4c61-b234-a6bbe804a9e6"/>
    <ds:schemaRef ds:uri="d1395174-bdeb-4ce1-892c-65ecf02aaaf8"/>
    <ds:schemaRef ds:uri="http://www.w3.org/2001/XMLSchema"/>
    <ds:schemaRef ds:uri="http://schemas.microsoft.com/office/2006/metadata/properties"/>
    <ds:schemaRef ds:uri="http://schemas.microsoft.com/office/infopath/2007/PartnerControls"/>
    <ds:schemaRef ds:uri="http://schemas.microsoft.com/office/2006/documentManagement/types"/>
    <ds:schemaRef ds:uri="http://schemas.microsoft.com/internal/obd"/>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6AB65F31-54A5-4494-A244-289839F0C142}">
  <ds:schemaRefs>
    <ds:schemaRef ds:uri="http://schemas.microsoft.com/office/infopath/2007/PartnerControls"/>
    <ds:schemaRef ds:uri="http://schemas.microsoft.com/office/2006/metadata/properties"/>
    <ds:schemaRef ds:uri="0bfbcbea-6f95-4c61-b234-a6bbe804a9e6"/>
    <ds:schemaRef ds:uri="d1395174-bdeb-4ce1-892c-65ecf02aaaf8"/>
  </ds:schemaRefs>
</ds:datastoreItem>
</file>

<file path=customXml/itemProps3.xml><?xml version="1.0" encoding="utf-8"?>
<ds:datastoreItem xmlns:ds="http://schemas.openxmlformats.org/officeDocument/2006/customXml" ds:itemID="{77C0BE92-A844-4DB2-8211-AB8C85720C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1669</Words>
  <Characters>9517</Characters>
  <Application>Microsoft Office Word</Application>
  <DocSecurity>0</DocSecurity>
  <Lines>79</Lines>
  <Paragraphs>22</Paragraphs>
  <ScaleCrop>false</ScaleCrop>
  <Company>Quacquarelli-Symonds</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Barbieri</dc:creator>
  <cp:keywords>, docId:0E73040298F5A6B580F38E7FCBC5C99A</cp:keywords>
  <cp:lastModifiedBy>William Barbieri</cp:lastModifiedBy>
  <cp:revision>2</cp:revision>
  <dcterms:created xsi:type="dcterms:W3CDTF">2026-10-27T09:22:00Z</dcterms:created>
  <dcterms:modified xsi:type="dcterms:W3CDTF">2026-10-27T09:22:00Z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0x0101003E0E7D80358B05498AAD86436FFF3841</vt:lpwstr>
  </property>
  <property fmtid="{D5CDD505-2E9C-101B-9397-08002B2CF9AE}" pid="3" name="MediaServiceImageTags">
    <vt:lpwstr/>
  </property>
  <property fmtid="{D5CDD505-2E9C-101B-9397-08002B2CF9AE}" pid="4" name="KSOProductBuildVer">
    <vt:lpwstr>2052-12.1.28496.28496</vt:lpwstr>
  </property>
  <property fmtid="{D5CDD505-2E9C-101B-9397-08002B2CF9AE}" pid="5" name="ICV">
    <vt:lpwstr>78FEF76557490D3B3BBADE6A7BFDE7D2_42</vt:lpwstr>
  </property>
</Properties>
</file>