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A6AB1" w:rsidR="00CB506D" w:rsidP="00D1199D" w:rsidRDefault="00C326D2" w14:paraId="09C884CD" w14:textId="7EC00E29">
      <w:pPr>
        <w:jc w:val="center"/>
        <w:rPr>
          <w:rStyle w:val="normaltextrun"/>
          <w:rFonts w:ascii="Calibri" w:hAnsi="Calibri" w:cs="Calibri"/>
          <w:b/>
          <w:bCs/>
          <w:color w:val="EE0000"/>
          <w:shd w:val="clear" w:color="auto" w:fill="FFFFFF"/>
          <w:lang w:val="en-US"/>
        </w:rPr>
      </w:pPr>
      <w:r>
        <w:rPr>
          <w:rStyle w:val="normaltextrun"/>
          <w:rFonts w:ascii="Calibri" w:hAnsi="Calibri" w:cs="Calibri"/>
          <w:b/>
          <w:bCs/>
          <w:color w:val="EE0000"/>
          <w:shd w:val="clear" w:color="auto" w:fill="FFFFFF"/>
          <w:lang w:val="en-US"/>
        </w:rPr>
        <w:t xml:space="preserve">INFORMATION UNDER EMBARGO UNTIL </w:t>
      </w:r>
      <w:r>
        <w:rPr>
          <w:rStyle w:val="normaltextrun"/>
          <w:rFonts w:ascii="Calibri" w:hAnsi="Calibri" w:cs="Calibri"/>
          <w:b/>
          <w:bCs/>
          <w:color w:val="EE0000"/>
          <w:lang w:val="en-US"/>
        </w:rPr>
        <w:t>3</w:t>
      </w:r>
      <w:r>
        <w:rPr>
          <w:rStyle w:val="normaltextrun"/>
          <w:rFonts w:ascii="Calibri" w:hAnsi="Calibri" w:cs="Calibri"/>
          <w:b/>
          <w:bCs/>
          <w:color w:val="EE0000"/>
          <w:sz w:val="19"/>
          <w:szCs w:val="19"/>
          <w:vertAlign w:val="superscript"/>
          <w:lang w:val="en-US"/>
        </w:rPr>
        <w:t>RD</w:t>
      </w:r>
      <w:r>
        <w:rPr>
          <w:rStyle w:val="normaltextrun"/>
          <w:rFonts w:ascii="Calibri" w:hAnsi="Calibri" w:cs="Calibri"/>
          <w:b/>
          <w:bCs/>
          <w:color w:val="EE0000"/>
          <w:lang w:val="en-US"/>
        </w:rPr>
        <w:t xml:space="preserve"> NOVEMBER AT 12:00 PM GMT</w:t>
      </w:r>
    </w:p>
    <w:p w:rsidRPr="00CA6AB1" w:rsidR="00C326D2" w:rsidP="00D1199D" w:rsidRDefault="00C326D2" w14:paraId="4DF1A381" w14:textId="215ECE20">
      <w:pPr>
        <w:jc w:val="center"/>
        <w:rPr>
          <w:rFonts w:ascii="Calibri" w:hAnsi="Calibri" w:cs="Calibri"/>
          <w:b w:val="1"/>
          <w:bCs w:val="1"/>
          <w:u w:val="single"/>
        </w:rPr>
      </w:pPr>
      <w:r w:rsidRPr="293EFDC9" w:rsidR="4BE74A87">
        <w:rPr>
          <w:rFonts w:ascii="Calibri" w:hAnsi="Calibri" w:cs="Calibri"/>
          <w:b w:val="1"/>
          <w:bCs w:val="1"/>
          <w:u w:val="single"/>
          <w:lang w:val="en-US"/>
        </w:rPr>
        <w:t>Q</w:t>
      </w:r>
      <w:r w:rsidRPr="293EFDC9" w:rsidR="00C326D2">
        <w:rPr>
          <w:rFonts w:ascii="Calibri" w:hAnsi="Calibri" w:cs="Calibri"/>
          <w:b w:val="1"/>
          <w:bCs w:val="1"/>
          <w:u w:val="single"/>
          <w:lang w:val="en-US"/>
        </w:rPr>
        <w:t>S World University Rankings</w:t>
      </w:r>
      <w:r w:rsidRPr="293EFDC9" w:rsidR="00C326D2">
        <w:rPr>
          <w:rFonts w:ascii="Calibri" w:hAnsi="Calibri" w:cs="Calibri"/>
          <w:b w:val="1"/>
          <w:bCs w:val="1"/>
          <w:u w:val="single"/>
        </w:rPr>
        <w:t>: Asia 2027</w:t>
      </w:r>
    </w:p>
    <w:p w:rsidR="00D1199D" w:rsidP="00D1199D" w:rsidRDefault="00D1199D" w14:paraId="1A4B6A10" w14:textId="5070AE12">
      <w:pPr>
        <w:jc w:val="center"/>
        <w:rPr>
          <w:rFonts w:ascii="Calibri" w:hAnsi="Calibri" w:cs="Calibri"/>
        </w:rPr>
      </w:pPr>
      <w:r>
        <w:rPr>
          <w:rFonts w:ascii="Calibri" w:hAnsi="Calibri" w:cs="Calibri"/>
          <w:b/>
          <w:bCs/>
        </w:rPr>
        <w:t>Hong Kong SAR excels as The University of Hong Kong leads, China's rise continues and India and Singapore face pressure</w:t>
      </w:r>
    </w:p>
    <w:p w:rsidRPr="00CA6AB1" w:rsidR="00C326D2" w:rsidP="00D1199D" w:rsidRDefault="00C326D2" w14:paraId="6B5D5BA7" w14:textId="4198B458">
      <w:pPr>
        <w:jc w:val="center"/>
        <w:rPr>
          <w:rFonts w:ascii="Calibri" w:hAnsi="Calibri" w:cs="Calibri"/>
        </w:rPr>
      </w:pPr>
      <w:r>
        <w:rPr>
          <w:rFonts w:ascii="Calibri" w:hAnsi="Calibri" w:cs="Calibri"/>
          <w:b/>
          <w:bCs/>
        </w:rPr>
        <w:t>#QSWUR</w:t>
      </w:r>
    </w:p>
    <w:p w:rsidR="00BE1B93" w:rsidP="00BE1B93" w:rsidRDefault="00BE1B93" w14:paraId="29E8C661" w14:textId="1211676E">
      <w:pPr>
        <w:jc w:val="center"/>
        <w:rPr>
          <w:rFonts w:ascii="Calibri" w:hAnsi="Calibri" w:cs="Calibri"/>
          <w:i/>
          <w:iCs/>
          <w:sz w:val="20"/>
          <w:szCs w:val="20"/>
        </w:rPr>
      </w:pPr>
      <w:r>
        <w:rPr>
          <w:rFonts w:ascii="Calibri" w:hAnsi="Calibri" w:cs="Calibri"/>
          <w:i/>
          <w:iCs/>
          <w:sz w:val="20"/>
          <w:szCs w:val="20"/>
        </w:rPr>
        <w:t xml:space="preserve">The QS Asia Rankings assess </w:t>
      </w:r>
      <w:r>
        <w:rPr>
          <w:rFonts w:ascii="Calibri" w:hAnsi="Calibri" w:cs="Calibri"/>
          <w:i/>
          <w:iCs/>
          <w:sz w:val="20"/>
          <w:szCs w:val="20"/>
        </w:rPr>
        <w:t>1,722</w:t>
      </w:r>
      <w:r>
        <w:rPr>
          <w:rFonts w:ascii="Calibri" w:hAnsi="Calibri" w:cs="Calibri"/>
          <w:i/>
          <w:iCs/>
          <w:sz w:val="20"/>
          <w:szCs w:val="20"/>
        </w:rPr>
        <w:t xml:space="preserve"> universities across 26 higher education systems, highlighting a region playing an increasingly influential role in global higher education. Strong performances in research, international engagement and academic reputation reflect Asia’s growing ability to attract talent and collaboration. Progress, however, remains uneven, with some systems firmly established among global leaders while others remain emergent. As competition for talent intensifies, the results highlight significant opportunities for institutions across Asia to strengthen their global standing.</w:t>
      </w:r>
    </w:p>
    <w:p w:rsidRPr="00CA6AB1" w:rsidR="00C326D2" w:rsidRDefault="00C326D2" w14:paraId="593A5906" w14:textId="3CEEA2CF">
      <w:pPr>
        <w:rPr>
          <w:rStyle w:val="eop"/>
          <w:rFonts w:ascii="Calibri" w:hAnsi="Calibri" w:cs="Calibri"/>
          <w:color w:val="C00000"/>
          <w:sz w:val="16"/>
          <w:szCs w:val="16"/>
          <w:bdr w:val="none" w:color="auto" w:sz="0" w:space="0" w:frame="1"/>
          <w:shd w:val="clear" w:color="auto" w:fill="C6C6C6"/>
        </w:rPr>
      </w:pPr>
      <w:r>
        <w:rPr>
          <w:rStyle w:val="normaltextrun"/>
          <w:rFonts w:ascii="Calibri" w:hAnsi="Calibri" w:cs="Calibri"/>
          <w:b/>
          <w:bCs/>
          <w:i/>
          <w:iCs/>
          <w:color w:val="000000"/>
          <w:sz w:val="22"/>
          <w:szCs w:val="22"/>
          <w:shd w:val="clear" w:color="auto" w:fill="FFFFFF"/>
        </w:rPr>
        <w:t>London, 3</w:t>
      </w:r>
      <w:r>
        <w:rPr>
          <w:rStyle w:val="normaltextrun"/>
          <w:rFonts w:ascii="Calibri" w:hAnsi="Calibri" w:cs="Calibri"/>
          <w:b/>
          <w:bCs/>
          <w:i/>
          <w:iCs/>
          <w:color w:val="000000"/>
          <w:sz w:val="22"/>
          <w:szCs w:val="22"/>
          <w:shd w:val="clear" w:color="auto" w:fill="FFFFFF"/>
          <w:vertAlign w:val="superscript"/>
        </w:rPr>
        <w:t>rd</w:t>
      </w:r>
      <w:r>
        <w:rPr>
          <w:rStyle w:val="normaltextrun"/>
          <w:rFonts w:ascii="Calibri" w:hAnsi="Calibri" w:cs="Calibri"/>
          <w:b/>
          <w:bCs/>
          <w:i/>
          <w:iCs/>
          <w:color w:val="000000"/>
          <w:sz w:val="22"/>
          <w:szCs w:val="22"/>
          <w:shd w:val="clear" w:color="auto" w:fill="FFFFFF"/>
        </w:rPr>
        <w:t xml:space="preserve"> November 2026: </w:t>
      </w:r>
      <w:r>
        <w:rPr>
          <w:rStyle w:val="normaltextrun"/>
          <w:rFonts w:ascii="Calibri" w:hAnsi="Calibri" w:cs="Calibri"/>
          <w:color w:val="000000"/>
          <w:sz w:val="22"/>
          <w:szCs w:val="22"/>
          <w:shd w:val="clear" w:color="auto" w:fill="FFFFFF"/>
        </w:rPr>
        <w:t>International higher education experts QS Quacquarelli Symonds has today released the 2027 edition of the  </w:t>
      </w:r>
      <w:hyperlink w:tgtFrame="_blank" w:history="1" r:id="rId7">
        <w:r>
          <w:rPr>
            <w:rStyle w:val="normaltextrun"/>
            <w:rFonts w:ascii="Calibri" w:hAnsi="Calibri" w:cs="Calibri"/>
            <w:color w:val="467886"/>
            <w:sz w:val="22"/>
            <w:szCs w:val="22"/>
            <w:u w:val="single"/>
            <w:shd w:val="clear" w:color="auto" w:fill="FFFFFF"/>
          </w:rPr>
          <w:t>QS World University Rankings: Asia</w:t>
        </w:r>
      </w:hyperlink>
      <w:r>
        <w:rPr>
          <w:rStyle w:val="normaltextrun"/>
          <w:rFonts w:ascii="Calibri" w:hAnsi="Calibri" w:cs="Calibri"/>
          <w:b/>
          <w:bCs/>
          <w:color w:val="C00000"/>
          <w:sz w:val="22"/>
          <w:szCs w:val="22"/>
          <w:shd w:val="clear" w:color="auto" w:fill="FFFFFF"/>
        </w:rPr>
        <w:t>*</w:t>
      </w:r>
      <w:r>
        <w:rPr>
          <w:rStyle w:val="normaltextrun"/>
          <w:rFonts w:ascii="Calibri" w:hAnsi="Calibri" w:cs="Calibri"/>
          <w:b/>
          <w:bCs/>
          <w:color w:val="000000"/>
          <w:sz w:val="22"/>
          <w:szCs w:val="22"/>
          <w:shd w:val="clear" w:color="auto" w:fill="FFFFFF"/>
        </w:rPr>
        <w:t>.</w:t>
      </w:r>
      <w:r>
        <w:rPr>
          <w:rStyle w:val="normaltextrun"/>
          <w:rFonts w:ascii="Calibri" w:hAnsi="Calibri" w:cs="Calibri"/>
          <w:color w:val="000000"/>
          <w:sz w:val="22"/>
          <w:szCs w:val="22"/>
          <w:shd w:val="clear" w:color="auto" w:fill="FFFFFF"/>
        </w:rPr>
        <w:t>  </w:t>
      </w:r>
      <w:r>
        <w:rPr>
          <w:rStyle w:val="normaltextrun"/>
          <w:rFonts w:ascii="Calibri" w:hAnsi="Calibri" w:cs="Calibri"/>
          <w:color w:val="C00000"/>
          <w:sz w:val="16"/>
          <w:szCs w:val="16"/>
          <w:shd w:val="clear" w:color="auto" w:fill="FFFFFF"/>
        </w:rPr>
        <w:t>*The link will be updated with the latest results when the embargo lifts.</w:t>
      </w:r>
    </w:p>
    <w:p w:rsidRPr="00D1199D" w:rsidR="00D1199D" w:rsidP="00D1199D" w:rsidRDefault="00C326D2" w14:paraId="4A91EF76" w14:textId="77777777">
      <w:pPr>
        <w:rPr>
          <w:rFonts w:ascii="Calibri" w:hAnsi="Calibri" w:cs="Calibri"/>
          <w:sz w:val="22"/>
          <w:szCs w:val="22"/>
        </w:rPr>
      </w:pPr>
      <w:r>
        <w:rPr>
          <w:rFonts w:ascii="Calibri" w:hAnsi="Calibri" w:cs="Calibri"/>
          <w:sz w:val="22"/>
          <w:szCs w:val="22"/>
        </w:rPr>
        <w:t>The results see The University of Hong Kong retain the top spot for a second year while Peking University stays second. Tsinghua University climbs from ninth to third in this edition, giving China two universities in the top three for the first time since 2023. Last year’s joint third place entries, National University of Singapore (NUS) and Nanyang Technological University, Singapore (NTU Singapore) drop to sixth and eighth respectively. Two Hong Kong universities break into the top five, with City University of Hong Kong (CityUHK) and The Chinese University of Hong Kong (CUHK) placing fourth and fifth.</w:t>
      </w:r>
    </w:p>
    <w:p w:rsidRPr="002530B9" w:rsidR="00C326D2" w:rsidRDefault="00CA6AB1" w14:paraId="635C4FDB" w14:textId="541B85C1">
      <w:pPr>
        <w:rPr>
          <w:rFonts w:ascii="Calibri" w:hAnsi="Calibri" w:cs="Calibri"/>
          <w:sz w:val="22"/>
          <w:szCs w:val="22"/>
        </w:rPr>
      </w:pPr>
      <w:r>
        <w:rPr>
          <w:rFonts w:ascii="Calibri" w:hAnsi="Calibri" w:cs="Calibri"/>
          <w:sz w:val="22"/>
          <w:szCs w:val="22"/>
        </w:rPr>
        <w:t>Hong Kong SAR is the most represented higher education system in the top 10, with five universities. While there are no new entries in the top 10, two universities break into the top 20: Universiti Kebangsaan Malaysia (UKM), which climbs to 20th, a record high, and the University of Science and Technology of China, which rises to 20th from 21st.</w:t>
      </w:r>
    </w:p>
    <w:tbl>
      <w:tblPr>
        <w:tblW w:w="9067" w:type="dxa"/>
        <w:tblLook w:val="04A0" w:firstRow="1" w:lastRow="0" w:firstColumn="1" w:lastColumn="0" w:noHBand="0" w:noVBand="1"/>
      </w:tblPr>
      <w:tblGrid>
        <w:gridCol w:w="988"/>
        <w:gridCol w:w="992"/>
        <w:gridCol w:w="992"/>
        <w:gridCol w:w="4253"/>
        <w:gridCol w:w="1842"/>
      </w:tblGrid>
      <w:tr w:rsidRPr="00CA6AB1" w:rsidR="00CA6AB1" w:rsidTr="00CA6AB1" w14:paraId="69DE130D" w14:textId="77777777">
        <w:trPr>
          <w:trHeight w:val="300"/>
        </w:trPr>
        <w:tc>
          <w:tcPr>
            <w:tcW w:w="9067" w:type="dxa"/>
            <w:gridSpan w:val="5"/>
            <w:tcBorders>
              <w:top w:val="single" w:color="auto" w:sz="4" w:space="0"/>
              <w:left w:val="single" w:color="auto" w:sz="4" w:space="0"/>
              <w:bottom w:val="single" w:color="auto" w:sz="4" w:space="0"/>
              <w:right w:val="single" w:color="auto" w:sz="4" w:space="0"/>
            </w:tcBorders>
            <w:noWrap/>
            <w:vAlign w:val="bottom"/>
            <w:hideMark/>
          </w:tcPr>
          <w:p w:rsidRPr="00CA6AB1" w:rsidR="00CA6AB1" w:rsidP="00CA6AB1" w:rsidRDefault="00CA6AB1" w14:paraId="44A4304F" w14:textId="77777777">
            <w:pPr>
              <w:spacing w:after="0" w:line="240" w:lineRule="auto"/>
              <w:jc w:val="center"/>
              <w:rPr>
                <w:rFonts w:ascii="Calibri" w:hAnsi="Calibri" w:eastAsia="Times New Roman" w:cs="Calibri"/>
                <w:b/>
                <w:bCs/>
                <w:kern w:val="0"/>
                <w:sz w:val="20"/>
                <w:szCs w:val="20"/>
                <w:lang w:eastAsia="en-GB"/>
                <w14:ligatures w14:val="none"/>
              </w:rPr>
            </w:pPr>
            <w:r>
              <w:rPr>
                <w:rFonts w:ascii="Calibri" w:hAnsi="Calibri" w:eastAsia="Times New Roman" w:cs="Calibri"/>
                <w:b/>
                <w:bCs/>
                <w:kern w:val="0"/>
                <w:sz w:val="20"/>
                <w:szCs w:val="20"/>
                <w:lang w:eastAsia="en-GB"/>
                <w14:ligatures w14:val="none"/>
              </w:rPr>
              <w:t>Table 1: Asia - Top 20</w:t>
            </w:r>
          </w:p>
        </w:tc>
      </w:tr>
      <w:tr w:rsidRPr="00CA6AB1" w:rsidR="00CA6AB1" w:rsidTr="00CA6AB1" w14:paraId="520F39EB" w14:textId="77777777">
        <w:trPr>
          <w:trHeight w:val="300"/>
        </w:trPr>
        <w:tc>
          <w:tcPr>
            <w:tcW w:w="988" w:type="dxa"/>
            <w:tcBorders>
              <w:top w:val="nil"/>
              <w:left w:val="single" w:color="auto" w:sz="4" w:space="0"/>
              <w:bottom w:val="single" w:color="auto" w:sz="4" w:space="0"/>
              <w:right w:val="single" w:color="auto" w:sz="4" w:space="0"/>
            </w:tcBorders>
            <w:vAlign w:val="center"/>
            <w:hideMark/>
          </w:tcPr>
          <w:p w:rsidRPr="00CA6AB1" w:rsidR="00CA6AB1" w:rsidP="00CA6AB1" w:rsidRDefault="00CA6AB1" w14:paraId="078DB716"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2027 Rank</w:t>
            </w:r>
          </w:p>
        </w:tc>
        <w:tc>
          <w:tcPr>
            <w:tcW w:w="992" w:type="dxa"/>
            <w:tcBorders>
              <w:top w:val="nil"/>
              <w:left w:val="nil"/>
              <w:bottom w:val="single" w:color="auto" w:sz="4" w:space="0"/>
              <w:right w:val="single" w:color="auto" w:sz="4" w:space="0"/>
            </w:tcBorders>
            <w:vAlign w:val="center"/>
            <w:hideMark/>
          </w:tcPr>
          <w:p w:rsidRPr="00CA6AB1" w:rsidR="00CA6AB1" w:rsidP="00CA6AB1" w:rsidRDefault="00CA6AB1" w14:paraId="62B586E7"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2026 Rank</w:t>
            </w:r>
          </w:p>
        </w:tc>
        <w:tc>
          <w:tcPr>
            <w:tcW w:w="992" w:type="dxa"/>
            <w:tcBorders>
              <w:top w:val="nil"/>
              <w:left w:val="nil"/>
              <w:bottom w:val="single" w:color="auto" w:sz="4" w:space="0"/>
              <w:right w:val="single" w:color="auto" w:sz="4" w:space="0"/>
            </w:tcBorders>
            <w:vAlign w:val="center"/>
            <w:hideMark/>
          </w:tcPr>
          <w:p w:rsidRPr="00CA6AB1" w:rsidR="00CA6AB1" w:rsidP="00CA6AB1" w:rsidRDefault="00CA6AB1" w14:paraId="690549CC"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WUR Rank</w:t>
            </w:r>
          </w:p>
        </w:tc>
        <w:tc>
          <w:tcPr>
            <w:tcW w:w="4253" w:type="dxa"/>
            <w:tcBorders>
              <w:top w:val="nil"/>
              <w:left w:val="nil"/>
              <w:bottom w:val="single" w:color="auto" w:sz="4" w:space="0"/>
              <w:right w:val="single" w:color="auto" w:sz="4" w:space="0"/>
            </w:tcBorders>
            <w:vAlign w:val="center"/>
            <w:hideMark/>
          </w:tcPr>
          <w:p w:rsidRPr="00CA6AB1" w:rsidR="00CA6AB1" w:rsidP="00CA6AB1" w:rsidRDefault="00CA6AB1" w14:paraId="0AECF6F2" w14:textId="77777777">
            <w:pPr>
              <w:spacing w:after="0" w:line="240" w:lineRule="auto"/>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Institution</w:t>
            </w:r>
          </w:p>
        </w:tc>
        <w:tc>
          <w:tcPr>
            <w:tcW w:w="1842" w:type="dxa"/>
            <w:tcBorders>
              <w:top w:val="nil"/>
              <w:left w:val="nil"/>
              <w:bottom w:val="single" w:color="auto" w:sz="4" w:space="0"/>
              <w:right w:val="single" w:color="auto" w:sz="4" w:space="0"/>
            </w:tcBorders>
            <w:vAlign w:val="center"/>
            <w:hideMark/>
          </w:tcPr>
          <w:p w:rsidRPr="00CA6AB1" w:rsidR="00CA6AB1" w:rsidP="00CA6AB1" w:rsidRDefault="00CA6AB1" w14:paraId="3FCA619A" w14:textId="77777777">
            <w:pPr>
              <w:spacing w:after="0" w:line="240" w:lineRule="auto"/>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Location</w:t>
            </w:r>
          </w:p>
        </w:tc>
      </w:tr>
      <w:tr w:rsidRPr="00CA6AB1" w:rsidR="00CA6AB1" w:rsidTr="00CA6AB1" w14:paraId="06DE2514"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2D2DD892"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52DA179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13C8627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11</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09770C56"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The University of Hong Kong</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3720F830"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Hong Kong SAR, China</w:t>
            </w:r>
          </w:p>
        </w:tc>
      </w:tr>
      <w:tr w:rsidRPr="00CA6AB1" w:rsidR="00CA6AB1" w:rsidTr="00CA6AB1" w14:paraId="46032E09"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1341295D"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45DC97FF"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3ABFE8DB"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13</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6F54DD84"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Peking University</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25C3077E"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CA6AB1" w:rsidR="00CA6AB1" w:rsidTr="00CA6AB1" w14:paraId="02F0476E"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0309F121"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3</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2F743B02"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9</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1908822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14</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767645D8"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Tsinghua University</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32625F56"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CA6AB1" w:rsidR="00CA6AB1" w:rsidTr="00CA6AB1" w14:paraId="30FF8193"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56F0EAA0"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4</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7365E7A6"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7</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2774AEE3"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52</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4265FD60"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City University of Hong Kong (CityUHK)</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5DB62D94"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Hong Kong SAR, China</w:t>
            </w:r>
          </w:p>
        </w:tc>
      </w:tr>
      <w:tr w:rsidRPr="00CA6AB1" w:rsidR="00CA6AB1" w:rsidTr="00CA6AB1" w14:paraId="3372AB58"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551AB313"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5</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7C54D576"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7</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5D8E0FD8"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18</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2E02B49A"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The Chinese University of Hong Kong (CUHK)</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38D73756"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Hong Kong SAR, China</w:t>
            </w:r>
          </w:p>
        </w:tc>
      </w:tr>
      <w:tr w:rsidRPr="00CA6AB1" w:rsidR="00CA6AB1" w:rsidTr="00CA6AB1" w14:paraId="67492BB0"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51242549"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6</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72B744F2"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7BDCF989"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26</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675E0643"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Fudan University</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1D231E2B"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CA6AB1" w:rsidR="00CA6AB1" w:rsidTr="00CA6AB1" w14:paraId="72AB692C"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7D1DF77E"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lastRenderedPageBreak/>
              <w:t>6</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01ACA6F2"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578D434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10</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615B629F"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National University of Singapore (NUS)</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09E35E75"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Singapore</w:t>
            </w:r>
          </w:p>
        </w:tc>
      </w:tr>
      <w:tr w:rsidRPr="00CA6AB1" w:rsidR="00CA6AB1" w:rsidTr="00CA6AB1" w14:paraId="3E9C4753"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34EE9F71"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8</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41677F9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3A9710B6"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12</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5068E0D2"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Nanyang Technological University, Singapore (NTU Singapore)</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6285B5CC"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Singapore</w:t>
            </w:r>
          </w:p>
        </w:tc>
      </w:tr>
      <w:tr w:rsidRPr="00CA6AB1" w:rsidR="00CA6AB1" w:rsidTr="00CA6AB1" w14:paraId="68601258"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0C690A6E"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9</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34C1D82E"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10</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0B8F3BB9"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50</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10F2E7F9"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The Hong Kong Polytechnic University</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51BA0509"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Hong Kong SAR, China</w:t>
            </w:r>
          </w:p>
        </w:tc>
      </w:tr>
      <w:tr w:rsidRPr="00CA6AB1" w:rsidR="00CA6AB1" w:rsidTr="00CA6AB1" w14:paraId="2C7CCC54"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48AC9F46"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9</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21670A16"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6</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08FAB6A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33</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153EC5AB"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The Hong Kong University of Science and Technology</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2431FB27"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Hong Kong SAR, China</w:t>
            </w:r>
          </w:p>
        </w:tc>
      </w:tr>
      <w:tr w:rsidRPr="00CA6AB1" w:rsidR="00CA6AB1" w:rsidTr="00CA6AB1" w14:paraId="468176D0"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4AB77F18"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11</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7C93879E"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11</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42C6B8A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42</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5CA79D7D"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Yonsei University</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255199AE"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Republic of Korea</w:t>
            </w:r>
          </w:p>
        </w:tc>
      </w:tr>
      <w:tr w:rsidRPr="00CA6AB1" w:rsidR="00CA6AB1" w:rsidTr="00CA6AB1" w14:paraId="084E6E72"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6FB7D1CA"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12</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79F8367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12</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424EEF84"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52</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694764E8"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Korea University</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72F6FCD5"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Republic of Korea</w:t>
            </w:r>
          </w:p>
        </w:tc>
      </w:tr>
      <w:tr w:rsidRPr="00CA6AB1" w:rsidR="00CA6AB1" w:rsidTr="00CA6AB1" w14:paraId="399175DC"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43EFB0A7"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13</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5D58DB12"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13</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34D92AA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36</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0A468F88"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Shanghai Jiao Tong University</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4FFD0ABB"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CA6AB1" w:rsidR="00CA6AB1" w:rsidTr="00CA6AB1" w14:paraId="46743C06"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1C634F2B"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14</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28E0DAB9"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14</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5533A43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47</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393027AD"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Zhejiang University</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076EF330"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CA6AB1" w:rsidR="00CA6AB1" w:rsidTr="00CA6AB1" w14:paraId="17D8D34F"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742F85DF"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15</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5E2FB817" w14:textId="42B357F3">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 //</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67B642C3"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65</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562C2F12"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KAIST</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7816A585"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Republic of Korea</w:t>
            </w:r>
          </w:p>
        </w:tc>
      </w:tr>
      <w:tr w:rsidRPr="00CA6AB1" w:rsidR="00CA6AB1" w:rsidTr="00CA6AB1" w14:paraId="7A183376"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742F3811"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15</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5286D11F"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16</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1911704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108</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4D0DEBE0"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Sungkyunkwan University (SKKU)</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2A1EC92B"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Republic of Korea</w:t>
            </w:r>
          </w:p>
        </w:tc>
      </w:tr>
      <w:tr w:rsidRPr="00CA6AB1" w:rsidR="00CA6AB1" w:rsidTr="00CA6AB1" w14:paraId="25231F5D"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0D7B2297"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16</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47EAC3E9"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17</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146A9F4F"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38</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596E4F1F"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Seoul National University</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77DE45A7"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Republic of Korea</w:t>
            </w:r>
          </w:p>
        </w:tc>
      </w:tr>
      <w:tr w:rsidRPr="00CA6AB1" w:rsidR="00CA6AB1" w:rsidTr="00CA6AB1" w14:paraId="4701DF73"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4F770AD3"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17</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24E72AE7"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19</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5365A91F"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90</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7E15F5DB"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Nanjing University</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2B85CC78"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CA6AB1" w:rsidR="00CA6AB1" w:rsidTr="00CA6AB1" w14:paraId="2E64A72B"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2DE62009"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17</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7067CA44"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15</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58C77A1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56</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77A42AC2"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Universiti Malaya (UM)</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70094338"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Malaysia</w:t>
            </w:r>
          </w:p>
        </w:tc>
      </w:tr>
      <w:tr w:rsidRPr="00CA6AB1" w:rsidR="00CA6AB1" w:rsidTr="00CA6AB1" w14:paraId="0E2148D1"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666DDEC8"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19</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20088769"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20</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023F7814"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155</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57EE3BD4"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Hanyang University</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697A266E"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Republic of Korea</w:t>
            </w:r>
          </w:p>
        </w:tc>
      </w:tr>
      <w:tr w:rsidRPr="00CA6AB1" w:rsidR="00CA6AB1" w:rsidTr="00CA6AB1" w14:paraId="71B4C36F"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2DF34142"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20</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681B57D1"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24</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7C04DAC4"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130</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61499C58"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Universiti Kebangsaan Malaysia (UKM)</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5FFFC1A5"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Malaysia</w:t>
            </w:r>
          </w:p>
        </w:tc>
      </w:tr>
      <w:tr w:rsidRPr="00CA6AB1" w:rsidR="00CA6AB1" w:rsidTr="00CA6AB1" w14:paraId="0BD2A09D" w14:textId="77777777">
        <w:trPr>
          <w:trHeight w:val="300"/>
        </w:trPr>
        <w:tc>
          <w:tcPr>
            <w:tcW w:w="988" w:type="dxa"/>
            <w:tcBorders>
              <w:top w:val="nil"/>
              <w:left w:val="single" w:color="auto" w:sz="4" w:space="0"/>
              <w:bottom w:val="single" w:color="auto" w:sz="4" w:space="0"/>
              <w:right w:val="single" w:color="auto" w:sz="4" w:space="0"/>
            </w:tcBorders>
            <w:noWrap/>
            <w:vAlign w:val="center"/>
            <w:hideMark/>
          </w:tcPr>
          <w:p w:rsidRPr="00CA6AB1" w:rsidR="00CA6AB1" w:rsidP="00CA6AB1" w:rsidRDefault="00CA6AB1" w14:paraId="3EBA7A20"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20</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12EC00C2"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21</w:t>
            </w:r>
          </w:p>
        </w:tc>
        <w:tc>
          <w:tcPr>
            <w:tcW w:w="992" w:type="dxa"/>
            <w:tcBorders>
              <w:top w:val="nil"/>
              <w:left w:val="nil"/>
              <w:bottom w:val="single" w:color="auto" w:sz="4" w:space="0"/>
              <w:right w:val="single" w:color="auto" w:sz="4" w:space="0"/>
            </w:tcBorders>
            <w:noWrap/>
            <w:vAlign w:val="center"/>
            <w:hideMark/>
          </w:tcPr>
          <w:p w:rsidRPr="00CA6AB1" w:rsidR="00CA6AB1" w:rsidP="00CA6AB1" w:rsidRDefault="00CA6AB1" w14:paraId="02E5D1DF"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134</w:t>
            </w:r>
          </w:p>
        </w:tc>
        <w:tc>
          <w:tcPr>
            <w:tcW w:w="4253" w:type="dxa"/>
            <w:tcBorders>
              <w:top w:val="nil"/>
              <w:left w:val="nil"/>
              <w:bottom w:val="single" w:color="auto" w:sz="4" w:space="0"/>
              <w:right w:val="single" w:color="auto" w:sz="4" w:space="0"/>
            </w:tcBorders>
            <w:noWrap/>
            <w:vAlign w:val="bottom"/>
            <w:hideMark/>
          </w:tcPr>
          <w:p w:rsidRPr="00CA6AB1" w:rsidR="00CA6AB1" w:rsidP="00CA6AB1" w:rsidRDefault="00CA6AB1" w14:paraId="45B0FEC0"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University of Science and Technology of China</w:t>
            </w:r>
          </w:p>
        </w:tc>
        <w:tc>
          <w:tcPr>
            <w:tcW w:w="1842" w:type="dxa"/>
            <w:tcBorders>
              <w:top w:val="nil"/>
              <w:left w:val="nil"/>
              <w:bottom w:val="single" w:color="auto" w:sz="4" w:space="0"/>
              <w:right w:val="single" w:color="auto" w:sz="4" w:space="0"/>
            </w:tcBorders>
            <w:noWrap/>
            <w:vAlign w:val="bottom"/>
            <w:hideMark/>
          </w:tcPr>
          <w:p w:rsidRPr="00CA6AB1" w:rsidR="00CA6AB1" w:rsidP="00CA6AB1" w:rsidRDefault="00CA6AB1" w14:paraId="3229E212"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bl>
    <w:p w:rsidR="00C326D2" w:rsidRDefault="00C326D2" w14:paraId="55C1DDFC" w14:textId="77777777">
      <w:pPr>
        <w:rPr>
          <w:b/>
          <w:bCs/>
        </w:rPr>
      </w:pPr>
    </w:p>
    <w:p w:rsidR="002530B9" w:rsidP="293EFDC9" w:rsidRDefault="002530B9" w14:paraId="27CD771E" w14:textId="2CB11D7D">
      <w:pPr>
        <w:rPr>
          <w:rFonts w:ascii="Calibri" w:hAnsi="Calibri" w:cs="Calibri"/>
          <w:sz w:val="22"/>
          <w:szCs w:val="22"/>
        </w:rPr>
      </w:pPr>
      <w:r w:rsidR="002530B9">
        <w:rPr>
          <w:rStyle w:val="normaltextrun"/>
          <w:rFonts w:ascii="Calibri" w:hAnsi="Calibri" w:cs="Calibri"/>
          <w:color w:val="000000"/>
          <w:sz w:val="22"/>
          <w:szCs w:val="22"/>
          <w:shd w:val="clear" w:color="auto" w:fill="FFFFFF"/>
        </w:rPr>
        <w:t>The </w:t>
      </w:r>
      <w:r>
        <w:fldChar w:fldCharType="begin"/>
      </w:r>
      <w:r>
        <w:instrText xml:space="preserve">HYPERLINK "https://www.topuniversities.com/asia-university-rankings"</w:instrText>
      </w:r>
      <w:r>
        <w:fldChar w:fldCharType="separate"/>
      </w:r>
      <w:r w:rsidR="002530B9">
        <w:rPr>
          <w:rStyle w:val="normaltextrun"/>
          <w:rFonts w:ascii="Calibri" w:hAnsi="Calibri" w:cs="Calibri"/>
          <w:color w:val="467886"/>
          <w:sz w:val="22"/>
          <w:szCs w:val="22"/>
          <w:u w:val="single"/>
          <w:shd w:val="clear" w:color="auto" w:fill="FFFFFF"/>
        </w:rPr>
        <w:t>QS World University Rankings: Asia 2027</w:t>
      </w:r>
      <w:r>
        <w:fldChar w:fldCharType="end"/>
      </w:r>
      <w:r w:rsidRPr="293EFDC9" w:rsidR="002530B9">
        <w:rPr>
          <w:rFonts w:ascii="Calibri" w:hAnsi="Calibri" w:cs="Calibri"/>
          <w:sz w:val="22"/>
          <w:szCs w:val="22"/>
        </w:rPr>
        <w:t xml:space="preserve"> features </w:t>
      </w:r>
      <w:r w:rsidRPr="293EFDC9" w:rsidR="002530B9">
        <w:rPr>
          <w:rFonts w:ascii="Calibri" w:hAnsi="Calibri" w:cs="Calibri"/>
          <w:sz w:val="22"/>
          <w:szCs w:val="22"/>
        </w:rPr>
        <w:t>1722</w:t>
      </w:r>
      <w:r w:rsidRPr="293EFDC9" w:rsidR="002530B9">
        <w:rPr>
          <w:rFonts w:ascii="Calibri" w:hAnsi="Calibri" w:cs="Calibri"/>
          <w:sz w:val="22"/>
          <w:szCs w:val="22"/>
        </w:rPr>
        <w:t xml:space="preserve"> universities from 26 higher education systems, with 195 entrants joining the rankings this year. Mainland China is the most represented system and the most expanded, adding 53 universities to bring its total to 448. It is followed by India, with </w:t>
      </w:r>
      <w:r w:rsidRPr="293EFDC9" w:rsidR="002530B9">
        <w:rPr>
          <w:rFonts w:ascii="Calibri" w:hAnsi="Calibri" w:cs="Calibri"/>
          <w:sz w:val="22"/>
          <w:szCs w:val="22"/>
        </w:rPr>
        <w:t>325</w:t>
      </w:r>
      <w:r w:rsidRPr="293EFDC9" w:rsidR="002530B9">
        <w:rPr>
          <w:rFonts w:ascii="Calibri" w:hAnsi="Calibri" w:cs="Calibri"/>
          <w:sz w:val="22"/>
          <w:szCs w:val="22"/>
        </w:rPr>
        <w:t xml:space="preserve"> and Japan with 153. </w:t>
      </w:r>
    </w:p>
    <w:p w:rsidR="002530B9" w:rsidP="293EFDC9" w:rsidRDefault="002530B9" w14:paraId="4A050E02" w14:textId="433F2B15">
      <w:pPr>
        <w:rPr>
          <w:rFonts w:ascii="Calibri" w:hAnsi="Calibri" w:cs="Calibri"/>
          <w:sz w:val="22"/>
          <w:szCs w:val="22"/>
        </w:rPr>
      </w:pPr>
      <w:r w:rsidRPr="293EFDC9" w:rsidR="002530B9">
        <w:rPr>
          <w:rFonts w:ascii="Calibri" w:hAnsi="Calibri" w:cs="Calibri"/>
          <w:sz w:val="22"/>
          <w:szCs w:val="22"/>
        </w:rPr>
        <w:t>Among higher education systems with previously ranked universities, six have seen an overall improvement; Macao SAR, Tajikistan, Hong Kong SAR, Singapore, Uzbekistan and Mainland China. Hong Kong is the most improved higher education system among those with five or more ranked universities, with eight climbing and two dropping, giving it a 55% net improvement rate.</w:t>
      </w:r>
    </w:p>
    <w:p w:rsidR="00F82259" w:rsidP="293EFDC9" w:rsidRDefault="00F82259" w14:paraId="3A78AAAF" w14:textId="3E8440AD">
      <w:pPr>
        <w:rPr>
          <w:rFonts w:ascii="Calibri" w:hAnsi="Calibri" w:cs="Calibri"/>
          <w:sz w:val="22"/>
          <w:szCs w:val="22"/>
        </w:rPr>
      </w:pPr>
      <w:r w:rsidRPr="293EFDC9" w:rsidR="00F82259">
        <w:rPr>
          <w:rFonts w:ascii="Calibri" w:hAnsi="Calibri" w:cs="Calibri"/>
          <w:sz w:val="22"/>
          <w:szCs w:val="22"/>
        </w:rPr>
        <w:t>Maldives ranks for the first time, adding two entries: The Maldives National University and Villa College. </w:t>
      </w:r>
    </w:p>
    <w:tbl>
      <w:tblPr>
        <w:tblW w:w="10473" w:type="dxa"/>
        <w:tblInd w:w="-714" w:type="dxa"/>
        <w:tblLayout w:type="fixed"/>
        <w:tblLook w:val="04A0" w:firstRow="1" w:lastRow="0" w:firstColumn="1" w:lastColumn="0" w:noHBand="0" w:noVBand="1"/>
      </w:tblPr>
      <w:tblGrid>
        <w:gridCol w:w="993"/>
        <w:gridCol w:w="690"/>
        <w:gridCol w:w="627"/>
        <w:gridCol w:w="627"/>
        <w:gridCol w:w="694"/>
        <w:gridCol w:w="813"/>
        <w:gridCol w:w="649"/>
        <w:gridCol w:w="537"/>
        <w:gridCol w:w="642"/>
        <w:gridCol w:w="627"/>
        <w:gridCol w:w="2967"/>
        <w:gridCol w:w="607"/>
      </w:tblGrid>
      <w:tr w:rsidRPr="00BE11A3" w:rsidR="00BE11A3" w:rsidTr="197B92FD" w14:paraId="049FD260" w14:textId="77777777">
        <w:trPr>
          <w:trHeight w:val="300"/>
        </w:trPr>
        <w:tc>
          <w:tcPr>
            <w:tcW w:w="10473" w:type="dxa"/>
            <w:gridSpan w:val="12"/>
            <w:tcBorders>
              <w:top w:val="single" w:color="auto" w:sz="4" w:space="0"/>
              <w:left w:val="single" w:color="auto" w:sz="4" w:space="0"/>
              <w:bottom w:val="single" w:color="auto" w:sz="4" w:space="0"/>
              <w:right w:val="single" w:color="auto" w:sz="4" w:space="0"/>
            </w:tcBorders>
            <w:noWrap/>
            <w:vAlign w:val="bottom"/>
            <w:hideMark/>
          </w:tcPr>
          <w:p w:rsidRPr="00BE11A3" w:rsidR="00BE11A3" w:rsidP="00BE11A3" w:rsidRDefault="00BE11A3" w14:paraId="5B527002" w14:textId="77777777">
            <w:pPr>
              <w:spacing w:after="0" w:line="240" w:lineRule="auto"/>
              <w:jc w:val="center"/>
              <w:rPr>
                <w:rFonts w:ascii="Calibri" w:hAnsi="Calibri" w:eastAsia="Times New Roman" w:cs="Calibri"/>
                <w:b/>
                <w:bCs/>
                <w:color w:val="1D1D1B"/>
                <w:kern w:val="0"/>
                <w:sz w:val="20"/>
                <w:szCs w:val="20"/>
                <w:lang w:eastAsia="en-GB"/>
                <w14:ligatures w14:val="none"/>
              </w:rPr>
            </w:pPr>
            <w:r>
              <w:rPr>
                <w:rFonts w:ascii="Calibri" w:hAnsi="Calibri" w:eastAsia="Times New Roman" w:cs="Calibri"/>
                <w:b/>
                <w:bCs/>
                <w:color w:val="1D1D1B"/>
                <w:kern w:val="0"/>
                <w:sz w:val="20"/>
                <w:szCs w:val="20"/>
                <w:lang w:eastAsia="en-GB"/>
                <w14:ligatures w14:val="none"/>
              </w:rPr>
              <w:t>Table 2: Top systems by total ranked universities</w:t>
            </w:r>
          </w:p>
        </w:tc>
      </w:tr>
      <w:tr w:rsidRPr="00BE11A3" w:rsidR="00BE11A3" w:rsidTr="001722E6" w14:paraId="6FA74EF1" w14:textId="77777777">
        <w:trPr>
          <w:trHeight w:val="300"/>
        </w:trPr>
        <w:tc>
          <w:tcPr>
            <w:tcW w:w="993" w:type="dxa"/>
            <w:vMerge w:val="restart"/>
            <w:tcBorders>
              <w:top w:val="single" w:color="auto" w:sz="4" w:space="0"/>
              <w:left w:val="single" w:color="auto" w:sz="4" w:space="0"/>
              <w:bottom w:val="single" w:color="auto" w:sz="4" w:space="0"/>
              <w:right w:val="single" w:color="auto" w:sz="4" w:space="0"/>
            </w:tcBorders>
            <w:noWrap/>
            <w:vAlign w:val="bottom"/>
            <w:hideMark/>
          </w:tcPr>
          <w:p w:rsidRPr="00BE11A3" w:rsidR="00BE11A3" w:rsidP="00BE11A3" w:rsidRDefault="00BE11A3" w14:paraId="02565198" w14:textId="77777777">
            <w:pPr>
              <w:spacing w:after="0" w:line="240" w:lineRule="auto"/>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HE System</w:t>
            </w:r>
          </w:p>
        </w:tc>
        <w:tc>
          <w:tcPr>
            <w:tcW w:w="690" w:type="dxa"/>
            <w:vMerge w:val="restart"/>
            <w:tcBorders>
              <w:top w:val="single" w:color="auto" w:sz="4" w:space="0"/>
              <w:left w:val="single" w:color="auto" w:sz="4" w:space="0"/>
              <w:bottom w:val="single" w:color="auto" w:sz="4" w:space="0"/>
              <w:right w:val="single" w:color="auto" w:sz="4" w:space="0"/>
            </w:tcBorders>
            <w:noWrap/>
            <w:vAlign w:val="bottom"/>
            <w:hideMark/>
          </w:tcPr>
          <w:p w:rsidRPr="00BE11A3" w:rsidR="00BE11A3" w:rsidP="00BE11A3" w:rsidRDefault="00BE11A3" w14:paraId="4484E7D8"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Total</w:t>
            </w:r>
          </w:p>
        </w:tc>
        <w:tc>
          <w:tcPr>
            <w:tcW w:w="627" w:type="dxa"/>
            <w:vMerge w:val="restart"/>
            <w:tcBorders>
              <w:top w:val="single" w:color="auto" w:sz="4" w:space="0"/>
              <w:left w:val="single" w:color="auto" w:sz="4" w:space="0"/>
              <w:bottom w:val="single" w:color="auto" w:sz="4" w:space="0"/>
              <w:right w:val="single" w:color="auto" w:sz="4" w:space="0"/>
            </w:tcBorders>
            <w:noWrap/>
            <w:vAlign w:val="bottom"/>
            <w:hideMark/>
          </w:tcPr>
          <w:p w:rsidRPr="00BE11A3" w:rsidR="00BE11A3" w:rsidP="00BE11A3" w:rsidRDefault="00BE11A3" w14:paraId="39BF2915" w14:textId="77777777">
            <w:pPr>
              <w:spacing w:after="0" w:line="240" w:lineRule="auto"/>
              <w:jc w:val="center"/>
              <w:rPr>
                <w:rFonts w:ascii="Calibri" w:hAnsi="Calibri" w:eastAsia="Times New Roman" w:cs="Calibri"/>
                <w:b/>
                <w:bCs/>
                <w:color w:val="00B050"/>
                <w:kern w:val="0"/>
                <w:sz w:val="16"/>
                <w:szCs w:val="16"/>
                <w:lang w:eastAsia="en-GB"/>
                <w14:ligatures w14:val="none"/>
              </w:rPr>
            </w:pPr>
            <w:r>
              <w:rPr>
                <w:rFonts w:ascii="Calibri" w:hAnsi="Calibri" w:eastAsia="Times New Roman" w:cs="Calibri"/>
                <w:b/>
                <w:bCs/>
                <w:color w:val="00B050"/>
                <w:kern w:val="0"/>
                <w:sz w:val="16"/>
                <w:szCs w:val="16"/>
                <w:lang w:eastAsia="en-GB"/>
                <w14:ligatures w14:val="none"/>
              </w:rPr>
              <w:t>Up</w:t>
            </w:r>
          </w:p>
        </w:tc>
        <w:tc>
          <w:tcPr>
            <w:tcW w:w="627" w:type="dxa"/>
            <w:vMerge w:val="restart"/>
            <w:tcBorders>
              <w:top w:val="single" w:color="auto" w:sz="4" w:space="0"/>
              <w:left w:val="single" w:color="auto" w:sz="4" w:space="0"/>
              <w:bottom w:val="single" w:color="auto" w:sz="4" w:space="0"/>
              <w:right w:val="single" w:color="auto" w:sz="4" w:space="0"/>
            </w:tcBorders>
            <w:noWrap/>
            <w:vAlign w:val="bottom"/>
            <w:hideMark/>
          </w:tcPr>
          <w:p w:rsidRPr="00BE11A3" w:rsidR="00BE11A3" w:rsidP="00BE11A3" w:rsidRDefault="00BE11A3" w14:paraId="7597CC6A" w14:textId="77777777">
            <w:pPr>
              <w:spacing w:after="0" w:line="240" w:lineRule="auto"/>
              <w:jc w:val="center"/>
              <w:rPr>
                <w:rFonts w:ascii="Calibri" w:hAnsi="Calibri" w:eastAsia="Times New Roman" w:cs="Calibri"/>
                <w:b/>
                <w:bCs/>
                <w:color w:val="FFC000"/>
                <w:kern w:val="0"/>
                <w:sz w:val="16"/>
                <w:szCs w:val="16"/>
                <w:lang w:eastAsia="en-GB"/>
                <w14:ligatures w14:val="none"/>
              </w:rPr>
            </w:pPr>
            <w:r>
              <w:rPr>
                <w:rFonts w:ascii="Calibri" w:hAnsi="Calibri" w:eastAsia="Times New Roman" w:cs="Calibri"/>
                <w:b/>
                <w:bCs/>
                <w:color w:val="FFC000"/>
                <w:kern w:val="0"/>
                <w:sz w:val="16"/>
                <w:szCs w:val="16"/>
                <w:lang w:eastAsia="en-GB"/>
                <w14:ligatures w14:val="none"/>
              </w:rPr>
              <w:t>Same</w:t>
            </w:r>
          </w:p>
        </w:tc>
        <w:tc>
          <w:tcPr>
            <w:tcW w:w="694" w:type="dxa"/>
            <w:vMerge w:val="restart"/>
            <w:tcBorders>
              <w:top w:val="single" w:color="auto" w:sz="4" w:space="0"/>
              <w:left w:val="single" w:color="auto" w:sz="4" w:space="0"/>
              <w:bottom w:val="single" w:color="auto" w:sz="4" w:space="0"/>
              <w:right w:val="single" w:color="auto" w:sz="4" w:space="0"/>
            </w:tcBorders>
            <w:noWrap/>
            <w:vAlign w:val="bottom"/>
            <w:hideMark/>
          </w:tcPr>
          <w:p w:rsidRPr="00BE11A3" w:rsidR="00BE11A3" w:rsidP="00BE11A3" w:rsidRDefault="00BE11A3" w14:paraId="5B89EAC7" w14:textId="77777777">
            <w:pPr>
              <w:spacing w:after="0" w:line="240" w:lineRule="auto"/>
              <w:jc w:val="center"/>
              <w:rPr>
                <w:rFonts w:ascii="Calibri" w:hAnsi="Calibri" w:eastAsia="Times New Roman" w:cs="Calibri"/>
                <w:b/>
                <w:bCs/>
                <w:color w:val="C00000"/>
                <w:kern w:val="0"/>
                <w:sz w:val="16"/>
                <w:szCs w:val="16"/>
                <w:lang w:eastAsia="en-GB"/>
                <w14:ligatures w14:val="none"/>
              </w:rPr>
            </w:pPr>
            <w:r>
              <w:rPr>
                <w:rFonts w:ascii="Calibri" w:hAnsi="Calibri" w:eastAsia="Times New Roman" w:cs="Calibri"/>
                <w:b/>
                <w:bCs/>
                <w:color w:val="C00000"/>
                <w:kern w:val="0"/>
                <w:sz w:val="16"/>
                <w:szCs w:val="16"/>
                <w:lang w:eastAsia="en-GB"/>
                <w14:ligatures w14:val="none"/>
              </w:rPr>
              <w:t>Down</w:t>
            </w:r>
          </w:p>
        </w:tc>
        <w:tc>
          <w:tcPr>
            <w:tcW w:w="813" w:type="dxa"/>
            <w:vMerge w:val="restart"/>
            <w:tcBorders>
              <w:top w:val="single" w:color="auto" w:sz="4" w:space="0"/>
              <w:left w:val="single" w:color="auto" w:sz="4" w:space="0"/>
              <w:bottom w:val="single" w:color="auto" w:sz="4" w:space="0"/>
              <w:right w:val="single" w:color="auto" w:sz="4" w:space="0"/>
            </w:tcBorders>
            <w:vAlign w:val="bottom"/>
            <w:hideMark/>
          </w:tcPr>
          <w:p w:rsidRPr="00BE11A3" w:rsidR="00BE11A3" w:rsidP="00BE11A3" w:rsidRDefault="00BE11A3" w14:paraId="5500C044" w14:textId="2BEA5FC1">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Change</w:t>
            </w:r>
          </w:p>
        </w:tc>
        <w:tc>
          <w:tcPr>
            <w:tcW w:w="649" w:type="dxa"/>
            <w:vMerge w:val="restart"/>
            <w:tcBorders>
              <w:top w:val="single" w:color="auto" w:sz="4" w:space="0"/>
              <w:left w:val="single" w:color="auto" w:sz="4" w:space="0"/>
              <w:bottom w:val="single" w:color="auto" w:sz="4" w:space="0"/>
              <w:right w:val="single" w:color="auto" w:sz="4" w:space="0"/>
            </w:tcBorders>
            <w:noWrap/>
            <w:vAlign w:val="bottom"/>
            <w:hideMark/>
          </w:tcPr>
          <w:p w:rsidRPr="00BE11A3" w:rsidR="00BE11A3" w:rsidP="00BE11A3" w:rsidRDefault="00BE11A3" w14:paraId="18DCC0BB"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New </w:t>
            </w:r>
          </w:p>
        </w:tc>
        <w:tc>
          <w:tcPr>
            <w:tcW w:w="537" w:type="dxa"/>
            <w:vMerge w:val="restart"/>
            <w:tcBorders>
              <w:top w:val="single" w:color="auto" w:sz="4" w:space="0"/>
              <w:left w:val="single" w:color="auto" w:sz="4" w:space="0"/>
              <w:bottom w:val="single" w:color="auto" w:sz="4" w:space="0"/>
              <w:right w:val="single" w:color="auto" w:sz="4" w:space="0"/>
            </w:tcBorders>
            <w:shd w:val="clear" w:color="auto" w:fill="E9E9E7"/>
            <w:noWrap/>
            <w:vAlign w:val="bottom"/>
            <w:hideMark/>
          </w:tcPr>
          <w:p w:rsidRPr="00BE11A3" w:rsidR="00BE11A3" w:rsidP="00BE11A3" w:rsidRDefault="00BE11A3" w14:paraId="67DA791C"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Top 50 </w:t>
            </w:r>
          </w:p>
        </w:tc>
        <w:tc>
          <w:tcPr>
            <w:tcW w:w="642" w:type="dxa"/>
            <w:vMerge w:val="restart"/>
            <w:tcBorders>
              <w:top w:val="single" w:color="auto" w:sz="4" w:space="0"/>
              <w:left w:val="single" w:color="auto" w:sz="4" w:space="0"/>
              <w:bottom w:val="single" w:color="auto" w:sz="4" w:space="0"/>
              <w:right w:val="single" w:color="auto" w:sz="4" w:space="0"/>
            </w:tcBorders>
            <w:shd w:val="clear" w:color="auto" w:fill="E9E9E7"/>
            <w:noWrap/>
            <w:vAlign w:val="bottom"/>
            <w:hideMark/>
          </w:tcPr>
          <w:p w:rsidRPr="00BE11A3" w:rsidR="00BE11A3" w:rsidP="00BE11A3" w:rsidRDefault="00BE11A3" w14:paraId="43650355"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Top 100 </w:t>
            </w:r>
          </w:p>
        </w:tc>
        <w:tc>
          <w:tcPr>
            <w:tcW w:w="627" w:type="dxa"/>
            <w:vMerge w:val="restart"/>
            <w:tcBorders>
              <w:top w:val="single" w:color="auto" w:sz="4" w:space="0"/>
              <w:left w:val="single" w:color="auto" w:sz="4" w:space="0"/>
              <w:bottom w:val="single" w:color="auto" w:sz="4" w:space="0"/>
              <w:right w:val="single" w:color="auto" w:sz="4" w:space="0"/>
            </w:tcBorders>
            <w:shd w:val="clear" w:color="auto" w:fill="E9E9E7"/>
            <w:noWrap/>
            <w:vAlign w:val="bottom"/>
            <w:hideMark/>
          </w:tcPr>
          <w:p w:rsidRPr="00BE11A3" w:rsidR="00BE11A3" w:rsidP="00BE11A3" w:rsidRDefault="00BE11A3" w14:paraId="153DBDC1"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Top 500 </w:t>
            </w:r>
          </w:p>
        </w:tc>
        <w:tc>
          <w:tcPr>
            <w:tcW w:w="3574" w:type="dxa"/>
            <w:gridSpan w:val="2"/>
            <w:tcBorders>
              <w:top w:val="single" w:color="auto" w:sz="4" w:space="0"/>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7CA561D6"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Top university</w:t>
            </w:r>
          </w:p>
        </w:tc>
      </w:tr>
      <w:tr w:rsidRPr="00BE11A3" w:rsidR="00BE11A3" w:rsidTr="001722E6" w14:paraId="73EFBB11" w14:textId="77777777">
        <w:trPr>
          <w:trHeight w:val="300"/>
        </w:trPr>
        <w:tc>
          <w:tcPr>
            <w:tcW w:w="993" w:type="dxa"/>
            <w:vMerge/>
            <w:tcBorders>
              <w:top w:val="single" w:color="auto" w:sz="4" w:space="0"/>
              <w:left w:val="single" w:color="auto" w:sz="4" w:space="0"/>
              <w:bottom w:val="single" w:color="auto" w:sz="4" w:space="0"/>
              <w:right w:val="single" w:color="auto" w:sz="4" w:space="0"/>
            </w:tcBorders>
            <w:vAlign w:val="center"/>
            <w:hideMark/>
          </w:tcPr>
          <w:p w:rsidRPr="00BE11A3" w:rsidR="00BE11A3" w:rsidP="00BE11A3" w:rsidRDefault="00BE11A3" w14:paraId="008C6BAA" w14:textId="77777777">
            <w:pPr>
              <w:spacing w:after="0" w:line="240" w:lineRule="auto"/>
              <w:rPr>
                <w:rFonts w:ascii="Calibri" w:hAnsi="Calibri" w:eastAsia="Times New Roman" w:cs="Calibri"/>
                <w:b/>
                <w:bCs/>
                <w:kern w:val="0"/>
                <w:sz w:val="16"/>
                <w:szCs w:val="16"/>
                <w:lang w:eastAsia="en-GB"/>
                <w14:ligatures w14:val="none"/>
              </w:rPr>
            </w:pPr>
          </w:p>
        </w:tc>
        <w:tc>
          <w:tcPr>
            <w:tcW w:w="690" w:type="dxa"/>
            <w:vMerge/>
            <w:tcBorders>
              <w:top w:val="single" w:color="auto" w:sz="4" w:space="0"/>
              <w:left w:val="single" w:color="auto" w:sz="4" w:space="0"/>
              <w:bottom w:val="single" w:color="auto" w:sz="4" w:space="0"/>
              <w:right w:val="single" w:color="auto" w:sz="4" w:space="0"/>
            </w:tcBorders>
            <w:vAlign w:val="center"/>
            <w:hideMark/>
          </w:tcPr>
          <w:p w:rsidRPr="00BE11A3" w:rsidR="00BE11A3" w:rsidP="00BE11A3" w:rsidRDefault="00BE11A3" w14:paraId="260B12D4" w14:textId="77777777">
            <w:pPr>
              <w:spacing w:after="0" w:line="240" w:lineRule="auto"/>
              <w:rPr>
                <w:rFonts w:ascii="Calibri" w:hAnsi="Calibri" w:eastAsia="Times New Roman" w:cs="Calibri"/>
                <w:b/>
                <w:bCs/>
                <w:kern w:val="0"/>
                <w:sz w:val="16"/>
                <w:szCs w:val="16"/>
                <w:lang w:eastAsia="en-GB"/>
                <w14:ligatures w14:val="none"/>
              </w:rPr>
            </w:pPr>
          </w:p>
        </w:tc>
        <w:tc>
          <w:tcPr>
            <w:tcW w:w="627" w:type="dxa"/>
            <w:vMerge/>
            <w:tcBorders>
              <w:top w:val="single" w:color="auto" w:sz="4" w:space="0"/>
              <w:left w:val="single" w:color="auto" w:sz="4" w:space="0"/>
              <w:bottom w:val="single" w:color="auto" w:sz="4" w:space="0"/>
              <w:right w:val="single" w:color="auto" w:sz="4" w:space="0"/>
            </w:tcBorders>
            <w:vAlign w:val="center"/>
            <w:hideMark/>
          </w:tcPr>
          <w:p w:rsidRPr="00BE11A3" w:rsidR="00BE11A3" w:rsidP="00BE11A3" w:rsidRDefault="00BE11A3" w14:paraId="11DE2018" w14:textId="77777777">
            <w:pPr>
              <w:spacing w:after="0" w:line="240" w:lineRule="auto"/>
              <w:rPr>
                <w:rFonts w:ascii="Calibri" w:hAnsi="Calibri" w:eastAsia="Times New Roman" w:cs="Calibri"/>
                <w:b/>
                <w:bCs/>
                <w:color w:val="00B050"/>
                <w:kern w:val="0"/>
                <w:sz w:val="16"/>
                <w:szCs w:val="16"/>
                <w:lang w:eastAsia="en-GB"/>
                <w14:ligatures w14:val="none"/>
              </w:rPr>
            </w:pPr>
          </w:p>
        </w:tc>
        <w:tc>
          <w:tcPr>
            <w:tcW w:w="627" w:type="dxa"/>
            <w:vMerge/>
            <w:tcBorders>
              <w:top w:val="single" w:color="auto" w:sz="4" w:space="0"/>
              <w:left w:val="single" w:color="auto" w:sz="4" w:space="0"/>
              <w:bottom w:val="single" w:color="auto" w:sz="4" w:space="0"/>
              <w:right w:val="single" w:color="auto" w:sz="4" w:space="0"/>
            </w:tcBorders>
            <w:vAlign w:val="center"/>
            <w:hideMark/>
          </w:tcPr>
          <w:p w:rsidRPr="00BE11A3" w:rsidR="00BE11A3" w:rsidP="00BE11A3" w:rsidRDefault="00BE11A3" w14:paraId="1181E5DE" w14:textId="77777777">
            <w:pPr>
              <w:spacing w:after="0" w:line="240" w:lineRule="auto"/>
              <w:rPr>
                <w:rFonts w:ascii="Calibri" w:hAnsi="Calibri" w:eastAsia="Times New Roman" w:cs="Calibri"/>
                <w:b/>
                <w:bCs/>
                <w:color w:val="FFC000"/>
                <w:kern w:val="0"/>
                <w:sz w:val="16"/>
                <w:szCs w:val="16"/>
                <w:lang w:eastAsia="en-GB"/>
                <w14:ligatures w14:val="none"/>
              </w:rPr>
            </w:pPr>
          </w:p>
        </w:tc>
        <w:tc>
          <w:tcPr>
            <w:tcW w:w="694" w:type="dxa"/>
            <w:vMerge/>
            <w:tcBorders>
              <w:top w:val="single" w:color="auto" w:sz="4" w:space="0"/>
              <w:left w:val="single" w:color="auto" w:sz="4" w:space="0"/>
              <w:bottom w:val="single" w:color="auto" w:sz="4" w:space="0"/>
              <w:right w:val="single" w:color="auto" w:sz="4" w:space="0"/>
            </w:tcBorders>
            <w:vAlign w:val="center"/>
            <w:hideMark/>
          </w:tcPr>
          <w:p w:rsidRPr="00BE11A3" w:rsidR="00BE11A3" w:rsidP="00BE11A3" w:rsidRDefault="00BE11A3" w14:paraId="3F5C26C4" w14:textId="77777777">
            <w:pPr>
              <w:spacing w:after="0" w:line="240" w:lineRule="auto"/>
              <w:rPr>
                <w:rFonts w:ascii="Calibri" w:hAnsi="Calibri" w:eastAsia="Times New Roman" w:cs="Calibri"/>
                <w:b/>
                <w:bCs/>
                <w:color w:val="C00000"/>
                <w:kern w:val="0"/>
                <w:sz w:val="16"/>
                <w:szCs w:val="16"/>
                <w:lang w:eastAsia="en-GB"/>
                <w14:ligatures w14:val="none"/>
              </w:rPr>
            </w:pPr>
          </w:p>
        </w:tc>
        <w:tc>
          <w:tcPr>
            <w:tcW w:w="813" w:type="dxa"/>
            <w:vMerge/>
            <w:tcBorders>
              <w:top w:val="single" w:color="auto" w:sz="4" w:space="0"/>
              <w:left w:val="single" w:color="auto" w:sz="4" w:space="0"/>
              <w:bottom w:val="single" w:color="auto" w:sz="4" w:space="0"/>
              <w:right w:val="single" w:color="auto" w:sz="4" w:space="0"/>
            </w:tcBorders>
            <w:vAlign w:val="center"/>
            <w:hideMark/>
          </w:tcPr>
          <w:p w:rsidRPr="00BE11A3" w:rsidR="00BE11A3" w:rsidP="00BE11A3" w:rsidRDefault="00BE11A3" w14:paraId="4D47F65F" w14:textId="77777777">
            <w:pPr>
              <w:spacing w:after="0" w:line="240" w:lineRule="auto"/>
              <w:rPr>
                <w:rFonts w:ascii="Calibri" w:hAnsi="Calibri" w:eastAsia="Times New Roman" w:cs="Calibri"/>
                <w:b/>
                <w:bCs/>
                <w:kern w:val="0"/>
                <w:sz w:val="16"/>
                <w:szCs w:val="16"/>
                <w:lang w:eastAsia="en-GB"/>
                <w14:ligatures w14:val="none"/>
              </w:rPr>
            </w:pPr>
          </w:p>
        </w:tc>
        <w:tc>
          <w:tcPr>
            <w:tcW w:w="649" w:type="dxa"/>
            <w:vMerge/>
            <w:tcBorders>
              <w:top w:val="single" w:color="auto" w:sz="4" w:space="0"/>
              <w:left w:val="single" w:color="auto" w:sz="4" w:space="0"/>
              <w:bottom w:val="single" w:color="auto" w:sz="4" w:space="0"/>
              <w:right w:val="single" w:color="auto" w:sz="4" w:space="0"/>
            </w:tcBorders>
            <w:vAlign w:val="center"/>
            <w:hideMark/>
          </w:tcPr>
          <w:p w:rsidRPr="00BE11A3" w:rsidR="00BE11A3" w:rsidP="00BE11A3" w:rsidRDefault="00BE11A3" w14:paraId="5CC36F7B" w14:textId="77777777">
            <w:pPr>
              <w:spacing w:after="0" w:line="240" w:lineRule="auto"/>
              <w:rPr>
                <w:rFonts w:ascii="Calibri" w:hAnsi="Calibri" w:eastAsia="Times New Roman" w:cs="Calibri"/>
                <w:b/>
                <w:bCs/>
                <w:kern w:val="0"/>
                <w:sz w:val="16"/>
                <w:szCs w:val="16"/>
                <w:lang w:eastAsia="en-GB"/>
                <w14:ligatures w14:val="none"/>
              </w:rPr>
            </w:pPr>
          </w:p>
        </w:tc>
        <w:tc>
          <w:tcPr>
            <w:tcW w:w="537" w:type="dxa"/>
            <w:vMerge/>
            <w:tcBorders>
              <w:top w:val="single" w:color="auto" w:sz="4" w:space="0"/>
              <w:left w:val="single" w:color="auto" w:sz="4" w:space="0"/>
              <w:bottom w:val="single" w:color="auto" w:sz="4" w:space="0"/>
              <w:right w:val="single" w:color="auto" w:sz="4" w:space="0"/>
            </w:tcBorders>
            <w:vAlign w:val="center"/>
            <w:hideMark/>
          </w:tcPr>
          <w:p w:rsidRPr="00BE11A3" w:rsidR="00BE11A3" w:rsidP="00BE11A3" w:rsidRDefault="00BE11A3" w14:paraId="50989AC6" w14:textId="77777777">
            <w:pPr>
              <w:spacing w:after="0" w:line="240" w:lineRule="auto"/>
              <w:rPr>
                <w:rFonts w:ascii="Calibri" w:hAnsi="Calibri" w:eastAsia="Times New Roman" w:cs="Calibri"/>
                <w:b/>
                <w:bCs/>
                <w:kern w:val="0"/>
                <w:sz w:val="16"/>
                <w:szCs w:val="16"/>
                <w:lang w:eastAsia="en-GB"/>
                <w14:ligatures w14:val="none"/>
              </w:rPr>
            </w:pPr>
          </w:p>
        </w:tc>
        <w:tc>
          <w:tcPr>
            <w:tcW w:w="642" w:type="dxa"/>
            <w:vMerge/>
            <w:tcBorders>
              <w:top w:val="single" w:color="auto" w:sz="4" w:space="0"/>
              <w:left w:val="single" w:color="auto" w:sz="4" w:space="0"/>
              <w:bottom w:val="single" w:color="auto" w:sz="4" w:space="0"/>
              <w:right w:val="single" w:color="auto" w:sz="4" w:space="0"/>
            </w:tcBorders>
            <w:vAlign w:val="center"/>
            <w:hideMark/>
          </w:tcPr>
          <w:p w:rsidRPr="00BE11A3" w:rsidR="00BE11A3" w:rsidP="00BE11A3" w:rsidRDefault="00BE11A3" w14:paraId="097676A6" w14:textId="77777777">
            <w:pPr>
              <w:spacing w:after="0" w:line="240" w:lineRule="auto"/>
              <w:rPr>
                <w:rFonts w:ascii="Calibri" w:hAnsi="Calibri" w:eastAsia="Times New Roman" w:cs="Calibri"/>
                <w:b/>
                <w:bCs/>
                <w:kern w:val="0"/>
                <w:sz w:val="16"/>
                <w:szCs w:val="16"/>
                <w:lang w:eastAsia="en-GB"/>
                <w14:ligatures w14:val="none"/>
              </w:rPr>
            </w:pPr>
          </w:p>
        </w:tc>
        <w:tc>
          <w:tcPr>
            <w:tcW w:w="627" w:type="dxa"/>
            <w:vMerge/>
            <w:tcBorders>
              <w:top w:val="single" w:color="auto" w:sz="4" w:space="0"/>
              <w:left w:val="single" w:color="auto" w:sz="4" w:space="0"/>
              <w:bottom w:val="single" w:color="auto" w:sz="4" w:space="0"/>
              <w:right w:val="single" w:color="auto" w:sz="4" w:space="0"/>
            </w:tcBorders>
            <w:vAlign w:val="center"/>
            <w:hideMark/>
          </w:tcPr>
          <w:p w:rsidRPr="00BE11A3" w:rsidR="00BE11A3" w:rsidP="00BE11A3" w:rsidRDefault="00BE11A3" w14:paraId="20B2742E" w14:textId="77777777">
            <w:pPr>
              <w:spacing w:after="0" w:line="240" w:lineRule="auto"/>
              <w:rPr>
                <w:rFonts w:ascii="Calibri" w:hAnsi="Calibri" w:eastAsia="Times New Roman" w:cs="Calibri"/>
                <w:b/>
                <w:bCs/>
                <w:kern w:val="0"/>
                <w:sz w:val="16"/>
                <w:szCs w:val="16"/>
                <w:lang w:eastAsia="en-GB"/>
                <w14:ligatures w14:val="none"/>
              </w:rPr>
            </w:pPr>
          </w:p>
        </w:tc>
        <w:tc>
          <w:tcPr>
            <w:tcW w:w="2967"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791FD330" w14:textId="77777777">
            <w:pPr>
              <w:spacing w:after="0" w:line="240" w:lineRule="auto"/>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Name</w:t>
            </w:r>
          </w:p>
        </w:tc>
        <w:tc>
          <w:tcPr>
            <w:tcW w:w="607"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54F5C768"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Rank</w:t>
            </w:r>
          </w:p>
        </w:tc>
      </w:tr>
      <w:tr w:rsidRPr="00BE11A3" w:rsidR="00BE11A3" w:rsidTr="001722E6" w14:paraId="72B86C6B" w14:textId="77777777">
        <w:trPr>
          <w:trHeight w:val="300"/>
        </w:trPr>
        <w:tc>
          <w:tcPr>
            <w:tcW w:w="993" w:type="dxa"/>
            <w:tcBorders>
              <w:top w:val="single" w:color="auto" w:sz="4" w:space="0"/>
              <w:left w:val="single" w:color="auto" w:sz="4" w:space="0"/>
              <w:bottom w:val="single" w:color="auto" w:sz="4" w:space="0"/>
              <w:right w:val="single" w:color="auto" w:sz="4" w:space="0"/>
            </w:tcBorders>
            <w:noWrap/>
            <w:vAlign w:val="bottom"/>
            <w:hideMark/>
          </w:tcPr>
          <w:p w:rsidRPr="00BE11A3" w:rsidR="00BE11A3" w:rsidP="00BE11A3" w:rsidRDefault="00BE11A3" w14:paraId="4EE876A8"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c>
          <w:tcPr>
            <w:tcW w:w="690" w:type="dxa"/>
            <w:tcBorders>
              <w:top w:val="single" w:color="auto" w:sz="4" w:space="0"/>
              <w:left w:val="nil"/>
              <w:bottom w:val="single" w:color="auto" w:sz="4" w:space="0"/>
              <w:right w:val="single" w:color="auto" w:sz="4" w:space="0"/>
            </w:tcBorders>
            <w:noWrap/>
            <w:vAlign w:val="bottom"/>
            <w:hideMark/>
          </w:tcPr>
          <w:p w:rsidRPr="00BE11A3" w:rsidR="00BE11A3" w:rsidP="00BE11A3" w:rsidRDefault="00BE11A3" w14:paraId="471CF20F"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448</w:t>
            </w:r>
          </w:p>
        </w:tc>
        <w:tc>
          <w:tcPr>
            <w:tcW w:w="627" w:type="dxa"/>
            <w:tcBorders>
              <w:top w:val="single" w:color="auto" w:sz="4" w:space="0"/>
              <w:left w:val="nil"/>
              <w:bottom w:val="single" w:color="auto" w:sz="4" w:space="0"/>
              <w:right w:val="single" w:color="auto" w:sz="4" w:space="0"/>
            </w:tcBorders>
            <w:noWrap/>
            <w:vAlign w:val="bottom"/>
            <w:hideMark/>
          </w:tcPr>
          <w:p w:rsidRPr="00BE11A3" w:rsidR="00BE11A3" w:rsidP="00BE11A3" w:rsidRDefault="00BE11A3" w14:paraId="3C7EF9EC" w14:textId="77777777">
            <w:pPr>
              <w:spacing w:after="0" w:line="240" w:lineRule="auto"/>
              <w:jc w:val="center"/>
              <w:rPr>
                <w:rFonts w:ascii="Calibri" w:hAnsi="Calibri" w:eastAsia="Times New Roman" w:cs="Calibri"/>
                <w:color w:val="00B050"/>
                <w:kern w:val="0"/>
                <w:sz w:val="16"/>
                <w:szCs w:val="16"/>
                <w:lang w:eastAsia="en-GB"/>
                <w14:ligatures w14:val="none"/>
              </w:rPr>
            </w:pPr>
            <w:r>
              <w:rPr>
                <w:rFonts w:ascii="Calibri" w:hAnsi="Calibri" w:eastAsia="Times New Roman" w:cs="Calibri"/>
                <w:color w:val="00B050"/>
                <w:kern w:val="0"/>
                <w:sz w:val="16"/>
                <w:szCs w:val="16"/>
                <w:lang w:eastAsia="en-GB"/>
                <w14:ligatures w14:val="none"/>
              </w:rPr>
              <w:t>45%</w:t>
            </w:r>
          </w:p>
        </w:tc>
        <w:tc>
          <w:tcPr>
            <w:tcW w:w="627" w:type="dxa"/>
            <w:tcBorders>
              <w:top w:val="single" w:color="auto" w:sz="4" w:space="0"/>
              <w:left w:val="nil"/>
              <w:bottom w:val="single" w:color="auto" w:sz="4" w:space="0"/>
              <w:right w:val="single" w:color="auto" w:sz="4" w:space="0"/>
            </w:tcBorders>
            <w:noWrap/>
            <w:vAlign w:val="bottom"/>
            <w:hideMark/>
          </w:tcPr>
          <w:p w:rsidRPr="00BE11A3" w:rsidR="00BE11A3" w:rsidP="00BE11A3" w:rsidRDefault="00BE11A3" w14:paraId="6E46AFB8" w14:textId="77777777">
            <w:pPr>
              <w:spacing w:after="0" w:line="240" w:lineRule="auto"/>
              <w:jc w:val="center"/>
              <w:rPr>
                <w:rFonts w:ascii="Calibri" w:hAnsi="Calibri" w:eastAsia="Times New Roman" w:cs="Calibri"/>
                <w:color w:val="FFC000"/>
                <w:kern w:val="0"/>
                <w:sz w:val="16"/>
                <w:szCs w:val="16"/>
                <w:lang w:eastAsia="en-GB"/>
                <w14:ligatures w14:val="none"/>
              </w:rPr>
            </w:pPr>
            <w:r>
              <w:rPr>
                <w:rFonts w:ascii="Calibri" w:hAnsi="Calibri" w:eastAsia="Times New Roman" w:cs="Calibri"/>
                <w:color w:val="FFC000"/>
                <w:kern w:val="0"/>
                <w:sz w:val="16"/>
                <w:szCs w:val="16"/>
                <w:lang w:eastAsia="en-GB"/>
                <w14:ligatures w14:val="none"/>
              </w:rPr>
              <w:t>15%</w:t>
            </w:r>
          </w:p>
        </w:tc>
        <w:tc>
          <w:tcPr>
            <w:tcW w:w="694" w:type="dxa"/>
            <w:tcBorders>
              <w:top w:val="single" w:color="auto" w:sz="4" w:space="0"/>
              <w:left w:val="nil"/>
              <w:bottom w:val="single" w:color="auto" w:sz="4" w:space="0"/>
              <w:right w:val="single" w:color="auto" w:sz="4" w:space="0"/>
            </w:tcBorders>
            <w:noWrap/>
            <w:vAlign w:val="bottom"/>
            <w:hideMark/>
          </w:tcPr>
          <w:p w:rsidRPr="00BE11A3" w:rsidR="00BE11A3" w:rsidP="00BE11A3" w:rsidRDefault="00BE11A3" w14:paraId="28D00FA5" w14:textId="77777777">
            <w:pPr>
              <w:spacing w:after="0" w:line="240" w:lineRule="auto"/>
              <w:jc w:val="center"/>
              <w:rPr>
                <w:rFonts w:ascii="Calibri" w:hAnsi="Calibri" w:eastAsia="Times New Roman" w:cs="Calibri"/>
                <w:color w:val="C00000"/>
                <w:kern w:val="0"/>
                <w:sz w:val="16"/>
                <w:szCs w:val="16"/>
                <w:lang w:eastAsia="en-GB"/>
                <w14:ligatures w14:val="none"/>
              </w:rPr>
            </w:pPr>
            <w:r>
              <w:rPr>
                <w:rFonts w:ascii="Calibri" w:hAnsi="Calibri" w:eastAsia="Times New Roman" w:cs="Calibri"/>
                <w:color w:val="C00000"/>
                <w:kern w:val="0"/>
                <w:sz w:val="16"/>
                <w:szCs w:val="16"/>
                <w:lang w:eastAsia="en-GB"/>
                <w14:ligatures w14:val="none"/>
              </w:rPr>
              <w:t>40%</w:t>
            </w:r>
          </w:p>
        </w:tc>
        <w:tc>
          <w:tcPr>
            <w:tcW w:w="813" w:type="dxa"/>
            <w:tcBorders>
              <w:top w:val="single" w:color="auto" w:sz="4" w:space="0"/>
              <w:left w:val="nil"/>
              <w:bottom w:val="single" w:color="auto" w:sz="4" w:space="0"/>
              <w:right w:val="single" w:color="auto" w:sz="4" w:space="0"/>
            </w:tcBorders>
            <w:noWrap/>
            <w:vAlign w:val="bottom"/>
            <w:hideMark/>
          </w:tcPr>
          <w:p w:rsidRPr="001722E6" w:rsidR="00BE11A3" w:rsidP="00BE11A3" w:rsidRDefault="00BE11A3" w14:paraId="50F4F2B3" w14:textId="77777777">
            <w:pPr>
              <w:spacing w:after="0" w:line="240" w:lineRule="auto"/>
              <w:jc w:val="center"/>
              <w:rPr>
                <w:rFonts w:ascii="Calibri" w:hAnsi="Calibri" w:eastAsia="Times New Roman" w:cs="Calibri"/>
                <w:color w:val="00B050"/>
                <w:kern w:val="0"/>
                <w:sz w:val="16"/>
                <w:szCs w:val="16"/>
                <w:lang w:eastAsia="en-GB"/>
                <w14:ligatures w14:val="none"/>
              </w:rPr>
            </w:pPr>
            <w:r w:rsidRPr="001722E6">
              <w:rPr>
                <w:rFonts w:ascii="Calibri" w:hAnsi="Calibri" w:eastAsia="Times New Roman" w:cs="Calibri"/>
                <w:color w:val="00B050"/>
                <w:kern w:val="0"/>
                <w:sz w:val="16"/>
                <w:szCs w:val="16"/>
                <w:lang w:eastAsia="en-GB"/>
                <w14:ligatures w14:val="none"/>
              </w:rPr>
              <w:t>5%</w:t>
            </w:r>
          </w:p>
        </w:tc>
        <w:tc>
          <w:tcPr>
            <w:tcW w:w="649" w:type="dxa"/>
            <w:tcBorders>
              <w:top w:val="single" w:color="auto" w:sz="4" w:space="0"/>
              <w:left w:val="nil"/>
              <w:bottom w:val="single" w:color="auto" w:sz="4" w:space="0"/>
              <w:right w:val="single" w:color="auto" w:sz="4" w:space="0"/>
            </w:tcBorders>
            <w:noWrap/>
            <w:vAlign w:val="bottom"/>
            <w:hideMark/>
          </w:tcPr>
          <w:p w:rsidRPr="00BE11A3" w:rsidR="00BE11A3" w:rsidP="00BE11A3" w:rsidRDefault="00BE11A3" w14:paraId="600F9AFC"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53</w:t>
            </w:r>
          </w:p>
        </w:tc>
        <w:tc>
          <w:tcPr>
            <w:tcW w:w="537" w:type="dxa"/>
            <w:tcBorders>
              <w:top w:val="single" w:color="auto" w:sz="4" w:space="0"/>
              <w:left w:val="nil"/>
              <w:bottom w:val="single" w:color="auto" w:sz="4" w:space="0"/>
              <w:right w:val="single" w:color="auto" w:sz="4" w:space="0"/>
            </w:tcBorders>
            <w:shd w:val="clear" w:color="auto" w:fill="E9E9E7"/>
            <w:noWrap/>
            <w:vAlign w:val="bottom"/>
            <w:hideMark/>
          </w:tcPr>
          <w:p w:rsidRPr="00BE11A3" w:rsidR="00BE11A3" w:rsidP="00BE11A3" w:rsidRDefault="00BE11A3" w14:paraId="51B9AD35"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14</w:t>
            </w:r>
          </w:p>
        </w:tc>
        <w:tc>
          <w:tcPr>
            <w:tcW w:w="642" w:type="dxa"/>
            <w:tcBorders>
              <w:top w:val="single" w:color="auto" w:sz="4" w:space="0"/>
              <w:left w:val="nil"/>
              <w:bottom w:val="single" w:color="auto" w:sz="4" w:space="0"/>
              <w:right w:val="single" w:color="auto" w:sz="4" w:space="0"/>
            </w:tcBorders>
            <w:shd w:val="clear" w:color="auto" w:fill="E9E9E7"/>
            <w:noWrap/>
            <w:vAlign w:val="bottom"/>
            <w:hideMark/>
          </w:tcPr>
          <w:p w:rsidRPr="00BE11A3" w:rsidR="00BE11A3" w:rsidP="00BE11A3" w:rsidRDefault="00BE11A3" w14:paraId="5B36A72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28</w:t>
            </w:r>
          </w:p>
        </w:tc>
        <w:tc>
          <w:tcPr>
            <w:tcW w:w="627" w:type="dxa"/>
            <w:tcBorders>
              <w:top w:val="single" w:color="auto" w:sz="4" w:space="0"/>
              <w:left w:val="nil"/>
              <w:bottom w:val="single" w:color="auto" w:sz="4" w:space="0"/>
              <w:right w:val="single" w:color="auto" w:sz="4" w:space="0"/>
            </w:tcBorders>
            <w:shd w:val="clear" w:color="auto" w:fill="E9E9E7"/>
            <w:noWrap/>
            <w:vAlign w:val="bottom"/>
            <w:hideMark/>
          </w:tcPr>
          <w:p w:rsidRPr="00BE11A3" w:rsidR="00BE11A3" w:rsidP="00BE11A3" w:rsidRDefault="00BE11A3" w14:paraId="5AB7D916"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121</w:t>
            </w:r>
          </w:p>
        </w:tc>
        <w:tc>
          <w:tcPr>
            <w:tcW w:w="2967" w:type="dxa"/>
            <w:tcBorders>
              <w:top w:val="single" w:color="auto" w:sz="4" w:space="0"/>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5A10113C"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Peking University</w:t>
            </w:r>
          </w:p>
        </w:tc>
        <w:tc>
          <w:tcPr>
            <w:tcW w:w="607" w:type="dxa"/>
            <w:tcBorders>
              <w:top w:val="single" w:color="auto" w:sz="4" w:space="0"/>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35720862"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w:t>
            </w:r>
          </w:p>
        </w:tc>
      </w:tr>
      <w:tr w:rsidRPr="00BE11A3" w:rsidR="00BE11A3" w:rsidTr="197B92FD" w14:paraId="300ABA66" w14:textId="77777777">
        <w:trPr>
          <w:trHeight w:val="300"/>
        </w:trPr>
        <w:tc>
          <w:tcPr>
            <w:tcW w:w="993" w:type="dxa"/>
            <w:tcBorders>
              <w:top w:val="nil"/>
              <w:left w:val="single" w:color="auto" w:sz="4" w:space="0"/>
              <w:bottom w:val="single" w:color="auto" w:sz="4" w:space="0"/>
              <w:right w:val="single" w:color="auto" w:sz="4" w:space="0"/>
            </w:tcBorders>
            <w:noWrap/>
            <w:vAlign w:val="bottom"/>
            <w:hideMark/>
          </w:tcPr>
          <w:p w:rsidRPr="00BE11A3" w:rsidR="00BE11A3" w:rsidP="00BE11A3" w:rsidRDefault="00BE11A3" w14:paraId="28243664"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India</w:t>
            </w:r>
          </w:p>
        </w:tc>
        <w:tc>
          <w:tcPr>
            <w:tcW w:w="690" w:type="dxa"/>
            <w:tcBorders>
              <w:top w:val="nil"/>
              <w:left w:val="nil"/>
              <w:bottom w:val="single" w:color="auto" w:sz="4" w:space="0"/>
              <w:right w:val="single" w:color="auto" w:sz="4" w:space="0"/>
            </w:tcBorders>
            <w:noWrap/>
            <w:vAlign w:val="bottom"/>
            <w:hideMark/>
          </w:tcPr>
          <w:p w:rsidRPr="00BE11A3" w:rsidR="00BE11A3" w:rsidP="00BE11A3" w:rsidRDefault="00BE11A3" w14:paraId="10475500" w14:textId="21C5103D">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325</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1B949D18" w14:textId="200CC71C">
            <w:pPr>
              <w:spacing w:after="0" w:line="240" w:lineRule="auto"/>
              <w:jc w:val="center"/>
              <w:rPr>
                <w:rFonts w:ascii="Calibri" w:hAnsi="Calibri" w:eastAsia="Times New Roman" w:cs="Calibri"/>
                <w:color w:val="00B050"/>
                <w:kern w:val="0"/>
                <w:sz w:val="16"/>
                <w:szCs w:val="16"/>
                <w:lang w:eastAsia="en-GB"/>
                <w14:ligatures w14:val="none"/>
              </w:rPr>
            </w:pPr>
            <w:r>
              <w:rPr>
                <w:rFonts w:ascii="Calibri" w:hAnsi="Calibri" w:eastAsia="Times New Roman" w:cs="Calibri"/>
                <w:color w:val="00B050"/>
                <w:kern w:val="0"/>
                <w:sz w:val="16"/>
                <w:szCs w:val="16"/>
                <w:lang w:eastAsia="en-GB"/>
                <w14:ligatures w14:val="none"/>
              </w:rPr>
              <w:t>18%</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2F5B6F1F" w14:textId="253F3392">
            <w:pPr>
              <w:spacing w:after="0" w:line="240" w:lineRule="auto"/>
              <w:jc w:val="center"/>
              <w:rPr>
                <w:rFonts w:ascii="Calibri" w:hAnsi="Calibri" w:eastAsia="Times New Roman" w:cs="Calibri"/>
                <w:color w:val="FFC000"/>
                <w:kern w:val="0"/>
                <w:sz w:val="16"/>
                <w:szCs w:val="16"/>
                <w:lang w:eastAsia="en-GB"/>
                <w14:ligatures w14:val="none"/>
              </w:rPr>
            </w:pPr>
            <w:r>
              <w:rPr>
                <w:rFonts w:ascii="Calibri" w:hAnsi="Calibri" w:eastAsia="Times New Roman" w:cs="Calibri"/>
                <w:color w:val="FFC000"/>
                <w:kern w:val="0"/>
                <w:sz w:val="16"/>
                <w:szCs w:val="16"/>
                <w:lang w:eastAsia="en-GB"/>
                <w14:ligatures w14:val="none"/>
              </w:rPr>
              <w:t>11%</w:t>
            </w:r>
          </w:p>
        </w:tc>
        <w:tc>
          <w:tcPr>
            <w:tcW w:w="694" w:type="dxa"/>
            <w:tcBorders>
              <w:top w:val="nil"/>
              <w:left w:val="nil"/>
              <w:bottom w:val="single" w:color="auto" w:sz="4" w:space="0"/>
              <w:right w:val="single" w:color="auto" w:sz="4" w:space="0"/>
            </w:tcBorders>
            <w:noWrap/>
            <w:vAlign w:val="bottom"/>
            <w:hideMark/>
          </w:tcPr>
          <w:p w:rsidRPr="00BE11A3" w:rsidR="00BE11A3" w:rsidP="00BE11A3" w:rsidRDefault="00BE11A3" w14:paraId="61C2C416" w14:textId="77777777">
            <w:pPr>
              <w:spacing w:after="0" w:line="240" w:lineRule="auto"/>
              <w:jc w:val="center"/>
              <w:rPr>
                <w:rFonts w:ascii="Calibri" w:hAnsi="Calibri" w:eastAsia="Times New Roman" w:cs="Calibri"/>
                <w:color w:val="C00000"/>
                <w:kern w:val="0"/>
                <w:sz w:val="16"/>
                <w:szCs w:val="16"/>
                <w:lang w:eastAsia="en-GB"/>
                <w14:ligatures w14:val="none"/>
              </w:rPr>
            </w:pPr>
            <w:r>
              <w:rPr>
                <w:rFonts w:ascii="Calibri" w:hAnsi="Calibri" w:eastAsia="Times New Roman" w:cs="Calibri"/>
                <w:color w:val="C00000"/>
                <w:kern w:val="0"/>
                <w:sz w:val="16"/>
                <w:szCs w:val="16"/>
                <w:lang w:eastAsia="en-GB"/>
                <w14:ligatures w14:val="none"/>
              </w:rPr>
              <w:t>71%</w:t>
            </w:r>
          </w:p>
        </w:tc>
        <w:tc>
          <w:tcPr>
            <w:tcW w:w="813" w:type="dxa"/>
            <w:tcBorders>
              <w:top w:val="nil"/>
              <w:left w:val="nil"/>
              <w:bottom w:val="single" w:color="auto" w:sz="4" w:space="0"/>
              <w:right w:val="single" w:color="auto" w:sz="4" w:space="0"/>
            </w:tcBorders>
            <w:noWrap/>
            <w:vAlign w:val="bottom"/>
            <w:hideMark/>
          </w:tcPr>
          <w:p w:rsidRPr="001722E6" w:rsidR="00BE11A3" w:rsidP="00BE11A3" w:rsidRDefault="00BE11A3" w14:paraId="07E9794E" w14:textId="77777777">
            <w:pPr>
              <w:spacing w:after="0" w:line="240" w:lineRule="auto"/>
              <w:jc w:val="center"/>
              <w:rPr>
                <w:rFonts w:ascii="Calibri" w:hAnsi="Calibri" w:eastAsia="Times New Roman" w:cs="Calibri"/>
                <w:color w:val="C00000"/>
                <w:kern w:val="0"/>
                <w:sz w:val="16"/>
                <w:szCs w:val="16"/>
                <w:lang w:eastAsia="en-GB"/>
                <w14:ligatures w14:val="none"/>
              </w:rPr>
            </w:pPr>
            <w:r w:rsidRPr="001722E6">
              <w:rPr>
                <w:rFonts w:ascii="Calibri" w:hAnsi="Calibri" w:eastAsia="Times New Roman" w:cs="Calibri"/>
                <w:color w:val="C00000"/>
                <w:kern w:val="0"/>
                <w:sz w:val="16"/>
                <w:szCs w:val="16"/>
                <w:lang w:eastAsia="en-GB"/>
                <w14:ligatures w14:val="none"/>
              </w:rPr>
              <w:t>-54%</w:t>
            </w:r>
          </w:p>
        </w:tc>
        <w:tc>
          <w:tcPr>
            <w:tcW w:w="649" w:type="dxa"/>
            <w:tcBorders>
              <w:top w:val="nil"/>
              <w:left w:val="nil"/>
              <w:bottom w:val="single" w:color="auto" w:sz="4" w:space="0"/>
              <w:right w:val="single" w:color="auto" w:sz="4" w:space="0"/>
            </w:tcBorders>
            <w:noWrap/>
            <w:vAlign w:val="bottom"/>
            <w:hideMark/>
          </w:tcPr>
          <w:p w:rsidRPr="00BE11A3" w:rsidR="00BE11A3" w:rsidP="00BE11A3" w:rsidRDefault="00BE11A3" w14:paraId="22DF5BBC"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34</w:t>
            </w:r>
          </w:p>
        </w:tc>
        <w:tc>
          <w:tcPr>
            <w:tcW w:w="53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6DCF1030"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 </w:t>
            </w:r>
          </w:p>
        </w:tc>
        <w:tc>
          <w:tcPr>
            <w:tcW w:w="642"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3BACF9EC"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6</w:t>
            </w:r>
          </w:p>
        </w:tc>
        <w:tc>
          <w:tcPr>
            <w:tcW w:w="62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75FCAF91" w14:textId="04AA3CF0">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67</w:t>
            </w:r>
          </w:p>
        </w:tc>
        <w:tc>
          <w:tcPr>
            <w:tcW w:w="296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79E84FE6"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Indian Institute of Technology Delhi (IITD)</w:t>
            </w:r>
          </w:p>
        </w:tc>
        <w:tc>
          <w:tcPr>
            <w:tcW w:w="60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604E1F11"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66</w:t>
            </w:r>
          </w:p>
        </w:tc>
      </w:tr>
      <w:tr w:rsidRPr="00BE11A3" w:rsidR="00BE11A3" w:rsidTr="197B92FD" w14:paraId="2FDEBF0B" w14:textId="77777777">
        <w:trPr>
          <w:trHeight w:val="300"/>
        </w:trPr>
        <w:tc>
          <w:tcPr>
            <w:tcW w:w="993" w:type="dxa"/>
            <w:tcBorders>
              <w:top w:val="nil"/>
              <w:left w:val="single" w:color="auto" w:sz="4" w:space="0"/>
              <w:bottom w:val="single" w:color="auto" w:sz="4" w:space="0"/>
              <w:right w:val="single" w:color="auto" w:sz="4" w:space="0"/>
            </w:tcBorders>
            <w:noWrap/>
            <w:vAlign w:val="bottom"/>
            <w:hideMark/>
          </w:tcPr>
          <w:p w:rsidRPr="00BE11A3" w:rsidR="00BE11A3" w:rsidP="00BE11A3" w:rsidRDefault="00BE11A3" w14:paraId="269DB220"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Japan</w:t>
            </w:r>
          </w:p>
        </w:tc>
        <w:tc>
          <w:tcPr>
            <w:tcW w:w="690" w:type="dxa"/>
            <w:tcBorders>
              <w:top w:val="nil"/>
              <w:left w:val="nil"/>
              <w:bottom w:val="single" w:color="auto" w:sz="4" w:space="0"/>
              <w:right w:val="single" w:color="auto" w:sz="4" w:space="0"/>
            </w:tcBorders>
            <w:noWrap/>
            <w:vAlign w:val="bottom"/>
            <w:hideMark/>
          </w:tcPr>
          <w:p w:rsidRPr="00BE11A3" w:rsidR="00BE11A3" w:rsidP="00BE11A3" w:rsidRDefault="00BE11A3" w14:paraId="0AC72BA7"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153</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15E257B9" w14:textId="77777777">
            <w:pPr>
              <w:spacing w:after="0" w:line="240" w:lineRule="auto"/>
              <w:jc w:val="center"/>
              <w:rPr>
                <w:rFonts w:ascii="Calibri" w:hAnsi="Calibri" w:eastAsia="Times New Roman" w:cs="Calibri"/>
                <w:color w:val="00B050"/>
                <w:kern w:val="0"/>
                <w:sz w:val="16"/>
                <w:szCs w:val="16"/>
                <w:lang w:eastAsia="en-GB"/>
                <w14:ligatures w14:val="none"/>
              </w:rPr>
            </w:pPr>
            <w:r>
              <w:rPr>
                <w:rFonts w:ascii="Calibri" w:hAnsi="Calibri" w:eastAsia="Times New Roman" w:cs="Calibri"/>
                <w:color w:val="00B050"/>
                <w:kern w:val="0"/>
                <w:sz w:val="16"/>
                <w:szCs w:val="16"/>
                <w:lang w:eastAsia="en-GB"/>
                <w14:ligatures w14:val="none"/>
              </w:rPr>
              <w:t>7%</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274C1493" w14:textId="77777777">
            <w:pPr>
              <w:spacing w:after="0" w:line="240" w:lineRule="auto"/>
              <w:jc w:val="center"/>
              <w:rPr>
                <w:rFonts w:ascii="Calibri" w:hAnsi="Calibri" w:eastAsia="Times New Roman" w:cs="Calibri"/>
                <w:color w:val="FFC000"/>
                <w:kern w:val="0"/>
                <w:sz w:val="16"/>
                <w:szCs w:val="16"/>
                <w:lang w:eastAsia="en-GB"/>
                <w14:ligatures w14:val="none"/>
              </w:rPr>
            </w:pPr>
            <w:r>
              <w:rPr>
                <w:rFonts w:ascii="Calibri" w:hAnsi="Calibri" w:eastAsia="Times New Roman" w:cs="Calibri"/>
                <w:color w:val="FFC000"/>
                <w:kern w:val="0"/>
                <w:sz w:val="16"/>
                <w:szCs w:val="16"/>
                <w:lang w:eastAsia="en-GB"/>
                <w14:ligatures w14:val="none"/>
              </w:rPr>
              <w:t>8%</w:t>
            </w:r>
          </w:p>
        </w:tc>
        <w:tc>
          <w:tcPr>
            <w:tcW w:w="694" w:type="dxa"/>
            <w:tcBorders>
              <w:top w:val="nil"/>
              <w:left w:val="nil"/>
              <w:bottom w:val="single" w:color="auto" w:sz="4" w:space="0"/>
              <w:right w:val="single" w:color="auto" w:sz="4" w:space="0"/>
            </w:tcBorders>
            <w:noWrap/>
            <w:vAlign w:val="bottom"/>
            <w:hideMark/>
          </w:tcPr>
          <w:p w:rsidRPr="00BE11A3" w:rsidR="00BE11A3" w:rsidP="00BE11A3" w:rsidRDefault="00BE11A3" w14:paraId="2CBE0001" w14:textId="77777777">
            <w:pPr>
              <w:spacing w:after="0" w:line="240" w:lineRule="auto"/>
              <w:jc w:val="center"/>
              <w:rPr>
                <w:rFonts w:ascii="Calibri" w:hAnsi="Calibri" w:eastAsia="Times New Roman" w:cs="Calibri"/>
                <w:color w:val="C00000"/>
                <w:kern w:val="0"/>
                <w:sz w:val="16"/>
                <w:szCs w:val="16"/>
                <w:lang w:eastAsia="en-GB"/>
                <w14:ligatures w14:val="none"/>
              </w:rPr>
            </w:pPr>
            <w:r>
              <w:rPr>
                <w:rFonts w:ascii="Calibri" w:hAnsi="Calibri" w:eastAsia="Times New Roman" w:cs="Calibri"/>
                <w:color w:val="C00000"/>
                <w:kern w:val="0"/>
                <w:sz w:val="16"/>
                <w:szCs w:val="16"/>
                <w:lang w:eastAsia="en-GB"/>
                <w14:ligatures w14:val="none"/>
              </w:rPr>
              <w:t>85%</w:t>
            </w:r>
          </w:p>
        </w:tc>
        <w:tc>
          <w:tcPr>
            <w:tcW w:w="813" w:type="dxa"/>
            <w:tcBorders>
              <w:top w:val="nil"/>
              <w:left w:val="nil"/>
              <w:bottom w:val="single" w:color="auto" w:sz="4" w:space="0"/>
              <w:right w:val="single" w:color="auto" w:sz="4" w:space="0"/>
            </w:tcBorders>
            <w:noWrap/>
            <w:vAlign w:val="bottom"/>
            <w:hideMark/>
          </w:tcPr>
          <w:p w:rsidRPr="001722E6" w:rsidR="00BE11A3" w:rsidP="00BE11A3" w:rsidRDefault="00BE11A3" w14:paraId="1012ED79" w14:textId="77777777">
            <w:pPr>
              <w:spacing w:after="0" w:line="240" w:lineRule="auto"/>
              <w:jc w:val="center"/>
              <w:rPr>
                <w:rFonts w:ascii="Calibri" w:hAnsi="Calibri" w:eastAsia="Times New Roman" w:cs="Calibri"/>
                <w:color w:val="C00000"/>
                <w:kern w:val="0"/>
                <w:sz w:val="16"/>
                <w:szCs w:val="16"/>
                <w:lang w:eastAsia="en-GB"/>
                <w14:ligatures w14:val="none"/>
              </w:rPr>
            </w:pPr>
            <w:r w:rsidRPr="001722E6">
              <w:rPr>
                <w:rFonts w:ascii="Calibri" w:hAnsi="Calibri" w:eastAsia="Times New Roman" w:cs="Calibri"/>
                <w:color w:val="C00000"/>
                <w:kern w:val="0"/>
                <w:sz w:val="16"/>
                <w:szCs w:val="16"/>
                <w:lang w:eastAsia="en-GB"/>
                <w14:ligatures w14:val="none"/>
              </w:rPr>
              <w:t>-78%</w:t>
            </w:r>
          </w:p>
        </w:tc>
        <w:tc>
          <w:tcPr>
            <w:tcW w:w="649" w:type="dxa"/>
            <w:tcBorders>
              <w:top w:val="nil"/>
              <w:left w:val="nil"/>
              <w:bottom w:val="single" w:color="auto" w:sz="4" w:space="0"/>
              <w:right w:val="single" w:color="auto" w:sz="4" w:space="0"/>
            </w:tcBorders>
            <w:noWrap/>
            <w:vAlign w:val="bottom"/>
            <w:hideMark/>
          </w:tcPr>
          <w:p w:rsidRPr="00BE11A3" w:rsidR="00BE11A3" w:rsidP="00BE11A3" w:rsidRDefault="00BE11A3" w14:paraId="412CFCE5"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8</w:t>
            </w:r>
          </w:p>
        </w:tc>
        <w:tc>
          <w:tcPr>
            <w:tcW w:w="53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75EEB108"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8</w:t>
            </w:r>
          </w:p>
        </w:tc>
        <w:tc>
          <w:tcPr>
            <w:tcW w:w="642"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610A89EC"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12</w:t>
            </w:r>
          </w:p>
        </w:tc>
        <w:tc>
          <w:tcPr>
            <w:tcW w:w="62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6C5A130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43</w:t>
            </w:r>
          </w:p>
        </w:tc>
        <w:tc>
          <w:tcPr>
            <w:tcW w:w="296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5699BE46"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The University of Tokyo</w:t>
            </w:r>
          </w:p>
        </w:tc>
        <w:tc>
          <w:tcPr>
            <w:tcW w:w="60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63257AA4"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27</w:t>
            </w:r>
          </w:p>
        </w:tc>
      </w:tr>
      <w:tr w:rsidRPr="00BE11A3" w:rsidR="00BE11A3" w:rsidTr="197B92FD" w14:paraId="6CA3F677" w14:textId="77777777">
        <w:trPr>
          <w:trHeight w:val="300"/>
        </w:trPr>
        <w:tc>
          <w:tcPr>
            <w:tcW w:w="993" w:type="dxa"/>
            <w:tcBorders>
              <w:top w:val="nil"/>
              <w:left w:val="single" w:color="auto" w:sz="4" w:space="0"/>
              <w:bottom w:val="single" w:color="auto" w:sz="4" w:space="0"/>
              <w:right w:val="single" w:color="auto" w:sz="4" w:space="0"/>
            </w:tcBorders>
            <w:noWrap/>
            <w:vAlign w:val="bottom"/>
            <w:hideMark/>
          </w:tcPr>
          <w:p w:rsidRPr="00BE11A3" w:rsidR="00BE11A3" w:rsidP="00BE11A3" w:rsidRDefault="00BE11A3" w14:paraId="0F53DE31"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Indonesia</w:t>
            </w:r>
          </w:p>
        </w:tc>
        <w:tc>
          <w:tcPr>
            <w:tcW w:w="690" w:type="dxa"/>
            <w:tcBorders>
              <w:top w:val="nil"/>
              <w:left w:val="nil"/>
              <w:bottom w:val="single" w:color="auto" w:sz="4" w:space="0"/>
              <w:right w:val="single" w:color="auto" w:sz="4" w:space="0"/>
            </w:tcBorders>
            <w:noWrap/>
            <w:vAlign w:val="bottom"/>
            <w:hideMark/>
          </w:tcPr>
          <w:p w:rsidRPr="00BE11A3" w:rsidR="00BE11A3" w:rsidP="00BE11A3" w:rsidRDefault="00BE11A3" w14:paraId="1F7FC56F"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116</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03C5FFAE" w14:textId="77777777">
            <w:pPr>
              <w:spacing w:after="0" w:line="240" w:lineRule="auto"/>
              <w:jc w:val="center"/>
              <w:rPr>
                <w:rFonts w:ascii="Calibri" w:hAnsi="Calibri" w:eastAsia="Times New Roman" w:cs="Calibri"/>
                <w:color w:val="00B050"/>
                <w:kern w:val="0"/>
                <w:sz w:val="16"/>
                <w:szCs w:val="16"/>
                <w:lang w:eastAsia="en-GB"/>
                <w14:ligatures w14:val="none"/>
              </w:rPr>
            </w:pPr>
            <w:r>
              <w:rPr>
                <w:rFonts w:ascii="Calibri" w:hAnsi="Calibri" w:eastAsia="Times New Roman" w:cs="Calibri"/>
                <w:color w:val="00B050"/>
                <w:kern w:val="0"/>
                <w:sz w:val="16"/>
                <w:szCs w:val="16"/>
                <w:lang w:eastAsia="en-GB"/>
                <w14:ligatures w14:val="none"/>
              </w:rPr>
              <w:t>21%</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5DEE6D35" w14:textId="77777777">
            <w:pPr>
              <w:spacing w:after="0" w:line="240" w:lineRule="auto"/>
              <w:jc w:val="center"/>
              <w:rPr>
                <w:rFonts w:ascii="Calibri" w:hAnsi="Calibri" w:eastAsia="Times New Roman" w:cs="Calibri"/>
                <w:color w:val="FFC000"/>
                <w:kern w:val="0"/>
                <w:sz w:val="16"/>
                <w:szCs w:val="16"/>
                <w:lang w:eastAsia="en-GB"/>
                <w14:ligatures w14:val="none"/>
              </w:rPr>
            </w:pPr>
            <w:r>
              <w:rPr>
                <w:rFonts w:ascii="Calibri" w:hAnsi="Calibri" w:eastAsia="Times New Roman" w:cs="Calibri"/>
                <w:color w:val="FFC000"/>
                <w:kern w:val="0"/>
                <w:sz w:val="16"/>
                <w:szCs w:val="16"/>
                <w:lang w:eastAsia="en-GB"/>
                <w14:ligatures w14:val="none"/>
              </w:rPr>
              <w:t>9%</w:t>
            </w:r>
          </w:p>
        </w:tc>
        <w:tc>
          <w:tcPr>
            <w:tcW w:w="694" w:type="dxa"/>
            <w:tcBorders>
              <w:top w:val="nil"/>
              <w:left w:val="nil"/>
              <w:bottom w:val="single" w:color="auto" w:sz="4" w:space="0"/>
              <w:right w:val="single" w:color="auto" w:sz="4" w:space="0"/>
            </w:tcBorders>
            <w:noWrap/>
            <w:vAlign w:val="bottom"/>
            <w:hideMark/>
          </w:tcPr>
          <w:p w:rsidRPr="00BE11A3" w:rsidR="00BE11A3" w:rsidP="00BE11A3" w:rsidRDefault="00BE11A3" w14:paraId="1EE07089" w14:textId="77777777">
            <w:pPr>
              <w:spacing w:after="0" w:line="240" w:lineRule="auto"/>
              <w:jc w:val="center"/>
              <w:rPr>
                <w:rFonts w:ascii="Calibri" w:hAnsi="Calibri" w:eastAsia="Times New Roman" w:cs="Calibri"/>
                <w:color w:val="C00000"/>
                <w:kern w:val="0"/>
                <w:sz w:val="16"/>
                <w:szCs w:val="16"/>
                <w:lang w:eastAsia="en-GB"/>
                <w14:ligatures w14:val="none"/>
              </w:rPr>
            </w:pPr>
            <w:r>
              <w:rPr>
                <w:rFonts w:ascii="Calibri" w:hAnsi="Calibri" w:eastAsia="Times New Roman" w:cs="Calibri"/>
                <w:color w:val="C00000"/>
                <w:kern w:val="0"/>
                <w:sz w:val="16"/>
                <w:szCs w:val="16"/>
                <w:lang w:eastAsia="en-GB"/>
                <w14:ligatures w14:val="none"/>
              </w:rPr>
              <w:t>70%</w:t>
            </w:r>
          </w:p>
        </w:tc>
        <w:tc>
          <w:tcPr>
            <w:tcW w:w="813" w:type="dxa"/>
            <w:tcBorders>
              <w:top w:val="nil"/>
              <w:left w:val="nil"/>
              <w:bottom w:val="single" w:color="auto" w:sz="4" w:space="0"/>
              <w:right w:val="single" w:color="auto" w:sz="4" w:space="0"/>
            </w:tcBorders>
            <w:noWrap/>
            <w:vAlign w:val="bottom"/>
            <w:hideMark/>
          </w:tcPr>
          <w:p w:rsidRPr="001722E6" w:rsidR="00BE11A3" w:rsidP="00BE11A3" w:rsidRDefault="00BE11A3" w14:paraId="2349E8ED" w14:textId="77777777">
            <w:pPr>
              <w:spacing w:after="0" w:line="240" w:lineRule="auto"/>
              <w:jc w:val="center"/>
              <w:rPr>
                <w:rFonts w:ascii="Calibri" w:hAnsi="Calibri" w:eastAsia="Times New Roman" w:cs="Calibri"/>
                <w:color w:val="C00000"/>
                <w:kern w:val="0"/>
                <w:sz w:val="16"/>
                <w:szCs w:val="16"/>
                <w:lang w:eastAsia="en-GB"/>
                <w14:ligatures w14:val="none"/>
              </w:rPr>
            </w:pPr>
            <w:r w:rsidRPr="001722E6">
              <w:rPr>
                <w:rFonts w:ascii="Calibri" w:hAnsi="Calibri" w:eastAsia="Times New Roman" w:cs="Calibri"/>
                <w:color w:val="C00000"/>
                <w:kern w:val="0"/>
                <w:sz w:val="16"/>
                <w:szCs w:val="16"/>
                <w:lang w:eastAsia="en-GB"/>
                <w14:ligatures w14:val="none"/>
              </w:rPr>
              <w:t>-49%</w:t>
            </w:r>
          </w:p>
        </w:tc>
        <w:tc>
          <w:tcPr>
            <w:tcW w:w="649" w:type="dxa"/>
            <w:tcBorders>
              <w:top w:val="nil"/>
              <w:left w:val="nil"/>
              <w:bottom w:val="single" w:color="auto" w:sz="4" w:space="0"/>
              <w:right w:val="single" w:color="auto" w:sz="4" w:space="0"/>
            </w:tcBorders>
            <w:noWrap/>
            <w:vAlign w:val="bottom"/>
            <w:hideMark/>
          </w:tcPr>
          <w:p w:rsidRPr="00BE11A3" w:rsidR="00BE11A3" w:rsidP="00BE11A3" w:rsidRDefault="00BE11A3" w14:paraId="65798591"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22</w:t>
            </w:r>
          </w:p>
        </w:tc>
        <w:tc>
          <w:tcPr>
            <w:tcW w:w="53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0205F1BB"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 </w:t>
            </w:r>
          </w:p>
        </w:tc>
        <w:tc>
          <w:tcPr>
            <w:tcW w:w="642"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3917558C"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w:t>
            </w:r>
          </w:p>
        </w:tc>
        <w:tc>
          <w:tcPr>
            <w:tcW w:w="62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4F39A1B2"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20</w:t>
            </w:r>
          </w:p>
        </w:tc>
        <w:tc>
          <w:tcPr>
            <w:tcW w:w="296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70FCFF3B"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Gadjah Mada University</w:t>
            </w:r>
          </w:p>
        </w:tc>
        <w:tc>
          <w:tcPr>
            <w:tcW w:w="60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34D864E8"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53</w:t>
            </w:r>
          </w:p>
        </w:tc>
      </w:tr>
      <w:tr w:rsidRPr="00BE11A3" w:rsidR="00BE11A3" w:rsidTr="197B92FD" w14:paraId="7073E914" w14:textId="77777777">
        <w:trPr>
          <w:trHeight w:val="300"/>
        </w:trPr>
        <w:tc>
          <w:tcPr>
            <w:tcW w:w="993" w:type="dxa"/>
            <w:tcBorders>
              <w:top w:val="nil"/>
              <w:left w:val="single" w:color="auto" w:sz="4" w:space="0"/>
              <w:bottom w:val="single" w:color="auto" w:sz="4" w:space="0"/>
              <w:right w:val="single" w:color="auto" w:sz="4" w:space="0"/>
            </w:tcBorders>
            <w:noWrap/>
            <w:vAlign w:val="bottom"/>
            <w:hideMark/>
          </w:tcPr>
          <w:p w:rsidRPr="00BE11A3" w:rsidR="00BE11A3" w:rsidP="00BE11A3" w:rsidRDefault="00BE11A3" w14:paraId="6933196E" w14:textId="47554130">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South Korea</w:t>
            </w:r>
          </w:p>
        </w:tc>
        <w:tc>
          <w:tcPr>
            <w:tcW w:w="690" w:type="dxa"/>
            <w:tcBorders>
              <w:top w:val="nil"/>
              <w:left w:val="nil"/>
              <w:bottom w:val="single" w:color="auto" w:sz="4" w:space="0"/>
              <w:right w:val="single" w:color="auto" w:sz="4" w:space="0"/>
            </w:tcBorders>
            <w:noWrap/>
            <w:vAlign w:val="bottom"/>
            <w:hideMark/>
          </w:tcPr>
          <w:p w:rsidRPr="00BE11A3" w:rsidR="00BE11A3" w:rsidP="00BE11A3" w:rsidRDefault="00BE11A3" w14:paraId="686387DF"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108</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4D6059F7" w14:textId="77777777">
            <w:pPr>
              <w:spacing w:after="0" w:line="240" w:lineRule="auto"/>
              <w:jc w:val="center"/>
              <w:rPr>
                <w:rFonts w:ascii="Calibri" w:hAnsi="Calibri" w:eastAsia="Times New Roman" w:cs="Calibri"/>
                <w:color w:val="00B050"/>
                <w:kern w:val="0"/>
                <w:sz w:val="16"/>
                <w:szCs w:val="16"/>
                <w:lang w:eastAsia="en-GB"/>
                <w14:ligatures w14:val="none"/>
              </w:rPr>
            </w:pPr>
            <w:r>
              <w:rPr>
                <w:rFonts w:ascii="Calibri" w:hAnsi="Calibri" w:eastAsia="Times New Roman" w:cs="Calibri"/>
                <w:color w:val="00B050"/>
                <w:kern w:val="0"/>
                <w:sz w:val="16"/>
                <w:szCs w:val="16"/>
                <w:lang w:eastAsia="en-GB"/>
                <w14:ligatures w14:val="none"/>
              </w:rPr>
              <w:t>35%</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04683E6A" w14:textId="77777777">
            <w:pPr>
              <w:spacing w:after="0" w:line="240" w:lineRule="auto"/>
              <w:jc w:val="center"/>
              <w:rPr>
                <w:rFonts w:ascii="Calibri" w:hAnsi="Calibri" w:eastAsia="Times New Roman" w:cs="Calibri"/>
                <w:color w:val="FFC000"/>
                <w:kern w:val="0"/>
                <w:sz w:val="16"/>
                <w:szCs w:val="16"/>
                <w:lang w:eastAsia="en-GB"/>
                <w14:ligatures w14:val="none"/>
              </w:rPr>
            </w:pPr>
            <w:r>
              <w:rPr>
                <w:rFonts w:ascii="Calibri" w:hAnsi="Calibri" w:eastAsia="Times New Roman" w:cs="Calibri"/>
                <w:color w:val="FFC000"/>
                <w:kern w:val="0"/>
                <w:sz w:val="16"/>
                <w:szCs w:val="16"/>
                <w:lang w:eastAsia="en-GB"/>
                <w14:ligatures w14:val="none"/>
              </w:rPr>
              <w:t>9%</w:t>
            </w:r>
          </w:p>
        </w:tc>
        <w:tc>
          <w:tcPr>
            <w:tcW w:w="694" w:type="dxa"/>
            <w:tcBorders>
              <w:top w:val="nil"/>
              <w:left w:val="nil"/>
              <w:bottom w:val="single" w:color="auto" w:sz="4" w:space="0"/>
              <w:right w:val="single" w:color="auto" w:sz="4" w:space="0"/>
            </w:tcBorders>
            <w:noWrap/>
            <w:vAlign w:val="bottom"/>
            <w:hideMark/>
          </w:tcPr>
          <w:p w:rsidRPr="00BE11A3" w:rsidR="00BE11A3" w:rsidP="00BE11A3" w:rsidRDefault="00BE11A3" w14:paraId="2E2F0847" w14:textId="77777777">
            <w:pPr>
              <w:spacing w:after="0" w:line="240" w:lineRule="auto"/>
              <w:jc w:val="center"/>
              <w:rPr>
                <w:rFonts w:ascii="Calibri" w:hAnsi="Calibri" w:eastAsia="Times New Roman" w:cs="Calibri"/>
                <w:color w:val="C00000"/>
                <w:kern w:val="0"/>
                <w:sz w:val="16"/>
                <w:szCs w:val="16"/>
                <w:lang w:eastAsia="en-GB"/>
                <w14:ligatures w14:val="none"/>
              </w:rPr>
            </w:pPr>
            <w:r>
              <w:rPr>
                <w:rFonts w:ascii="Calibri" w:hAnsi="Calibri" w:eastAsia="Times New Roman" w:cs="Calibri"/>
                <w:color w:val="C00000"/>
                <w:kern w:val="0"/>
                <w:sz w:val="16"/>
                <w:szCs w:val="16"/>
                <w:lang w:eastAsia="en-GB"/>
                <w14:ligatures w14:val="none"/>
              </w:rPr>
              <w:t>56%</w:t>
            </w:r>
          </w:p>
        </w:tc>
        <w:tc>
          <w:tcPr>
            <w:tcW w:w="813" w:type="dxa"/>
            <w:tcBorders>
              <w:top w:val="nil"/>
              <w:left w:val="nil"/>
              <w:bottom w:val="single" w:color="auto" w:sz="4" w:space="0"/>
              <w:right w:val="single" w:color="auto" w:sz="4" w:space="0"/>
            </w:tcBorders>
            <w:noWrap/>
            <w:vAlign w:val="bottom"/>
            <w:hideMark/>
          </w:tcPr>
          <w:p w:rsidRPr="001722E6" w:rsidR="00BE11A3" w:rsidP="00BE11A3" w:rsidRDefault="00BE11A3" w14:paraId="5D5D663B" w14:textId="77777777">
            <w:pPr>
              <w:spacing w:after="0" w:line="240" w:lineRule="auto"/>
              <w:jc w:val="center"/>
              <w:rPr>
                <w:rFonts w:ascii="Calibri" w:hAnsi="Calibri" w:eastAsia="Times New Roman" w:cs="Calibri"/>
                <w:color w:val="C00000"/>
                <w:kern w:val="0"/>
                <w:sz w:val="16"/>
                <w:szCs w:val="16"/>
                <w:lang w:eastAsia="en-GB"/>
                <w14:ligatures w14:val="none"/>
              </w:rPr>
            </w:pPr>
            <w:r w:rsidRPr="001722E6">
              <w:rPr>
                <w:rFonts w:ascii="Calibri" w:hAnsi="Calibri" w:eastAsia="Times New Roman" w:cs="Calibri"/>
                <w:color w:val="C00000"/>
                <w:kern w:val="0"/>
                <w:sz w:val="16"/>
                <w:szCs w:val="16"/>
                <w:lang w:eastAsia="en-GB"/>
                <w14:ligatures w14:val="none"/>
              </w:rPr>
              <w:t>-21%</w:t>
            </w:r>
          </w:p>
        </w:tc>
        <w:tc>
          <w:tcPr>
            <w:tcW w:w="649" w:type="dxa"/>
            <w:tcBorders>
              <w:top w:val="nil"/>
              <w:left w:val="nil"/>
              <w:bottom w:val="single" w:color="auto" w:sz="4" w:space="0"/>
              <w:right w:val="single" w:color="auto" w:sz="4" w:space="0"/>
            </w:tcBorders>
            <w:noWrap/>
            <w:vAlign w:val="bottom"/>
            <w:hideMark/>
          </w:tcPr>
          <w:p w:rsidRPr="00BE11A3" w:rsidR="00BE11A3" w:rsidP="00BE11A3" w:rsidRDefault="00BE11A3" w14:paraId="6327C87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w:t>
            </w:r>
          </w:p>
        </w:tc>
        <w:tc>
          <w:tcPr>
            <w:tcW w:w="53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08434233"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8</w:t>
            </w:r>
          </w:p>
        </w:tc>
        <w:tc>
          <w:tcPr>
            <w:tcW w:w="642"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174F4964"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14</w:t>
            </w:r>
          </w:p>
        </w:tc>
        <w:tc>
          <w:tcPr>
            <w:tcW w:w="62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57BF30E8"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46</w:t>
            </w:r>
          </w:p>
        </w:tc>
        <w:tc>
          <w:tcPr>
            <w:tcW w:w="296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5CC41B3B"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Yonsei University</w:t>
            </w:r>
          </w:p>
        </w:tc>
        <w:tc>
          <w:tcPr>
            <w:tcW w:w="60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6A55964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11</w:t>
            </w:r>
          </w:p>
        </w:tc>
      </w:tr>
      <w:tr w:rsidRPr="00BE11A3" w:rsidR="00BE11A3" w:rsidTr="197B92FD" w14:paraId="41D2A9CD" w14:textId="77777777">
        <w:trPr>
          <w:trHeight w:val="300"/>
        </w:trPr>
        <w:tc>
          <w:tcPr>
            <w:tcW w:w="993" w:type="dxa"/>
            <w:tcBorders>
              <w:top w:val="nil"/>
              <w:left w:val="single" w:color="auto" w:sz="4" w:space="0"/>
              <w:bottom w:val="single" w:color="auto" w:sz="4" w:space="0"/>
              <w:right w:val="single" w:color="auto" w:sz="4" w:space="0"/>
            </w:tcBorders>
            <w:noWrap/>
            <w:vAlign w:val="bottom"/>
            <w:hideMark/>
          </w:tcPr>
          <w:p w:rsidRPr="00BE11A3" w:rsidR="00BE11A3" w:rsidP="00BE11A3" w:rsidRDefault="00BE11A3" w14:paraId="29C18DB1"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Pakistan</w:t>
            </w:r>
          </w:p>
        </w:tc>
        <w:tc>
          <w:tcPr>
            <w:tcW w:w="690" w:type="dxa"/>
            <w:tcBorders>
              <w:top w:val="nil"/>
              <w:left w:val="nil"/>
              <w:bottom w:val="single" w:color="auto" w:sz="4" w:space="0"/>
              <w:right w:val="single" w:color="auto" w:sz="4" w:space="0"/>
            </w:tcBorders>
            <w:noWrap/>
            <w:vAlign w:val="bottom"/>
            <w:hideMark/>
          </w:tcPr>
          <w:p w:rsidRPr="00BE11A3" w:rsidR="00BE11A3" w:rsidP="00BE11A3" w:rsidRDefault="00BE11A3" w14:paraId="016588A9"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90</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2F386834" w14:textId="77777777">
            <w:pPr>
              <w:spacing w:after="0" w:line="240" w:lineRule="auto"/>
              <w:jc w:val="center"/>
              <w:rPr>
                <w:rFonts w:ascii="Calibri" w:hAnsi="Calibri" w:eastAsia="Times New Roman" w:cs="Calibri"/>
                <w:color w:val="00B050"/>
                <w:kern w:val="0"/>
                <w:sz w:val="16"/>
                <w:szCs w:val="16"/>
                <w:lang w:eastAsia="en-GB"/>
                <w14:ligatures w14:val="none"/>
              </w:rPr>
            </w:pPr>
            <w:r>
              <w:rPr>
                <w:rFonts w:ascii="Calibri" w:hAnsi="Calibri" w:eastAsia="Times New Roman" w:cs="Calibri"/>
                <w:color w:val="00B050"/>
                <w:kern w:val="0"/>
                <w:sz w:val="16"/>
                <w:szCs w:val="16"/>
                <w:lang w:eastAsia="en-GB"/>
                <w14:ligatures w14:val="none"/>
              </w:rPr>
              <w:t>24%</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22025E32" w14:textId="77777777">
            <w:pPr>
              <w:spacing w:after="0" w:line="240" w:lineRule="auto"/>
              <w:jc w:val="center"/>
              <w:rPr>
                <w:rFonts w:ascii="Calibri" w:hAnsi="Calibri" w:eastAsia="Times New Roman" w:cs="Calibri"/>
                <w:color w:val="FFC000"/>
                <w:kern w:val="0"/>
                <w:sz w:val="16"/>
                <w:szCs w:val="16"/>
                <w:lang w:eastAsia="en-GB"/>
                <w14:ligatures w14:val="none"/>
              </w:rPr>
            </w:pPr>
            <w:r>
              <w:rPr>
                <w:rFonts w:ascii="Calibri" w:hAnsi="Calibri" w:eastAsia="Times New Roman" w:cs="Calibri"/>
                <w:color w:val="FFC000"/>
                <w:kern w:val="0"/>
                <w:sz w:val="16"/>
                <w:szCs w:val="16"/>
                <w:lang w:eastAsia="en-GB"/>
                <w14:ligatures w14:val="none"/>
              </w:rPr>
              <w:t>10%</w:t>
            </w:r>
          </w:p>
        </w:tc>
        <w:tc>
          <w:tcPr>
            <w:tcW w:w="694" w:type="dxa"/>
            <w:tcBorders>
              <w:top w:val="nil"/>
              <w:left w:val="nil"/>
              <w:bottom w:val="single" w:color="auto" w:sz="4" w:space="0"/>
              <w:right w:val="single" w:color="auto" w:sz="4" w:space="0"/>
            </w:tcBorders>
            <w:noWrap/>
            <w:vAlign w:val="bottom"/>
            <w:hideMark/>
          </w:tcPr>
          <w:p w:rsidRPr="00BE11A3" w:rsidR="00BE11A3" w:rsidP="00BE11A3" w:rsidRDefault="00BE11A3" w14:paraId="4FE47832" w14:textId="77777777">
            <w:pPr>
              <w:spacing w:after="0" w:line="240" w:lineRule="auto"/>
              <w:jc w:val="center"/>
              <w:rPr>
                <w:rFonts w:ascii="Calibri" w:hAnsi="Calibri" w:eastAsia="Times New Roman" w:cs="Calibri"/>
                <w:color w:val="C00000"/>
                <w:kern w:val="0"/>
                <w:sz w:val="16"/>
                <w:szCs w:val="16"/>
                <w:lang w:eastAsia="en-GB"/>
                <w14:ligatures w14:val="none"/>
              </w:rPr>
            </w:pPr>
            <w:r>
              <w:rPr>
                <w:rFonts w:ascii="Calibri" w:hAnsi="Calibri" w:eastAsia="Times New Roman" w:cs="Calibri"/>
                <w:color w:val="C00000"/>
                <w:kern w:val="0"/>
                <w:sz w:val="16"/>
                <w:szCs w:val="16"/>
                <w:lang w:eastAsia="en-GB"/>
                <w14:ligatures w14:val="none"/>
              </w:rPr>
              <w:t>66%</w:t>
            </w:r>
          </w:p>
        </w:tc>
        <w:tc>
          <w:tcPr>
            <w:tcW w:w="813" w:type="dxa"/>
            <w:tcBorders>
              <w:top w:val="nil"/>
              <w:left w:val="nil"/>
              <w:bottom w:val="single" w:color="auto" w:sz="4" w:space="0"/>
              <w:right w:val="single" w:color="auto" w:sz="4" w:space="0"/>
            </w:tcBorders>
            <w:noWrap/>
            <w:vAlign w:val="bottom"/>
            <w:hideMark/>
          </w:tcPr>
          <w:p w:rsidRPr="001722E6" w:rsidR="00BE11A3" w:rsidP="00BE11A3" w:rsidRDefault="00BE11A3" w14:paraId="0AE3F810" w14:textId="77777777">
            <w:pPr>
              <w:spacing w:after="0" w:line="240" w:lineRule="auto"/>
              <w:jc w:val="center"/>
              <w:rPr>
                <w:rFonts w:ascii="Calibri" w:hAnsi="Calibri" w:eastAsia="Times New Roman" w:cs="Calibri"/>
                <w:color w:val="C00000"/>
                <w:kern w:val="0"/>
                <w:sz w:val="16"/>
                <w:szCs w:val="16"/>
                <w:lang w:eastAsia="en-GB"/>
                <w14:ligatures w14:val="none"/>
              </w:rPr>
            </w:pPr>
            <w:r w:rsidRPr="001722E6">
              <w:rPr>
                <w:rFonts w:ascii="Calibri" w:hAnsi="Calibri" w:eastAsia="Times New Roman" w:cs="Calibri"/>
                <w:color w:val="C00000"/>
                <w:kern w:val="0"/>
                <w:sz w:val="16"/>
                <w:szCs w:val="16"/>
                <w:lang w:eastAsia="en-GB"/>
                <w14:ligatures w14:val="none"/>
              </w:rPr>
              <w:t>-42%</w:t>
            </w:r>
          </w:p>
        </w:tc>
        <w:tc>
          <w:tcPr>
            <w:tcW w:w="649" w:type="dxa"/>
            <w:tcBorders>
              <w:top w:val="nil"/>
              <w:left w:val="nil"/>
              <w:bottom w:val="single" w:color="auto" w:sz="4" w:space="0"/>
              <w:right w:val="single" w:color="auto" w:sz="4" w:space="0"/>
            </w:tcBorders>
            <w:noWrap/>
            <w:vAlign w:val="bottom"/>
            <w:hideMark/>
          </w:tcPr>
          <w:p w:rsidRPr="00BE11A3" w:rsidR="00BE11A3" w:rsidP="00BE11A3" w:rsidRDefault="00BE11A3" w14:paraId="66B02A2B"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7</w:t>
            </w:r>
          </w:p>
        </w:tc>
        <w:tc>
          <w:tcPr>
            <w:tcW w:w="53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0F4EA1D8"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 </w:t>
            </w:r>
          </w:p>
        </w:tc>
        <w:tc>
          <w:tcPr>
            <w:tcW w:w="642"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56A3965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w:t>
            </w:r>
          </w:p>
        </w:tc>
        <w:tc>
          <w:tcPr>
            <w:tcW w:w="62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5CCC3EC8"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28</w:t>
            </w:r>
          </w:p>
        </w:tc>
        <w:tc>
          <w:tcPr>
            <w:tcW w:w="296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2291660F" w14:textId="1FB6678B">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NUST Islamabad</w:t>
            </w:r>
          </w:p>
        </w:tc>
        <w:tc>
          <w:tcPr>
            <w:tcW w:w="60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3F051A67"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76</w:t>
            </w:r>
          </w:p>
        </w:tc>
      </w:tr>
      <w:tr w:rsidRPr="00BE11A3" w:rsidR="00BE11A3" w:rsidTr="197B92FD" w14:paraId="5BEA9AB6" w14:textId="77777777">
        <w:trPr>
          <w:trHeight w:val="300"/>
        </w:trPr>
        <w:tc>
          <w:tcPr>
            <w:tcW w:w="993" w:type="dxa"/>
            <w:tcBorders>
              <w:top w:val="nil"/>
              <w:left w:val="single" w:color="auto" w:sz="4" w:space="0"/>
              <w:bottom w:val="single" w:color="auto" w:sz="4" w:space="0"/>
              <w:right w:val="single" w:color="auto" w:sz="4" w:space="0"/>
            </w:tcBorders>
            <w:noWrap/>
            <w:vAlign w:val="bottom"/>
            <w:hideMark/>
          </w:tcPr>
          <w:p w:rsidRPr="00BE11A3" w:rsidR="00BE11A3" w:rsidP="00BE11A3" w:rsidRDefault="00BE11A3" w14:paraId="49C8E2C8"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lastRenderedPageBreak/>
              <w:t>Taiwan</w:t>
            </w:r>
          </w:p>
        </w:tc>
        <w:tc>
          <w:tcPr>
            <w:tcW w:w="690" w:type="dxa"/>
            <w:tcBorders>
              <w:top w:val="nil"/>
              <w:left w:val="nil"/>
              <w:bottom w:val="single" w:color="auto" w:sz="4" w:space="0"/>
              <w:right w:val="single" w:color="auto" w:sz="4" w:space="0"/>
            </w:tcBorders>
            <w:noWrap/>
            <w:vAlign w:val="bottom"/>
            <w:hideMark/>
          </w:tcPr>
          <w:p w:rsidRPr="00BE11A3" w:rsidR="00BE11A3" w:rsidP="00BE11A3" w:rsidRDefault="00BE11A3" w14:paraId="3AB0ED2C"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59</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308774A5" w14:textId="77777777">
            <w:pPr>
              <w:spacing w:after="0" w:line="240" w:lineRule="auto"/>
              <w:jc w:val="center"/>
              <w:rPr>
                <w:rFonts w:ascii="Calibri" w:hAnsi="Calibri" w:eastAsia="Times New Roman" w:cs="Calibri"/>
                <w:color w:val="00B050"/>
                <w:kern w:val="0"/>
                <w:sz w:val="16"/>
                <w:szCs w:val="16"/>
                <w:lang w:eastAsia="en-GB"/>
                <w14:ligatures w14:val="none"/>
              </w:rPr>
            </w:pPr>
            <w:r>
              <w:rPr>
                <w:rFonts w:ascii="Calibri" w:hAnsi="Calibri" w:eastAsia="Times New Roman" w:cs="Calibri"/>
                <w:color w:val="00B050"/>
                <w:kern w:val="0"/>
                <w:sz w:val="16"/>
                <w:szCs w:val="16"/>
                <w:lang w:eastAsia="en-GB"/>
                <w14:ligatures w14:val="none"/>
              </w:rPr>
              <w:t>21%</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5792B89B" w14:textId="77777777">
            <w:pPr>
              <w:spacing w:after="0" w:line="240" w:lineRule="auto"/>
              <w:jc w:val="center"/>
              <w:rPr>
                <w:rFonts w:ascii="Calibri" w:hAnsi="Calibri" w:eastAsia="Times New Roman" w:cs="Calibri"/>
                <w:color w:val="FFC000"/>
                <w:kern w:val="0"/>
                <w:sz w:val="16"/>
                <w:szCs w:val="16"/>
                <w:lang w:eastAsia="en-GB"/>
                <w14:ligatures w14:val="none"/>
              </w:rPr>
            </w:pPr>
            <w:r>
              <w:rPr>
                <w:rFonts w:ascii="Calibri" w:hAnsi="Calibri" w:eastAsia="Times New Roman" w:cs="Calibri"/>
                <w:color w:val="FFC000"/>
                <w:kern w:val="0"/>
                <w:sz w:val="16"/>
                <w:szCs w:val="16"/>
                <w:lang w:eastAsia="en-GB"/>
                <w14:ligatures w14:val="none"/>
              </w:rPr>
              <w:t>9%</w:t>
            </w:r>
          </w:p>
        </w:tc>
        <w:tc>
          <w:tcPr>
            <w:tcW w:w="694" w:type="dxa"/>
            <w:tcBorders>
              <w:top w:val="nil"/>
              <w:left w:val="nil"/>
              <w:bottom w:val="single" w:color="auto" w:sz="4" w:space="0"/>
              <w:right w:val="single" w:color="auto" w:sz="4" w:space="0"/>
            </w:tcBorders>
            <w:noWrap/>
            <w:vAlign w:val="bottom"/>
            <w:hideMark/>
          </w:tcPr>
          <w:p w:rsidRPr="00BE11A3" w:rsidR="00BE11A3" w:rsidP="00BE11A3" w:rsidRDefault="00BE11A3" w14:paraId="32C0E3E8" w14:textId="77777777">
            <w:pPr>
              <w:spacing w:after="0" w:line="240" w:lineRule="auto"/>
              <w:jc w:val="center"/>
              <w:rPr>
                <w:rFonts w:ascii="Calibri" w:hAnsi="Calibri" w:eastAsia="Times New Roman" w:cs="Calibri"/>
                <w:color w:val="C00000"/>
                <w:kern w:val="0"/>
                <w:sz w:val="16"/>
                <w:szCs w:val="16"/>
                <w:lang w:eastAsia="en-GB"/>
                <w14:ligatures w14:val="none"/>
              </w:rPr>
            </w:pPr>
            <w:r>
              <w:rPr>
                <w:rFonts w:ascii="Calibri" w:hAnsi="Calibri" w:eastAsia="Times New Roman" w:cs="Calibri"/>
                <w:color w:val="C00000"/>
                <w:kern w:val="0"/>
                <w:sz w:val="16"/>
                <w:szCs w:val="16"/>
                <w:lang w:eastAsia="en-GB"/>
                <w14:ligatures w14:val="none"/>
              </w:rPr>
              <w:t>70%</w:t>
            </w:r>
          </w:p>
        </w:tc>
        <w:tc>
          <w:tcPr>
            <w:tcW w:w="813" w:type="dxa"/>
            <w:tcBorders>
              <w:top w:val="nil"/>
              <w:left w:val="nil"/>
              <w:bottom w:val="single" w:color="auto" w:sz="4" w:space="0"/>
              <w:right w:val="single" w:color="auto" w:sz="4" w:space="0"/>
            </w:tcBorders>
            <w:noWrap/>
            <w:vAlign w:val="bottom"/>
            <w:hideMark/>
          </w:tcPr>
          <w:p w:rsidRPr="001722E6" w:rsidR="00BE11A3" w:rsidP="00BE11A3" w:rsidRDefault="00BE11A3" w14:paraId="2CF40DB4" w14:textId="77777777">
            <w:pPr>
              <w:spacing w:after="0" w:line="240" w:lineRule="auto"/>
              <w:jc w:val="center"/>
              <w:rPr>
                <w:rFonts w:ascii="Calibri" w:hAnsi="Calibri" w:eastAsia="Times New Roman" w:cs="Calibri"/>
                <w:color w:val="C00000"/>
                <w:kern w:val="0"/>
                <w:sz w:val="16"/>
                <w:szCs w:val="16"/>
                <w:lang w:eastAsia="en-GB"/>
                <w14:ligatures w14:val="none"/>
              </w:rPr>
            </w:pPr>
            <w:r w:rsidRPr="001722E6">
              <w:rPr>
                <w:rFonts w:ascii="Calibri" w:hAnsi="Calibri" w:eastAsia="Times New Roman" w:cs="Calibri"/>
                <w:color w:val="C00000"/>
                <w:kern w:val="0"/>
                <w:sz w:val="16"/>
                <w:szCs w:val="16"/>
                <w:lang w:eastAsia="en-GB"/>
                <w14:ligatures w14:val="none"/>
              </w:rPr>
              <w:t>-49%</w:t>
            </w:r>
          </w:p>
        </w:tc>
        <w:tc>
          <w:tcPr>
            <w:tcW w:w="649" w:type="dxa"/>
            <w:tcBorders>
              <w:top w:val="nil"/>
              <w:left w:val="nil"/>
              <w:bottom w:val="single" w:color="auto" w:sz="4" w:space="0"/>
              <w:right w:val="single" w:color="auto" w:sz="4" w:space="0"/>
            </w:tcBorders>
            <w:noWrap/>
            <w:vAlign w:val="bottom"/>
            <w:hideMark/>
          </w:tcPr>
          <w:p w:rsidRPr="00BE11A3" w:rsidR="00BE11A3" w:rsidP="00BE11A3" w:rsidRDefault="00BE11A3" w14:paraId="29BE84B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w:t>
            </w:r>
          </w:p>
        </w:tc>
        <w:tc>
          <w:tcPr>
            <w:tcW w:w="53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0CF7120B"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4</w:t>
            </w:r>
          </w:p>
        </w:tc>
        <w:tc>
          <w:tcPr>
            <w:tcW w:w="642"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7D7BD921"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7</w:t>
            </w:r>
          </w:p>
        </w:tc>
        <w:tc>
          <w:tcPr>
            <w:tcW w:w="62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1345BC7B"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31</w:t>
            </w:r>
          </w:p>
        </w:tc>
        <w:tc>
          <w:tcPr>
            <w:tcW w:w="296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755C66F7"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National Taiwan University (NTU)</w:t>
            </w:r>
          </w:p>
        </w:tc>
        <w:tc>
          <w:tcPr>
            <w:tcW w:w="60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74E6F8FB"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23</w:t>
            </w:r>
          </w:p>
        </w:tc>
      </w:tr>
      <w:tr w:rsidRPr="00BE11A3" w:rsidR="00BE11A3" w:rsidTr="197B92FD" w14:paraId="185104FE" w14:textId="77777777">
        <w:trPr>
          <w:trHeight w:val="300"/>
        </w:trPr>
        <w:tc>
          <w:tcPr>
            <w:tcW w:w="993" w:type="dxa"/>
            <w:tcBorders>
              <w:top w:val="nil"/>
              <w:left w:val="single" w:color="auto" w:sz="4" w:space="0"/>
              <w:bottom w:val="single" w:color="auto" w:sz="4" w:space="0"/>
              <w:right w:val="single" w:color="auto" w:sz="4" w:space="0"/>
            </w:tcBorders>
            <w:noWrap/>
            <w:vAlign w:val="bottom"/>
            <w:hideMark/>
          </w:tcPr>
          <w:p w:rsidRPr="00BE11A3" w:rsidR="00BE11A3" w:rsidP="00BE11A3" w:rsidRDefault="00BE11A3" w14:paraId="523E16C0"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Malaysia</w:t>
            </w:r>
          </w:p>
        </w:tc>
        <w:tc>
          <w:tcPr>
            <w:tcW w:w="690" w:type="dxa"/>
            <w:tcBorders>
              <w:top w:val="nil"/>
              <w:left w:val="nil"/>
              <w:bottom w:val="single" w:color="auto" w:sz="4" w:space="0"/>
              <w:right w:val="single" w:color="auto" w:sz="4" w:space="0"/>
            </w:tcBorders>
            <w:noWrap/>
            <w:vAlign w:val="bottom"/>
            <w:hideMark/>
          </w:tcPr>
          <w:p w:rsidRPr="00BE11A3" w:rsidR="00BE11A3" w:rsidP="00BE11A3" w:rsidRDefault="00BE11A3" w14:paraId="32FBAD66"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55</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7C38003C" w14:textId="77777777">
            <w:pPr>
              <w:spacing w:after="0" w:line="240" w:lineRule="auto"/>
              <w:jc w:val="center"/>
              <w:rPr>
                <w:rFonts w:ascii="Calibri" w:hAnsi="Calibri" w:eastAsia="Times New Roman" w:cs="Calibri"/>
                <w:color w:val="00B050"/>
                <w:kern w:val="0"/>
                <w:sz w:val="16"/>
                <w:szCs w:val="16"/>
                <w:lang w:eastAsia="en-GB"/>
                <w14:ligatures w14:val="none"/>
              </w:rPr>
            </w:pPr>
            <w:r>
              <w:rPr>
                <w:rFonts w:ascii="Calibri" w:hAnsi="Calibri" w:eastAsia="Times New Roman" w:cs="Calibri"/>
                <w:color w:val="00B050"/>
                <w:kern w:val="0"/>
                <w:sz w:val="16"/>
                <w:szCs w:val="16"/>
                <w:lang w:eastAsia="en-GB"/>
                <w14:ligatures w14:val="none"/>
              </w:rPr>
              <w:t>41%</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0B6E0A5E" w14:textId="77777777">
            <w:pPr>
              <w:spacing w:after="0" w:line="240" w:lineRule="auto"/>
              <w:jc w:val="center"/>
              <w:rPr>
                <w:rFonts w:ascii="Calibri" w:hAnsi="Calibri" w:eastAsia="Times New Roman" w:cs="Calibri"/>
                <w:color w:val="FFC000"/>
                <w:kern w:val="0"/>
                <w:sz w:val="16"/>
                <w:szCs w:val="16"/>
                <w:lang w:eastAsia="en-GB"/>
                <w14:ligatures w14:val="none"/>
              </w:rPr>
            </w:pPr>
            <w:r>
              <w:rPr>
                <w:rFonts w:ascii="Calibri" w:hAnsi="Calibri" w:eastAsia="Times New Roman" w:cs="Calibri"/>
                <w:color w:val="FFC000"/>
                <w:kern w:val="0"/>
                <w:sz w:val="16"/>
                <w:szCs w:val="16"/>
                <w:lang w:eastAsia="en-GB"/>
                <w14:ligatures w14:val="none"/>
              </w:rPr>
              <w:t>8%</w:t>
            </w:r>
          </w:p>
        </w:tc>
        <w:tc>
          <w:tcPr>
            <w:tcW w:w="694" w:type="dxa"/>
            <w:tcBorders>
              <w:top w:val="nil"/>
              <w:left w:val="nil"/>
              <w:bottom w:val="single" w:color="auto" w:sz="4" w:space="0"/>
              <w:right w:val="single" w:color="auto" w:sz="4" w:space="0"/>
            </w:tcBorders>
            <w:noWrap/>
            <w:vAlign w:val="bottom"/>
            <w:hideMark/>
          </w:tcPr>
          <w:p w:rsidRPr="00BE11A3" w:rsidR="00BE11A3" w:rsidP="00BE11A3" w:rsidRDefault="00BE11A3" w14:paraId="17906256" w14:textId="77777777">
            <w:pPr>
              <w:spacing w:after="0" w:line="240" w:lineRule="auto"/>
              <w:jc w:val="center"/>
              <w:rPr>
                <w:rFonts w:ascii="Calibri" w:hAnsi="Calibri" w:eastAsia="Times New Roman" w:cs="Calibri"/>
                <w:color w:val="C00000"/>
                <w:kern w:val="0"/>
                <w:sz w:val="16"/>
                <w:szCs w:val="16"/>
                <w:lang w:eastAsia="en-GB"/>
                <w14:ligatures w14:val="none"/>
              </w:rPr>
            </w:pPr>
            <w:r>
              <w:rPr>
                <w:rFonts w:ascii="Calibri" w:hAnsi="Calibri" w:eastAsia="Times New Roman" w:cs="Calibri"/>
                <w:color w:val="C00000"/>
                <w:kern w:val="0"/>
                <w:sz w:val="16"/>
                <w:szCs w:val="16"/>
                <w:lang w:eastAsia="en-GB"/>
                <w14:ligatures w14:val="none"/>
              </w:rPr>
              <w:t>51%</w:t>
            </w:r>
          </w:p>
        </w:tc>
        <w:tc>
          <w:tcPr>
            <w:tcW w:w="813" w:type="dxa"/>
            <w:tcBorders>
              <w:top w:val="nil"/>
              <w:left w:val="nil"/>
              <w:bottom w:val="single" w:color="auto" w:sz="4" w:space="0"/>
              <w:right w:val="single" w:color="auto" w:sz="4" w:space="0"/>
            </w:tcBorders>
            <w:noWrap/>
            <w:vAlign w:val="bottom"/>
            <w:hideMark/>
          </w:tcPr>
          <w:p w:rsidRPr="001722E6" w:rsidR="00BE11A3" w:rsidP="00BE11A3" w:rsidRDefault="00BE11A3" w14:paraId="19193AD6" w14:textId="77777777">
            <w:pPr>
              <w:spacing w:after="0" w:line="240" w:lineRule="auto"/>
              <w:jc w:val="center"/>
              <w:rPr>
                <w:rFonts w:ascii="Calibri" w:hAnsi="Calibri" w:eastAsia="Times New Roman" w:cs="Calibri"/>
                <w:color w:val="C00000"/>
                <w:kern w:val="0"/>
                <w:sz w:val="16"/>
                <w:szCs w:val="16"/>
                <w:lang w:eastAsia="en-GB"/>
                <w14:ligatures w14:val="none"/>
              </w:rPr>
            </w:pPr>
            <w:r w:rsidRPr="001722E6">
              <w:rPr>
                <w:rFonts w:ascii="Calibri" w:hAnsi="Calibri" w:eastAsia="Times New Roman" w:cs="Calibri"/>
                <w:color w:val="C00000"/>
                <w:kern w:val="0"/>
                <w:sz w:val="16"/>
                <w:szCs w:val="16"/>
                <w:lang w:eastAsia="en-GB"/>
                <w14:ligatures w14:val="none"/>
              </w:rPr>
              <w:t>-10%</w:t>
            </w:r>
          </w:p>
        </w:tc>
        <w:tc>
          <w:tcPr>
            <w:tcW w:w="649" w:type="dxa"/>
            <w:tcBorders>
              <w:top w:val="nil"/>
              <w:left w:val="nil"/>
              <w:bottom w:val="single" w:color="auto" w:sz="4" w:space="0"/>
              <w:right w:val="single" w:color="auto" w:sz="4" w:space="0"/>
            </w:tcBorders>
            <w:noWrap/>
            <w:vAlign w:val="bottom"/>
            <w:hideMark/>
          </w:tcPr>
          <w:p w:rsidRPr="00BE11A3" w:rsidR="00BE11A3" w:rsidP="00BE11A3" w:rsidRDefault="00BE11A3" w14:paraId="77F2E30E"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6</w:t>
            </w:r>
          </w:p>
        </w:tc>
        <w:tc>
          <w:tcPr>
            <w:tcW w:w="53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3BFD7C95"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8</w:t>
            </w:r>
          </w:p>
        </w:tc>
        <w:tc>
          <w:tcPr>
            <w:tcW w:w="642"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06A13A92"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11</w:t>
            </w:r>
          </w:p>
        </w:tc>
        <w:tc>
          <w:tcPr>
            <w:tcW w:w="62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7250AFB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35</w:t>
            </w:r>
          </w:p>
        </w:tc>
        <w:tc>
          <w:tcPr>
            <w:tcW w:w="296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1C7277B8"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Universiti Malaya (UM)</w:t>
            </w:r>
          </w:p>
        </w:tc>
        <w:tc>
          <w:tcPr>
            <w:tcW w:w="60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6E679F23"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17</w:t>
            </w:r>
          </w:p>
        </w:tc>
      </w:tr>
      <w:tr w:rsidRPr="00BE11A3" w:rsidR="00BE11A3" w:rsidTr="197B92FD" w14:paraId="78E86DDF" w14:textId="77777777">
        <w:trPr>
          <w:trHeight w:val="300"/>
        </w:trPr>
        <w:tc>
          <w:tcPr>
            <w:tcW w:w="993" w:type="dxa"/>
            <w:tcBorders>
              <w:top w:val="nil"/>
              <w:left w:val="single" w:color="auto" w:sz="4" w:space="0"/>
              <w:bottom w:val="single" w:color="auto" w:sz="4" w:space="0"/>
              <w:right w:val="single" w:color="auto" w:sz="4" w:space="0"/>
            </w:tcBorders>
            <w:noWrap/>
            <w:vAlign w:val="bottom"/>
            <w:hideMark/>
          </w:tcPr>
          <w:p w:rsidRPr="00BE11A3" w:rsidR="00BE11A3" w:rsidP="00BE11A3" w:rsidRDefault="00BE11A3" w14:paraId="773940BD"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Bangladesh</w:t>
            </w:r>
          </w:p>
        </w:tc>
        <w:tc>
          <w:tcPr>
            <w:tcW w:w="690" w:type="dxa"/>
            <w:tcBorders>
              <w:top w:val="nil"/>
              <w:left w:val="nil"/>
              <w:bottom w:val="single" w:color="auto" w:sz="4" w:space="0"/>
              <w:right w:val="single" w:color="auto" w:sz="4" w:space="0"/>
            </w:tcBorders>
            <w:noWrap/>
            <w:vAlign w:val="bottom"/>
            <w:hideMark/>
          </w:tcPr>
          <w:p w:rsidRPr="00BE11A3" w:rsidR="00BE11A3" w:rsidP="00BE11A3" w:rsidRDefault="00BE11A3" w14:paraId="6A7582E7"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52</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392BB5A7" w14:textId="77777777">
            <w:pPr>
              <w:spacing w:after="0" w:line="240" w:lineRule="auto"/>
              <w:jc w:val="center"/>
              <w:rPr>
                <w:rFonts w:ascii="Calibri" w:hAnsi="Calibri" w:eastAsia="Times New Roman" w:cs="Calibri"/>
                <w:color w:val="00B050"/>
                <w:kern w:val="0"/>
                <w:sz w:val="16"/>
                <w:szCs w:val="16"/>
                <w:lang w:eastAsia="en-GB"/>
                <w14:ligatures w14:val="none"/>
              </w:rPr>
            </w:pPr>
            <w:r>
              <w:rPr>
                <w:rFonts w:ascii="Calibri" w:hAnsi="Calibri" w:eastAsia="Times New Roman" w:cs="Calibri"/>
                <w:color w:val="00B050"/>
                <w:kern w:val="0"/>
                <w:sz w:val="16"/>
                <w:szCs w:val="16"/>
                <w:lang w:eastAsia="en-GB"/>
                <w14:ligatures w14:val="none"/>
              </w:rPr>
              <w:t>26%</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5CE4AA6C" w14:textId="77777777">
            <w:pPr>
              <w:spacing w:after="0" w:line="240" w:lineRule="auto"/>
              <w:jc w:val="center"/>
              <w:rPr>
                <w:rFonts w:ascii="Calibri" w:hAnsi="Calibri" w:eastAsia="Times New Roman" w:cs="Calibri"/>
                <w:color w:val="FFC000"/>
                <w:kern w:val="0"/>
                <w:sz w:val="16"/>
                <w:szCs w:val="16"/>
                <w:lang w:eastAsia="en-GB"/>
                <w14:ligatures w14:val="none"/>
              </w:rPr>
            </w:pPr>
            <w:r>
              <w:rPr>
                <w:rFonts w:ascii="Calibri" w:hAnsi="Calibri" w:eastAsia="Times New Roman" w:cs="Calibri"/>
                <w:color w:val="FFC000"/>
                <w:kern w:val="0"/>
                <w:sz w:val="16"/>
                <w:szCs w:val="16"/>
                <w:lang w:eastAsia="en-GB"/>
                <w14:ligatures w14:val="none"/>
              </w:rPr>
              <w:t>15%</w:t>
            </w:r>
          </w:p>
        </w:tc>
        <w:tc>
          <w:tcPr>
            <w:tcW w:w="694" w:type="dxa"/>
            <w:tcBorders>
              <w:top w:val="nil"/>
              <w:left w:val="nil"/>
              <w:bottom w:val="single" w:color="auto" w:sz="4" w:space="0"/>
              <w:right w:val="single" w:color="auto" w:sz="4" w:space="0"/>
            </w:tcBorders>
            <w:noWrap/>
            <w:vAlign w:val="bottom"/>
            <w:hideMark/>
          </w:tcPr>
          <w:p w:rsidRPr="00BE11A3" w:rsidR="00BE11A3" w:rsidP="00BE11A3" w:rsidRDefault="00BE11A3" w14:paraId="4B6ADA82" w14:textId="77777777">
            <w:pPr>
              <w:spacing w:after="0" w:line="240" w:lineRule="auto"/>
              <w:jc w:val="center"/>
              <w:rPr>
                <w:rFonts w:ascii="Calibri" w:hAnsi="Calibri" w:eastAsia="Times New Roman" w:cs="Calibri"/>
                <w:color w:val="C00000"/>
                <w:kern w:val="0"/>
                <w:sz w:val="16"/>
                <w:szCs w:val="16"/>
                <w:lang w:eastAsia="en-GB"/>
                <w14:ligatures w14:val="none"/>
              </w:rPr>
            </w:pPr>
            <w:r>
              <w:rPr>
                <w:rFonts w:ascii="Calibri" w:hAnsi="Calibri" w:eastAsia="Times New Roman" w:cs="Calibri"/>
                <w:color w:val="C00000"/>
                <w:kern w:val="0"/>
                <w:sz w:val="16"/>
                <w:szCs w:val="16"/>
                <w:lang w:eastAsia="en-GB"/>
                <w14:ligatures w14:val="none"/>
              </w:rPr>
              <w:t>59%</w:t>
            </w:r>
          </w:p>
        </w:tc>
        <w:tc>
          <w:tcPr>
            <w:tcW w:w="813" w:type="dxa"/>
            <w:tcBorders>
              <w:top w:val="nil"/>
              <w:left w:val="nil"/>
              <w:bottom w:val="single" w:color="auto" w:sz="4" w:space="0"/>
              <w:right w:val="single" w:color="auto" w:sz="4" w:space="0"/>
            </w:tcBorders>
            <w:noWrap/>
            <w:vAlign w:val="bottom"/>
            <w:hideMark/>
          </w:tcPr>
          <w:p w:rsidRPr="001722E6" w:rsidR="00BE11A3" w:rsidP="00BE11A3" w:rsidRDefault="00BE11A3" w14:paraId="5D4D8EEE" w14:textId="77777777">
            <w:pPr>
              <w:spacing w:after="0" w:line="240" w:lineRule="auto"/>
              <w:jc w:val="center"/>
              <w:rPr>
                <w:rFonts w:ascii="Calibri" w:hAnsi="Calibri" w:eastAsia="Times New Roman" w:cs="Calibri"/>
                <w:color w:val="C00000"/>
                <w:kern w:val="0"/>
                <w:sz w:val="16"/>
                <w:szCs w:val="16"/>
                <w:lang w:eastAsia="en-GB"/>
                <w14:ligatures w14:val="none"/>
              </w:rPr>
            </w:pPr>
            <w:r w:rsidRPr="001722E6">
              <w:rPr>
                <w:rFonts w:ascii="Calibri" w:hAnsi="Calibri" w:eastAsia="Times New Roman" w:cs="Calibri"/>
                <w:color w:val="C00000"/>
                <w:kern w:val="0"/>
                <w:sz w:val="16"/>
                <w:szCs w:val="16"/>
                <w:lang w:eastAsia="en-GB"/>
                <w14:ligatures w14:val="none"/>
              </w:rPr>
              <w:t>-33%</w:t>
            </w:r>
          </w:p>
        </w:tc>
        <w:tc>
          <w:tcPr>
            <w:tcW w:w="649" w:type="dxa"/>
            <w:tcBorders>
              <w:top w:val="nil"/>
              <w:left w:val="nil"/>
              <w:bottom w:val="single" w:color="auto" w:sz="4" w:space="0"/>
              <w:right w:val="single" w:color="auto" w:sz="4" w:space="0"/>
            </w:tcBorders>
            <w:noWrap/>
            <w:vAlign w:val="bottom"/>
            <w:hideMark/>
          </w:tcPr>
          <w:p w:rsidRPr="00BE11A3" w:rsidR="00BE11A3" w:rsidP="00BE11A3" w:rsidRDefault="00BE11A3" w14:paraId="03713B46"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6</w:t>
            </w:r>
          </w:p>
        </w:tc>
        <w:tc>
          <w:tcPr>
            <w:tcW w:w="53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29FB94BE"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 </w:t>
            </w:r>
          </w:p>
        </w:tc>
        <w:tc>
          <w:tcPr>
            <w:tcW w:w="642"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33860C39"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 </w:t>
            </w:r>
          </w:p>
        </w:tc>
        <w:tc>
          <w:tcPr>
            <w:tcW w:w="62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388FC052"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14</w:t>
            </w:r>
          </w:p>
        </w:tc>
        <w:tc>
          <w:tcPr>
            <w:tcW w:w="296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7DD1ECEA"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University of Dhaka</w:t>
            </w:r>
          </w:p>
        </w:tc>
        <w:tc>
          <w:tcPr>
            <w:tcW w:w="60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797AD91F"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136</w:t>
            </w:r>
          </w:p>
        </w:tc>
      </w:tr>
      <w:tr w:rsidRPr="00BE11A3" w:rsidR="00BE11A3" w:rsidTr="197B92FD" w14:paraId="18B7CA1A" w14:textId="77777777">
        <w:trPr>
          <w:trHeight w:val="300"/>
        </w:trPr>
        <w:tc>
          <w:tcPr>
            <w:tcW w:w="993" w:type="dxa"/>
            <w:tcBorders>
              <w:top w:val="nil"/>
              <w:left w:val="single" w:color="auto" w:sz="4" w:space="0"/>
              <w:bottom w:val="single" w:color="auto" w:sz="4" w:space="0"/>
              <w:right w:val="single" w:color="auto" w:sz="4" w:space="0"/>
            </w:tcBorders>
            <w:noWrap/>
            <w:vAlign w:val="bottom"/>
            <w:hideMark/>
          </w:tcPr>
          <w:p w:rsidRPr="00BE11A3" w:rsidR="00BE11A3" w:rsidP="00BE11A3" w:rsidRDefault="00BE11A3" w14:paraId="07CC0EB5"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Kazakhstan</w:t>
            </w:r>
          </w:p>
        </w:tc>
        <w:tc>
          <w:tcPr>
            <w:tcW w:w="690" w:type="dxa"/>
            <w:tcBorders>
              <w:top w:val="nil"/>
              <w:left w:val="nil"/>
              <w:bottom w:val="single" w:color="auto" w:sz="4" w:space="0"/>
              <w:right w:val="single" w:color="auto" w:sz="4" w:space="0"/>
            </w:tcBorders>
            <w:noWrap/>
            <w:vAlign w:val="bottom"/>
            <w:hideMark/>
          </w:tcPr>
          <w:p w:rsidRPr="00BE11A3" w:rsidR="00BE11A3" w:rsidP="00BE11A3" w:rsidRDefault="00BE11A3" w14:paraId="3A5CF19F"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51</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1AAE3FA0" w14:textId="77777777">
            <w:pPr>
              <w:spacing w:after="0" w:line="240" w:lineRule="auto"/>
              <w:jc w:val="center"/>
              <w:rPr>
                <w:rFonts w:ascii="Calibri" w:hAnsi="Calibri" w:eastAsia="Times New Roman" w:cs="Calibri"/>
                <w:color w:val="00B050"/>
                <w:kern w:val="0"/>
                <w:sz w:val="16"/>
                <w:szCs w:val="16"/>
                <w:lang w:eastAsia="en-GB"/>
                <w14:ligatures w14:val="none"/>
              </w:rPr>
            </w:pPr>
            <w:r>
              <w:rPr>
                <w:rFonts w:ascii="Calibri" w:hAnsi="Calibri" w:eastAsia="Times New Roman" w:cs="Calibri"/>
                <w:color w:val="00B050"/>
                <w:kern w:val="0"/>
                <w:sz w:val="16"/>
                <w:szCs w:val="16"/>
                <w:lang w:eastAsia="en-GB"/>
                <w14:ligatures w14:val="none"/>
              </w:rPr>
              <w:t>32%</w:t>
            </w:r>
          </w:p>
        </w:tc>
        <w:tc>
          <w:tcPr>
            <w:tcW w:w="627" w:type="dxa"/>
            <w:tcBorders>
              <w:top w:val="nil"/>
              <w:left w:val="nil"/>
              <w:bottom w:val="single" w:color="auto" w:sz="4" w:space="0"/>
              <w:right w:val="single" w:color="auto" w:sz="4" w:space="0"/>
            </w:tcBorders>
            <w:noWrap/>
            <w:vAlign w:val="bottom"/>
            <w:hideMark/>
          </w:tcPr>
          <w:p w:rsidRPr="00BE11A3" w:rsidR="00BE11A3" w:rsidP="00BE11A3" w:rsidRDefault="00BE11A3" w14:paraId="29CB8EF4" w14:textId="77777777">
            <w:pPr>
              <w:spacing w:after="0" w:line="240" w:lineRule="auto"/>
              <w:jc w:val="center"/>
              <w:rPr>
                <w:rFonts w:ascii="Calibri" w:hAnsi="Calibri" w:eastAsia="Times New Roman" w:cs="Calibri"/>
                <w:color w:val="FFC000"/>
                <w:kern w:val="0"/>
                <w:sz w:val="16"/>
                <w:szCs w:val="16"/>
                <w:lang w:eastAsia="en-GB"/>
                <w14:ligatures w14:val="none"/>
              </w:rPr>
            </w:pPr>
            <w:r>
              <w:rPr>
                <w:rFonts w:ascii="Calibri" w:hAnsi="Calibri" w:eastAsia="Times New Roman" w:cs="Calibri"/>
                <w:color w:val="FFC000"/>
                <w:kern w:val="0"/>
                <w:sz w:val="16"/>
                <w:szCs w:val="16"/>
                <w:lang w:eastAsia="en-GB"/>
                <w14:ligatures w14:val="none"/>
              </w:rPr>
              <w:t>14%</w:t>
            </w:r>
          </w:p>
        </w:tc>
        <w:tc>
          <w:tcPr>
            <w:tcW w:w="694" w:type="dxa"/>
            <w:tcBorders>
              <w:top w:val="nil"/>
              <w:left w:val="nil"/>
              <w:bottom w:val="single" w:color="auto" w:sz="4" w:space="0"/>
              <w:right w:val="single" w:color="auto" w:sz="4" w:space="0"/>
            </w:tcBorders>
            <w:noWrap/>
            <w:vAlign w:val="bottom"/>
            <w:hideMark/>
          </w:tcPr>
          <w:p w:rsidRPr="00BE11A3" w:rsidR="00BE11A3" w:rsidP="00BE11A3" w:rsidRDefault="00BE11A3" w14:paraId="0137F877" w14:textId="77777777">
            <w:pPr>
              <w:spacing w:after="0" w:line="240" w:lineRule="auto"/>
              <w:jc w:val="center"/>
              <w:rPr>
                <w:rFonts w:ascii="Calibri" w:hAnsi="Calibri" w:eastAsia="Times New Roman" w:cs="Calibri"/>
                <w:color w:val="C00000"/>
                <w:kern w:val="0"/>
                <w:sz w:val="16"/>
                <w:szCs w:val="16"/>
                <w:lang w:eastAsia="en-GB"/>
                <w14:ligatures w14:val="none"/>
              </w:rPr>
            </w:pPr>
            <w:r>
              <w:rPr>
                <w:rFonts w:ascii="Calibri" w:hAnsi="Calibri" w:eastAsia="Times New Roman" w:cs="Calibri"/>
                <w:color w:val="C00000"/>
                <w:kern w:val="0"/>
                <w:sz w:val="16"/>
                <w:szCs w:val="16"/>
                <w:lang w:eastAsia="en-GB"/>
                <w14:ligatures w14:val="none"/>
              </w:rPr>
              <w:t>55%</w:t>
            </w:r>
          </w:p>
        </w:tc>
        <w:tc>
          <w:tcPr>
            <w:tcW w:w="813" w:type="dxa"/>
            <w:tcBorders>
              <w:top w:val="nil"/>
              <w:left w:val="nil"/>
              <w:bottom w:val="single" w:color="auto" w:sz="4" w:space="0"/>
              <w:right w:val="single" w:color="auto" w:sz="4" w:space="0"/>
            </w:tcBorders>
            <w:noWrap/>
            <w:vAlign w:val="bottom"/>
            <w:hideMark/>
          </w:tcPr>
          <w:p w:rsidRPr="001722E6" w:rsidR="00BE11A3" w:rsidP="00BE11A3" w:rsidRDefault="00BE11A3" w14:paraId="5B43AE31" w14:textId="77777777">
            <w:pPr>
              <w:spacing w:after="0" w:line="240" w:lineRule="auto"/>
              <w:jc w:val="center"/>
              <w:rPr>
                <w:rFonts w:ascii="Calibri" w:hAnsi="Calibri" w:eastAsia="Times New Roman" w:cs="Calibri"/>
                <w:color w:val="C00000"/>
                <w:kern w:val="0"/>
                <w:sz w:val="16"/>
                <w:szCs w:val="16"/>
                <w:lang w:eastAsia="en-GB"/>
                <w14:ligatures w14:val="none"/>
              </w:rPr>
            </w:pPr>
            <w:r w:rsidRPr="001722E6">
              <w:rPr>
                <w:rFonts w:ascii="Calibri" w:hAnsi="Calibri" w:eastAsia="Times New Roman" w:cs="Calibri"/>
                <w:color w:val="C00000"/>
                <w:kern w:val="0"/>
                <w:sz w:val="16"/>
                <w:szCs w:val="16"/>
                <w:lang w:eastAsia="en-GB"/>
                <w14:ligatures w14:val="none"/>
              </w:rPr>
              <w:t>-23%</w:t>
            </w:r>
          </w:p>
        </w:tc>
        <w:tc>
          <w:tcPr>
            <w:tcW w:w="649" w:type="dxa"/>
            <w:tcBorders>
              <w:top w:val="nil"/>
              <w:left w:val="nil"/>
              <w:bottom w:val="single" w:color="auto" w:sz="4" w:space="0"/>
              <w:right w:val="single" w:color="auto" w:sz="4" w:space="0"/>
            </w:tcBorders>
            <w:noWrap/>
            <w:vAlign w:val="bottom"/>
            <w:hideMark/>
          </w:tcPr>
          <w:p w:rsidRPr="00BE11A3" w:rsidR="00BE11A3" w:rsidP="00BE11A3" w:rsidRDefault="00BE11A3" w14:paraId="4E7E7A26"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7</w:t>
            </w:r>
          </w:p>
        </w:tc>
        <w:tc>
          <w:tcPr>
            <w:tcW w:w="53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6520DBC5"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w:t>
            </w:r>
          </w:p>
        </w:tc>
        <w:tc>
          <w:tcPr>
            <w:tcW w:w="642"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389BF7D9"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w:t>
            </w:r>
          </w:p>
        </w:tc>
        <w:tc>
          <w:tcPr>
            <w:tcW w:w="627" w:type="dxa"/>
            <w:tcBorders>
              <w:top w:val="nil"/>
              <w:left w:val="nil"/>
              <w:bottom w:val="single" w:color="auto" w:sz="4" w:space="0"/>
              <w:right w:val="single" w:color="auto" w:sz="4" w:space="0"/>
            </w:tcBorders>
            <w:shd w:val="clear" w:color="auto" w:fill="E9E9E7"/>
            <w:noWrap/>
            <w:vAlign w:val="bottom"/>
            <w:hideMark/>
          </w:tcPr>
          <w:p w:rsidRPr="00BE11A3" w:rsidR="00BE11A3" w:rsidP="00BE11A3" w:rsidRDefault="00BE11A3" w14:paraId="52800D28"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19</w:t>
            </w:r>
          </w:p>
        </w:tc>
        <w:tc>
          <w:tcPr>
            <w:tcW w:w="296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1585A2C2"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Farabi University</w:t>
            </w:r>
          </w:p>
        </w:tc>
        <w:tc>
          <w:tcPr>
            <w:tcW w:w="607" w:type="dxa"/>
            <w:tcBorders>
              <w:top w:val="nil"/>
              <w:left w:val="nil"/>
              <w:bottom w:val="single" w:color="auto" w:sz="4" w:space="0"/>
              <w:right w:val="single" w:color="auto" w:sz="4" w:space="0"/>
            </w:tcBorders>
            <w:shd w:val="clear" w:color="auto" w:fill="F2F2F2" w:themeFill="background1" w:themeFillShade="F2"/>
            <w:noWrap/>
            <w:vAlign w:val="bottom"/>
            <w:hideMark/>
          </w:tcPr>
          <w:p w:rsidRPr="00BE11A3" w:rsidR="00BE11A3" w:rsidP="00BE11A3" w:rsidRDefault="00BE11A3" w14:paraId="42C19D2E"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46</w:t>
            </w:r>
          </w:p>
        </w:tc>
      </w:tr>
    </w:tbl>
    <w:p w:rsidR="00BE11A3" w:rsidRDefault="00BE11A3" w14:paraId="5C81D558" w14:textId="77777777">
      <w:pPr>
        <w:rPr>
          <w:rFonts w:ascii="Calibri" w:hAnsi="Calibri" w:cs="Calibri"/>
        </w:rPr>
      </w:pPr>
    </w:p>
    <w:p w:rsidRPr="00F24354" w:rsidR="00D46575" w:rsidRDefault="00DA15D6" w14:paraId="6992B135" w14:textId="6FBE9F9C">
      <w:pPr>
        <w:rPr>
          <w:rStyle w:val="normaltextrun"/>
          <w:rFonts w:ascii="Calibri" w:hAnsi="Calibri" w:cs="Calibri"/>
          <w:color w:val="000000"/>
          <w:sz w:val="22"/>
          <w:szCs w:val="22"/>
          <w:shd w:val="clear" w:color="auto" w:fill="FFFFFF"/>
          <w:lang w:val="en-US"/>
        </w:rPr>
      </w:pPr>
      <w:r>
        <w:rPr>
          <w:rStyle w:val="normaltextrun"/>
          <w:rFonts w:ascii="Calibri" w:hAnsi="Calibri" w:cs="Calibri"/>
          <w:color w:val="1D1D1B"/>
          <w:sz w:val="22"/>
          <w:szCs w:val="22"/>
          <w:shd w:val="clear" w:color="auto" w:fill="FFFFFF"/>
        </w:rPr>
        <w:t xml:space="preserve">The QS Asia Rankings </w:t>
      </w:r>
      <w:r>
        <w:rPr>
          <w:rStyle w:val="normaltextrun"/>
          <w:rFonts w:ascii="Calibri" w:hAnsi="Calibri" w:cs="Calibri"/>
          <w:color w:val="1D1D1B"/>
          <w:sz w:val="22"/>
          <w:szCs w:val="22"/>
          <w:shd w:val="clear" w:color="auto" w:fill="FFFFFF"/>
          <w:lang w:val="en-US"/>
        </w:rPr>
        <w:t xml:space="preserve">are determined by an institution’s scores across </w:t>
      </w:r>
      <w:r w:rsidR="001722E6">
        <w:rPr>
          <w:rStyle w:val="normaltextrun"/>
          <w:rFonts w:ascii="Calibri" w:hAnsi="Calibri" w:cs="Calibri"/>
          <w:color w:val="1D1D1B"/>
          <w:sz w:val="22"/>
          <w:szCs w:val="22"/>
          <w:shd w:val="clear" w:color="auto" w:fill="FFFFFF"/>
          <w:lang w:val="en-US"/>
        </w:rPr>
        <w:t>11</w:t>
      </w:r>
      <w:r>
        <w:rPr>
          <w:rStyle w:val="normaltextrun"/>
          <w:rFonts w:ascii="Calibri" w:hAnsi="Calibri" w:cs="Calibri"/>
          <w:color w:val="1D1D1B"/>
          <w:sz w:val="22"/>
          <w:szCs w:val="22"/>
          <w:shd w:val="clear" w:color="auto" w:fill="FFFFFF"/>
          <w:lang w:val="en-US"/>
        </w:rPr>
        <w:t xml:space="preserve"> key indicators </w:t>
      </w:r>
      <w:r>
        <w:rPr>
          <w:rStyle w:val="normaltextrun"/>
          <w:rFonts w:ascii="Calibri" w:hAnsi="Calibri" w:cs="Calibri"/>
          <w:color w:val="1D1D1B"/>
          <w:sz w:val="22"/>
          <w:szCs w:val="22"/>
          <w:shd w:val="clear" w:color="auto" w:fill="FFFFFF"/>
        </w:rPr>
        <w:t xml:space="preserve">which have been tailored to reflect the nuances of the region and differentiate it from the </w:t>
      </w:r>
      <w:hyperlink w:tgtFrame="_blank" w:history="1" r:id="rId9">
        <w:r>
          <w:rPr>
            <w:rStyle w:val="normaltextrun"/>
            <w:rFonts w:ascii="Calibri" w:hAnsi="Calibri" w:cs="Calibri"/>
            <w:color w:val="467886"/>
            <w:sz w:val="22"/>
            <w:szCs w:val="22"/>
            <w:u w:val="single"/>
            <w:shd w:val="clear" w:color="auto" w:fill="FFFFFF"/>
          </w:rPr>
          <w:t>QS World University Rankings</w:t>
        </w:r>
      </w:hyperlink>
      <w:r>
        <w:rPr>
          <w:rStyle w:val="normaltextrun"/>
          <w:rFonts w:ascii="Calibri" w:hAnsi="Calibri" w:cs="Calibri"/>
          <w:color w:val="1D1D1B"/>
          <w:sz w:val="22"/>
          <w:szCs w:val="22"/>
          <w:shd w:val="clear" w:color="auto" w:fill="FFFFFF"/>
        </w:rPr>
        <w:t>. The below table shows the top-performing university in each of QS’ indicators.</w:t>
      </w:r>
      <w:r>
        <w:rPr>
          <w:rStyle w:val="normaltextrun"/>
          <w:rFonts w:ascii="Calibri" w:hAnsi="Calibri" w:cs="Calibri"/>
          <w:color w:val="1D1D1B"/>
          <w:sz w:val="22"/>
          <w:szCs w:val="22"/>
          <w:shd w:val="clear" w:color="auto" w:fill="FFFFFF"/>
          <w:lang w:val="en-US"/>
        </w:rPr>
        <w:t> Detailed methodological information can be found</w:t>
      </w:r>
      <w:r>
        <w:rPr>
          <w:rStyle w:val="normaltextrun"/>
          <w:rFonts w:ascii="Calibri" w:hAnsi="Calibri" w:cs="Calibri"/>
          <w:color w:val="000000"/>
          <w:sz w:val="22"/>
          <w:szCs w:val="22"/>
          <w:shd w:val="clear" w:color="auto" w:fill="FFFFFF"/>
        </w:rPr>
        <w:t xml:space="preserve"> </w:t>
      </w:r>
      <w:hyperlink w:tgtFrame="_blank" w:history="1" r:id="rId10">
        <w:r>
          <w:rPr>
            <w:rStyle w:val="normaltextrun"/>
            <w:rFonts w:ascii="Calibri" w:hAnsi="Calibri" w:cs="Calibri"/>
            <w:color w:val="467886"/>
            <w:sz w:val="22"/>
            <w:szCs w:val="22"/>
            <w:u w:val="single"/>
            <w:shd w:val="clear" w:color="auto" w:fill="FFFFFF"/>
          </w:rPr>
          <w:t>her</w:t>
        </w:r>
        <w:r>
          <w:rPr>
            <w:rStyle w:val="normaltextrun"/>
            <w:rFonts w:ascii="Calibri" w:hAnsi="Calibri" w:cs="Calibri"/>
            <w:color w:val="467886"/>
            <w:sz w:val="22"/>
            <w:szCs w:val="22"/>
            <w:u w:val="single"/>
            <w:shd w:val="clear" w:color="auto" w:fill="FFFFFF"/>
          </w:rPr>
          <w:t>e</w:t>
        </w:r>
      </w:hyperlink>
      <w:r>
        <w:rPr>
          <w:rStyle w:val="normaltextrun"/>
          <w:rFonts w:ascii="Calibri" w:hAnsi="Calibri" w:cs="Calibri"/>
          <w:color w:val="000000"/>
          <w:sz w:val="22"/>
          <w:szCs w:val="22"/>
          <w:shd w:val="clear" w:color="auto" w:fill="FFFFFF"/>
          <w:lang w:val="en-US"/>
        </w:rPr>
        <w:t>.</w:t>
      </w:r>
    </w:p>
    <w:tbl>
      <w:tblPr>
        <w:tblW w:w="9209" w:type="dxa"/>
        <w:tblLook w:val="04A0" w:firstRow="1" w:lastRow="0" w:firstColumn="1" w:lastColumn="0" w:noHBand="0" w:noVBand="1"/>
      </w:tblPr>
      <w:tblGrid>
        <w:gridCol w:w="1696"/>
        <w:gridCol w:w="709"/>
        <w:gridCol w:w="3686"/>
        <w:gridCol w:w="1701"/>
        <w:gridCol w:w="1417"/>
      </w:tblGrid>
      <w:tr w:rsidRPr="000A099C" w:rsidR="000A099C" w:rsidTr="197B92FD" w14:paraId="241342E6" w14:textId="77777777">
        <w:trPr>
          <w:trHeight w:val="300"/>
        </w:trPr>
        <w:tc>
          <w:tcPr>
            <w:tcW w:w="9209" w:type="dxa"/>
            <w:gridSpan w:val="5"/>
            <w:tcBorders>
              <w:top w:val="single" w:color="auto" w:sz="4" w:space="0"/>
              <w:left w:val="single" w:color="auto" w:sz="4" w:space="0"/>
              <w:bottom w:val="single" w:color="auto" w:sz="4" w:space="0"/>
              <w:right w:val="single" w:color="auto" w:sz="4" w:space="0"/>
            </w:tcBorders>
            <w:noWrap/>
            <w:vAlign w:val="bottom"/>
            <w:hideMark/>
          </w:tcPr>
          <w:p w:rsidRPr="000A099C" w:rsidR="000A099C" w:rsidP="000A099C" w:rsidRDefault="000A099C" w14:paraId="44705254" w14:textId="77777777">
            <w:pPr>
              <w:spacing w:after="0" w:line="240" w:lineRule="auto"/>
              <w:jc w:val="center"/>
              <w:rPr>
                <w:rFonts w:ascii="Calibri" w:hAnsi="Calibri" w:eastAsia="Times New Roman" w:cs="Calibri"/>
                <w:b/>
                <w:bCs/>
                <w:color w:val="1D1D1B"/>
                <w:kern w:val="0"/>
                <w:sz w:val="20"/>
                <w:szCs w:val="20"/>
                <w:lang w:eastAsia="en-GB"/>
                <w14:ligatures w14:val="none"/>
              </w:rPr>
            </w:pPr>
            <w:r>
              <w:rPr>
                <w:rFonts w:ascii="Calibri" w:hAnsi="Calibri" w:eastAsia="Times New Roman" w:cs="Calibri"/>
                <w:b/>
                <w:bCs/>
                <w:color w:val="1D1D1B"/>
                <w:kern w:val="0"/>
                <w:sz w:val="20"/>
                <w:szCs w:val="20"/>
                <w:lang w:eastAsia="en-GB"/>
                <w14:ligatures w14:val="none"/>
              </w:rPr>
              <w:t>Table 3: Regional leaders by indicator</w:t>
            </w:r>
          </w:p>
        </w:tc>
      </w:tr>
      <w:tr w:rsidRPr="000A099C" w:rsidR="000A099C" w:rsidTr="197B92FD" w14:paraId="75A23CBD" w14:textId="77777777">
        <w:trPr>
          <w:trHeight w:val="300"/>
        </w:trPr>
        <w:tc>
          <w:tcPr>
            <w:tcW w:w="1696" w:type="dxa"/>
            <w:tcBorders>
              <w:top w:val="nil"/>
              <w:left w:val="single" w:color="auto" w:sz="4" w:space="0"/>
              <w:bottom w:val="single" w:color="auto" w:sz="4" w:space="0"/>
              <w:right w:val="single" w:color="auto" w:sz="4" w:space="0"/>
            </w:tcBorders>
            <w:vAlign w:val="center"/>
            <w:hideMark/>
          </w:tcPr>
          <w:p w:rsidRPr="000A099C" w:rsidR="000A099C" w:rsidP="000A099C" w:rsidRDefault="000A099C" w14:paraId="11FA37FE" w14:textId="77777777">
            <w:pPr>
              <w:spacing w:after="0" w:line="240" w:lineRule="auto"/>
              <w:rPr>
                <w:rFonts w:ascii="Calibri" w:hAnsi="Calibri" w:eastAsia="Times New Roman" w:cs="Calibri"/>
                <w:b/>
                <w:bCs/>
                <w:color w:val="1D1D1B"/>
                <w:kern w:val="0"/>
                <w:sz w:val="16"/>
                <w:szCs w:val="16"/>
                <w:lang w:eastAsia="en-GB"/>
                <w14:ligatures w14:val="none"/>
              </w:rPr>
            </w:pPr>
            <w:r>
              <w:rPr>
                <w:rFonts w:ascii="Calibri" w:hAnsi="Calibri" w:eastAsia="Times New Roman" w:cs="Calibri"/>
                <w:b/>
                <w:bCs/>
                <w:color w:val="1D1D1B"/>
                <w:kern w:val="0"/>
                <w:sz w:val="16"/>
                <w:szCs w:val="16"/>
                <w:lang w:eastAsia="en-GB"/>
                <w14:ligatures w14:val="none"/>
              </w:rPr>
              <w:t>Indicator</w:t>
            </w:r>
          </w:p>
        </w:tc>
        <w:tc>
          <w:tcPr>
            <w:tcW w:w="709" w:type="dxa"/>
            <w:tcBorders>
              <w:top w:val="nil"/>
              <w:left w:val="nil"/>
              <w:bottom w:val="single" w:color="auto" w:sz="4" w:space="0"/>
              <w:right w:val="single" w:color="auto" w:sz="4" w:space="0"/>
            </w:tcBorders>
            <w:vAlign w:val="center"/>
            <w:hideMark/>
          </w:tcPr>
          <w:p w:rsidRPr="000A099C" w:rsidR="000A099C" w:rsidP="000A099C" w:rsidRDefault="000A099C" w14:paraId="4742B4DC" w14:textId="77777777">
            <w:pPr>
              <w:spacing w:after="0" w:line="240" w:lineRule="auto"/>
              <w:jc w:val="center"/>
              <w:rPr>
                <w:rFonts w:ascii="Calibri" w:hAnsi="Calibri" w:eastAsia="Times New Roman" w:cs="Calibri"/>
                <w:b/>
                <w:bCs/>
                <w:color w:val="1D1D1B"/>
                <w:kern w:val="0"/>
                <w:sz w:val="16"/>
                <w:szCs w:val="16"/>
                <w:lang w:eastAsia="en-GB"/>
                <w14:ligatures w14:val="none"/>
              </w:rPr>
            </w:pPr>
            <w:r>
              <w:rPr>
                <w:rFonts w:ascii="Calibri" w:hAnsi="Calibri" w:eastAsia="Times New Roman" w:cs="Calibri"/>
                <w:b/>
                <w:bCs/>
                <w:color w:val="1D1D1B"/>
                <w:kern w:val="0"/>
                <w:sz w:val="16"/>
                <w:szCs w:val="16"/>
                <w:lang w:eastAsia="en-GB"/>
                <w14:ligatures w14:val="none"/>
              </w:rPr>
              <w:t>Weight</w:t>
            </w:r>
          </w:p>
        </w:tc>
        <w:tc>
          <w:tcPr>
            <w:tcW w:w="3686" w:type="dxa"/>
            <w:tcBorders>
              <w:top w:val="nil"/>
              <w:left w:val="nil"/>
              <w:bottom w:val="single" w:color="auto" w:sz="4" w:space="0"/>
              <w:right w:val="single" w:color="auto" w:sz="4" w:space="0"/>
            </w:tcBorders>
            <w:vAlign w:val="center"/>
            <w:hideMark/>
          </w:tcPr>
          <w:p w:rsidRPr="000A099C" w:rsidR="000A099C" w:rsidP="000A099C" w:rsidRDefault="000A099C" w14:paraId="65212E7E" w14:textId="77777777">
            <w:pPr>
              <w:spacing w:after="0" w:line="240" w:lineRule="auto"/>
              <w:rPr>
                <w:rFonts w:ascii="Calibri" w:hAnsi="Calibri" w:eastAsia="Times New Roman" w:cs="Calibri"/>
                <w:b/>
                <w:bCs/>
                <w:color w:val="1D1D1B"/>
                <w:kern w:val="0"/>
                <w:sz w:val="16"/>
                <w:szCs w:val="16"/>
                <w:lang w:eastAsia="en-GB"/>
                <w14:ligatures w14:val="none"/>
              </w:rPr>
            </w:pPr>
            <w:r>
              <w:rPr>
                <w:rFonts w:ascii="Calibri" w:hAnsi="Calibri" w:eastAsia="Times New Roman" w:cs="Calibri"/>
                <w:b/>
                <w:bCs/>
                <w:color w:val="1D1D1B"/>
                <w:kern w:val="0"/>
                <w:sz w:val="16"/>
                <w:szCs w:val="16"/>
                <w:lang w:eastAsia="en-GB"/>
                <w14:ligatures w14:val="none"/>
              </w:rPr>
              <w:t>Regional Leader</w:t>
            </w:r>
          </w:p>
        </w:tc>
        <w:tc>
          <w:tcPr>
            <w:tcW w:w="1701" w:type="dxa"/>
            <w:tcBorders>
              <w:top w:val="nil"/>
              <w:left w:val="nil"/>
              <w:bottom w:val="single" w:color="auto" w:sz="4" w:space="0"/>
              <w:right w:val="single" w:color="auto" w:sz="4" w:space="0"/>
            </w:tcBorders>
            <w:vAlign w:val="center"/>
            <w:hideMark/>
          </w:tcPr>
          <w:p w:rsidRPr="000A099C" w:rsidR="000A099C" w:rsidP="000A099C" w:rsidRDefault="000A099C" w14:paraId="4501780E" w14:textId="77777777">
            <w:pPr>
              <w:spacing w:after="0" w:line="240" w:lineRule="auto"/>
              <w:rPr>
                <w:rFonts w:ascii="Calibri" w:hAnsi="Calibri" w:eastAsia="Times New Roman" w:cs="Calibri"/>
                <w:b/>
                <w:bCs/>
                <w:color w:val="1D1D1B"/>
                <w:kern w:val="0"/>
                <w:sz w:val="16"/>
                <w:szCs w:val="16"/>
                <w:lang w:eastAsia="en-GB"/>
                <w14:ligatures w14:val="none"/>
              </w:rPr>
            </w:pPr>
            <w:r>
              <w:rPr>
                <w:rFonts w:ascii="Calibri" w:hAnsi="Calibri" w:eastAsia="Times New Roman" w:cs="Calibri"/>
                <w:b/>
                <w:bCs/>
                <w:color w:val="1D1D1B"/>
                <w:kern w:val="0"/>
                <w:sz w:val="16"/>
                <w:szCs w:val="16"/>
                <w:lang w:eastAsia="en-GB"/>
                <w14:ligatures w14:val="none"/>
              </w:rPr>
              <w:t>HE System</w:t>
            </w:r>
          </w:p>
        </w:tc>
        <w:tc>
          <w:tcPr>
            <w:tcW w:w="1417" w:type="dxa"/>
            <w:tcBorders>
              <w:top w:val="nil"/>
              <w:left w:val="nil"/>
              <w:bottom w:val="single" w:color="auto" w:sz="4" w:space="0"/>
              <w:right w:val="single" w:color="auto" w:sz="4" w:space="0"/>
            </w:tcBorders>
            <w:vAlign w:val="center"/>
            <w:hideMark/>
          </w:tcPr>
          <w:p w:rsidRPr="000A099C" w:rsidR="000A099C" w:rsidP="000A099C" w:rsidRDefault="000A099C" w14:paraId="64679A95" w14:textId="77777777">
            <w:pPr>
              <w:spacing w:after="0" w:line="240" w:lineRule="auto"/>
              <w:jc w:val="center"/>
              <w:rPr>
                <w:rFonts w:ascii="Calibri" w:hAnsi="Calibri" w:eastAsia="Times New Roman" w:cs="Calibri"/>
                <w:b/>
                <w:bCs/>
                <w:color w:val="1D1D1B"/>
                <w:kern w:val="0"/>
                <w:sz w:val="16"/>
                <w:szCs w:val="16"/>
                <w:lang w:eastAsia="en-GB"/>
                <w14:ligatures w14:val="none"/>
              </w:rPr>
            </w:pPr>
            <w:r>
              <w:rPr>
                <w:rFonts w:ascii="Calibri" w:hAnsi="Calibri" w:eastAsia="Times New Roman" w:cs="Calibri"/>
                <w:b/>
                <w:bCs/>
                <w:color w:val="1D1D1B"/>
                <w:kern w:val="0"/>
                <w:sz w:val="16"/>
                <w:szCs w:val="16"/>
                <w:lang w:eastAsia="en-GB"/>
                <w14:ligatures w14:val="none"/>
              </w:rPr>
              <w:t>Overall Rank</w:t>
            </w:r>
          </w:p>
        </w:tc>
      </w:tr>
      <w:tr w:rsidRPr="000A099C" w:rsidR="000A099C" w:rsidTr="197B92FD" w14:paraId="3C6E4BC2" w14:textId="77777777">
        <w:trPr>
          <w:trHeight w:val="239"/>
        </w:trPr>
        <w:tc>
          <w:tcPr>
            <w:tcW w:w="1696" w:type="dxa"/>
            <w:tcBorders>
              <w:top w:val="nil"/>
              <w:left w:val="single" w:color="auto" w:sz="4" w:space="0"/>
              <w:bottom w:val="single" w:color="auto" w:sz="4" w:space="0"/>
              <w:right w:val="single" w:color="auto" w:sz="4" w:space="0"/>
            </w:tcBorders>
            <w:vAlign w:val="center"/>
            <w:hideMark/>
          </w:tcPr>
          <w:p w:rsidRPr="000A099C" w:rsidR="000A099C" w:rsidP="000A099C" w:rsidRDefault="000A099C" w14:paraId="6C010D1A"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Academic Reputation</w:t>
            </w:r>
          </w:p>
        </w:tc>
        <w:tc>
          <w:tcPr>
            <w:tcW w:w="709" w:type="dxa"/>
            <w:tcBorders>
              <w:top w:val="nil"/>
              <w:left w:val="nil"/>
              <w:bottom w:val="single" w:color="auto" w:sz="4" w:space="0"/>
              <w:right w:val="single" w:color="auto" w:sz="4" w:space="0"/>
            </w:tcBorders>
            <w:vAlign w:val="center"/>
            <w:hideMark/>
          </w:tcPr>
          <w:p w:rsidRPr="000A099C" w:rsidR="000A099C" w:rsidP="000A099C" w:rsidRDefault="000A099C" w14:paraId="7F6094C1"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30%</w:t>
            </w:r>
          </w:p>
        </w:tc>
        <w:tc>
          <w:tcPr>
            <w:tcW w:w="3686" w:type="dxa"/>
            <w:tcBorders>
              <w:top w:val="nil"/>
              <w:left w:val="nil"/>
              <w:bottom w:val="single" w:color="auto" w:sz="4" w:space="0"/>
              <w:right w:val="single" w:color="auto" w:sz="4" w:space="0"/>
            </w:tcBorders>
            <w:vAlign w:val="center"/>
            <w:hideMark/>
          </w:tcPr>
          <w:p w:rsidRPr="000A099C" w:rsidR="000A099C" w:rsidP="000A099C" w:rsidRDefault="000A099C" w14:paraId="3737A920"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The University of Tokyo</w:t>
            </w:r>
          </w:p>
        </w:tc>
        <w:tc>
          <w:tcPr>
            <w:tcW w:w="1701" w:type="dxa"/>
            <w:tcBorders>
              <w:top w:val="nil"/>
              <w:left w:val="nil"/>
              <w:bottom w:val="single" w:color="auto" w:sz="4" w:space="0"/>
              <w:right w:val="single" w:color="auto" w:sz="4" w:space="0"/>
            </w:tcBorders>
            <w:vAlign w:val="center"/>
            <w:hideMark/>
          </w:tcPr>
          <w:p w:rsidRPr="000A099C" w:rsidR="000A099C" w:rsidP="000A099C" w:rsidRDefault="000A099C" w14:paraId="6D5FF196"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Japan</w:t>
            </w:r>
          </w:p>
        </w:tc>
        <w:tc>
          <w:tcPr>
            <w:tcW w:w="1417" w:type="dxa"/>
            <w:tcBorders>
              <w:top w:val="nil"/>
              <w:left w:val="nil"/>
              <w:bottom w:val="single" w:color="auto" w:sz="4" w:space="0"/>
              <w:right w:val="single" w:color="auto" w:sz="4" w:space="0"/>
            </w:tcBorders>
            <w:vAlign w:val="center"/>
            <w:hideMark/>
          </w:tcPr>
          <w:p w:rsidRPr="000A099C" w:rsidR="000A099C" w:rsidP="000A099C" w:rsidRDefault="000A099C" w14:paraId="14C3F3D7"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27</w:t>
            </w:r>
          </w:p>
        </w:tc>
      </w:tr>
      <w:tr w:rsidRPr="000A099C" w:rsidR="000A099C" w:rsidTr="197B92FD" w14:paraId="2DA08CE6" w14:textId="77777777">
        <w:trPr>
          <w:trHeight w:val="271"/>
        </w:trPr>
        <w:tc>
          <w:tcPr>
            <w:tcW w:w="1696" w:type="dxa"/>
            <w:tcBorders>
              <w:top w:val="nil"/>
              <w:left w:val="single" w:color="auto" w:sz="4" w:space="0"/>
              <w:bottom w:val="single" w:color="auto" w:sz="4" w:space="0"/>
              <w:right w:val="single" w:color="auto" w:sz="4" w:space="0"/>
            </w:tcBorders>
            <w:vAlign w:val="center"/>
            <w:hideMark/>
          </w:tcPr>
          <w:p w:rsidRPr="000A099C" w:rsidR="000A099C" w:rsidP="000A099C" w:rsidRDefault="000A099C" w14:paraId="6E5D2458"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Employer Reputation</w:t>
            </w:r>
          </w:p>
        </w:tc>
        <w:tc>
          <w:tcPr>
            <w:tcW w:w="709" w:type="dxa"/>
            <w:tcBorders>
              <w:top w:val="nil"/>
              <w:left w:val="nil"/>
              <w:bottom w:val="single" w:color="auto" w:sz="4" w:space="0"/>
              <w:right w:val="single" w:color="auto" w:sz="4" w:space="0"/>
            </w:tcBorders>
            <w:vAlign w:val="center"/>
            <w:hideMark/>
          </w:tcPr>
          <w:p w:rsidRPr="000A099C" w:rsidR="000A099C" w:rsidP="000A099C" w:rsidRDefault="000A099C" w14:paraId="06484021"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20%</w:t>
            </w:r>
          </w:p>
        </w:tc>
        <w:tc>
          <w:tcPr>
            <w:tcW w:w="3686" w:type="dxa"/>
            <w:tcBorders>
              <w:top w:val="nil"/>
              <w:left w:val="nil"/>
              <w:bottom w:val="single" w:color="auto" w:sz="4" w:space="0"/>
              <w:right w:val="single" w:color="auto" w:sz="4" w:space="0"/>
            </w:tcBorders>
            <w:vAlign w:val="center"/>
            <w:hideMark/>
          </w:tcPr>
          <w:p w:rsidRPr="000A099C" w:rsidR="000A099C" w:rsidP="000A099C" w:rsidRDefault="000A099C" w14:paraId="1CD0E4B8"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The University of Tokyo</w:t>
            </w:r>
          </w:p>
        </w:tc>
        <w:tc>
          <w:tcPr>
            <w:tcW w:w="1701" w:type="dxa"/>
            <w:tcBorders>
              <w:top w:val="nil"/>
              <w:left w:val="nil"/>
              <w:bottom w:val="single" w:color="auto" w:sz="4" w:space="0"/>
              <w:right w:val="single" w:color="auto" w:sz="4" w:space="0"/>
            </w:tcBorders>
            <w:vAlign w:val="center"/>
            <w:hideMark/>
          </w:tcPr>
          <w:p w:rsidRPr="000A099C" w:rsidR="000A099C" w:rsidP="000A099C" w:rsidRDefault="000A099C" w14:paraId="14E31933"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Japan</w:t>
            </w:r>
          </w:p>
        </w:tc>
        <w:tc>
          <w:tcPr>
            <w:tcW w:w="1417" w:type="dxa"/>
            <w:tcBorders>
              <w:top w:val="nil"/>
              <w:left w:val="nil"/>
              <w:bottom w:val="single" w:color="auto" w:sz="4" w:space="0"/>
              <w:right w:val="single" w:color="auto" w:sz="4" w:space="0"/>
            </w:tcBorders>
            <w:vAlign w:val="center"/>
            <w:hideMark/>
          </w:tcPr>
          <w:p w:rsidRPr="000A099C" w:rsidR="000A099C" w:rsidP="000A099C" w:rsidRDefault="000A099C" w14:paraId="674A6F66"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27</w:t>
            </w:r>
          </w:p>
        </w:tc>
      </w:tr>
      <w:tr w:rsidRPr="000A099C" w:rsidR="000A099C" w:rsidTr="197B92FD" w14:paraId="1497E756" w14:textId="77777777">
        <w:trPr>
          <w:trHeight w:val="417"/>
        </w:trPr>
        <w:tc>
          <w:tcPr>
            <w:tcW w:w="1696" w:type="dxa"/>
            <w:tcBorders>
              <w:top w:val="nil"/>
              <w:left w:val="single" w:color="auto" w:sz="4" w:space="0"/>
              <w:bottom w:val="single" w:color="auto" w:sz="4" w:space="0"/>
              <w:right w:val="single" w:color="auto" w:sz="4" w:space="0"/>
            </w:tcBorders>
            <w:vAlign w:val="center"/>
            <w:hideMark/>
          </w:tcPr>
          <w:p w:rsidRPr="000A099C" w:rsidR="000A099C" w:rsidP="000A099C" w:rsidRDefault="000A099C" w14:paraId="034A1C2A"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Faculty Student Ratio</w:t>
            </w:r>
          </w:p>
        </w:tc>
        <w:tc>
          <w:tcPr>
            <w:tcW w:w="709" w:type="dxa"/>
            <w:tcBorders>
              <w:top w:val="nil"/>
              <w:left w:val="nil"/>
              <w:bottom w:val="single" w:color="auto" w:sz="4" w:space="0"/>
              <w:right w:val="single" w:color="auto" w:sz="4" w:space="0"/>
            </w:tcBorders>
            <w:vAlign w:val="center"/>
            <w:hideMark/>
          </w:tcPr>
          <w:p w:rsidRPr="000A099C" w:rsidR="000A099C" w:rsidP="000A099C" w:rsidRDefault="000A099C" w14:paraId="4D272B1C"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10%</w:t>
            </w:r>
          </w:p>
        </w:tc>
        <w:tc>
          <w:tcPr>
            <w:tcW w:w="3686" w:type="dxa"/>
            <w:tcBorders>
              <w:top w:val="nil"/>
              <w:left w:val="nil"/>
              <w:bottom w:val="single" w:color="auto" w:sz="4" w:space="0"/>
              <w:right w:val="single" w:color="auto" w:sz="4" w:space="0"/>
            </w:tcBorders>
            <w:vAlign w:val="center"/>
            <w:hideMark/>
          </w:tcPr>
          <w:p w:rsidRPr="000A099C" w:rsidR="000A099C" w:rsidP="000A099C" w:rsidRDefault="000A099C" w14:paraId="72AD9F52" w14:textId="6C25D2EF">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Shanghai University of Traditional Chinese Medicine; Shahed University (</w:t>
            </w:r>
            <w:r>
              <w:rPr>
                <w:rFonts w:ascii="Calibri" w:hAnsi="Calibri" w:eastAsia="Times New Roman" w:cs="Calibri"/>
                <w:i/>
                <w:iCs/>
                <w:color w:val="1D1D1B"/>
                <w:kern w:val="0"/>
                <w:sz w:val="16"/>
                <w:szCs w:val="16"/>
                <w:lang w:eastAsia="en-GB"/>
                <w14:ligatures w14:val="none"/>
              </w:rPr>
              <w:t>tied</w:t>
            </w:r>
            <w:r>
              <w:rPr>
                <w:rFonts w:ascii="Calibri" w:hAnsi="Calibri" w:eastAsia="Times New Roman" w:cs="Calibri"/>
                <w:color w:val="1D1D1B"/>
                <w:kern w:val="0"/>
                <w:sz w:val="16"/>
                <w:szCs w:val="16"/>
                <w:lang w:eastAsia="en-GB"/>
                <w14:ligatures w14:val="none"/>
              </w:rPr>
              <w:t>)</w:t>
            </w:r>
          </w:p>
        </w:tc>
        <w:tc>
          <w:tcPr>
            <w:tcW w:w="1701" w:type="dxa"/>
            <w:tcBorders>
              <w:top w:val="nil"/>
              <w:left w:val="nil"/>
              <w:bottom w:val="single" w:color="auto" w:sz="4" w:space="0"/>
              <w:right w:val="single" w:color="auto" w:sz="4" w:space="0"/>
            </w:tcBorders>
            <w:vAlign w:val="center"/>
            <w:hideMark/>
          </w:tcPr>
          <w:p w:rsidRPr="000A099C" w:rsidR="000A099C" w:rsidP="000A099C" w:rsidRDefault="000A099C" w14:paraId="09C60EF1"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Mainland China; Iran</w:t>
            </w:r>
          </w:p>
        </w:tc>
        <w:tc>
          <w:tcPr>
            <w:tcW w:w="1417" w:type="dxa"/>
            <w:tcBorders>
              <w:top w:val="nil"/>
              <w:left w:val="nil"/>
              <w:bottom w:val="single" w:color="auto" w:sz="4" w:space="0"/>
              <w:right w:val="single" w:color="auto" w:sz="4" w:space="0"/>
            </w:tcBorders>
            <w:vAlign w:val="center"/>
            <w:hideMark/>
          </w:tcPr>
          <w:p w:rsidRPr="000A099C" w:rsidR="000A099C" w:rsidP="000A099C" w:rsidRDefault="000A099C" w14:paraId="0E37FAA9"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561; 1101-1200</w:t>
            </w:r>
          </w:p>
        </w:tc>
      </w:tr>
      <w:tr w:rsidRPr="000A099C" w:rsidR="000A099C" w:rsidTr="197B92FD" w14:paraId="395C43E9" w14:textId="77777777">
        <w:trPr>
          <w:trHeight w:val="281"/>
        </w:trPr>
        <w:tc>
          <w:tcPr>
            <w:tcW w:w="1696" w:type="dxa"/>
            <w:tcBorders>
              <w:top w:val="nil"/>
              <w:left w:val="single" w:color="auto" w:sz="4" w:space="0"/>
              <w:bottom w:val="single" w:color="auto" w:sz="4" w:space="0"/>
              <w:right w:val="single" w:color="auto" w:sz="4" w:space="0"/>
            </w:tcBorders>
            <w:vAlign w:val="center"/>
            <w:hideMark/>
          </w:tcPr>
          <w:p w:rsidRPr="000A099C" w:rsidR="000A099C" w:rsidP="000A099C" w:rsidRDefault="000A099C" w14:paraId="22927BBA"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Citations per Paper</w:t>
            </w:r>
          </w:p>
        </w:tc>
        <w:tc>
          <w:tcPr>
            <w:tcW w:w="709" w:type="dxa"/>
            <w:tcBorders>
              <w:top w:val="nil"/>
              <w:left w:val="nil"/>
              <w:bottom w:val="single" w:color="auto" w:sz="4" w:space="0"/>
              <w:right w:val="single" w:color="auto" w:sz="4" w:space="0"/>
            </w:tcBorders>
            <w:vAlign w:val="center"/>
            <w:hideMark/>
          </w:tcPr>
          <w:p w:rsidRPr="000A099C" w:rsidR="000A099C" w:rsidP="000A099C" w:rsidRDefault="000A099C" w14:paraId="68A14BDC"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10%</w:t>
            </w:r>
          </w:p>
        </w:tc>
        <w:tc>
          <w:tcPr>
            <w:tcW w:w="3686" w:type="dxa"/>
            <w:tcBorders>
              <w:top w:val="nil"/>
              <w:left w:val="nil"/>
              <w:bottom w:val="single" w:color="auto" w:sz="4" w:space="0"/>
              <w:right w:val="single" w:color="auto" w:sz="4" w:space="0"/>
            </w:tcBorders>
            <w:vAlign w:val="center"/>
            <w:hideMark/>
          </w:tcPr>
          <w:p w:rsidRPr="000A099C" w:rsidR="000A099C" w:rsidP="000A099C" w:rsidRDefault="000A099C" w14:paraId="0EE82718"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Asian University for Women</w:t>
            </w:r>
          </w:p>
        </w:tc>
        <w:tc>
          <w:tcPr>
            <w:tcW w:w="1701" w:type="dxa"/>
            <w:tcBorders>
              <w:top w:val="nil"/>
              <w:left w:val="nil"/>
              <w:bottom w:val="single" w:color="auto" w:sz="4" w:space="0"/>
              <w:right w:val="single" w:color="auto" w:sz="4" w:space="0"/>
            </w:tcBorders>
            <w:vAlign w:val="center"/>
            <w:hideMark/>
          </w:tcPr>
          <w:p w:rsidRPr="000A099C" w:rsidR="000A099C" w:rsidP="000A099C" w:rsidRDefault="000A099C" w14:paraId="7B3073F8"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Bangladesh</w:t>
            </w:r>
          </w:p>
        </w:tc>
        <w:tc>
          <w:tcPr>
            <w:tcW w:w="1417" w:type="dxa"/>
            <w:tcBorders>
              <w:top w:val="nil"/>
              <w:left w:val="nil"/>
              <w:bottom w:val="single" w:color="auto" w:sz="4" w:space="0"/>
              <w:right w:val="single" w:color="auto" w:sz="4" w:space="0"/>
            </w:tcBorders>
            <w:vAlign w:val="center"/>
            <w:hideMark/>
          </w:tcPr>
          <w:p w:rsidRPr="000A099C" w:rsidR="000A099C" w:rsidP="000A099C" w:rsidRDefault="000A099C" w14:paraId="0CDDF066"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851-900</w:t>
            </w:r>
          </w:p>
        </w:tc>
      </w:tr>
      <w:tr w:rsidRPr="000A099C" w:rsidR="000A099C" w:rsidTr="197B92FD" w14:paraId="2DF411B8" w14:textId="77777777">
        <w:trPr>
          <w:trHeight w:val="271"/>
        </w:trPr>
        <w:tc>
          <w:tcPr>
            <w:tcW w:w="1696" w:type="dxa"/>
            <w:tcBorders>
              <w:top w:val="nil"/>
              <w:left w:val="single" w:color="auto" w:sz="4" w:space="0"/>
              <w:bottom w:val="single" w:color="auto" w:sz="4" w:space="0"/>
              <w:right w:val="single" w:color="auto" w:sz="4" w:space="0"/>
            </w:tcBorders>
            <w:vAlign w:val="center"/>
            <w:hideMark/>
          </w:tcPr>
          <w:p w:rsidRPr="000A099C" w:rsidR="000A099C" w:rsidP="000A099C" w:rsidRDefault="000A099C" w14:paraId="23A606BB"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Papers per Faculty</w:t>
            </w:r>
          </w:p>
        </w:tc>
        <w:tc>
          <w:tcPr>
            <w:tcW w:w="709" w:type="dxa"/>
            <w:tcBorders>
              <w:top w:val="nil"/>
              <w:left w:val="nil"/>
              <w:bottom w:val="single" w:color="auto" w:sz="4" w:space="0"/>
              <w:right w:val="single" w:color="auto" w:sz="4" w:space="0"/>
            </w:tcBorders>
            <w:vAlign w:val="center"/>
            <w:hideMark/>
          </w:tcPr>
          <w:p w:rsidRPr="000A099C" w:rsidR="000A099C" w:rsidP="000A099C" w:rsidRDefault="000A099C" w14:paraId="335CF98B"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5%</w:t>
            </w:r>
          </w:p>
        </w:tc>
        <w:tc>
          <w:tcPr>
            <w:tcW w:w="3686" w:type="dxa"/>
            <w:tcBorders>
              <w:top w:val="nil"/>
              <w:left w:val="nil"/>
              <w:bottom w:val="single" w:color="auto" w:sz="4" w:space="0"/>
              <w:right w:val="single" w:color="auto" w:sz="4" w:space="0"/>
            </w:tcBorders>
            <w:vAlign w:val="center"/>
            <w:hideMark/>
          </w:tcPr>
          <w:p w:rsidRPr="000A099C" w:rsidR="000A099C" w:rsidP="000A099C" w:rsidRDefault="000A099C" w14:paraId="10DE1986"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Indian Institute of Science (IISc) Bangalore</w:t>
            </w:r>
          </w:p>
        </w:tc>
        <w:tc>
          <w:tcPr>
            <w:tcW w:w="1701" w:type="dxa"/>
            <w:tcBorders>
              <w:top w:val="nil"/>
              <w:left w:val="nil"/>
              <w:bottom w:val="single" w:color="auto" w:sz="4" w:space="0"/>
              <w:right w:val="single" w:color="auto" w:sz="4" w:space="0"/>
            </w:tcBorders>
            <w:vAlign w:val="center"/>
            <w:hideMark/>
          </w:tcPr>
          <w:p w:rsidRPr="000A099C" w:rsidR="000A099C" w:rsidP="000A099C" w:rsidRDefault="000A099C" w14:paraId="3385DCDB"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India</w:t>
            </w:r>
          </w:p>
        </w:tc>
        <w:tc>
          <w:tcPr>
            <w:tcW w:w="1417" w:type="dxa"/>
            <w:tcBorders>
              <w:top w:val="nil"/>
              <w:left w:val="nil"/>
              <w:bottom w:val="single" w:color="auto" w:sz="4" w:space="0"/>
              <w:right w:val="single" w:color="auto" w:sz="4" w:space="0"/>
            </w:tcBorders>
            <w:vAlign w:val="center"/>
            <w:hideMark/>
          </w:tcPr>
          <w:p w:rsidRPr="000A099C" w:rsidR="000A099C" w:rsidP="000A099C" w:rsidRDefault="000A099C" w14:paraId="317699B9"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79</w:t>
            </w:r>
          </w:p>
        </w:tc>
      </w:tr>
      <w:tr w:rsidRPr="000A099C" w:rsidR="000A099C" w:rsidTr="197B92FD" w14:paraId="7DD5D72B" w14:textId="77777777">
        <w:trPr>
          <w:trHeight w:val="275"/>
        </w:trPr>
        <w:tc>
          <w:tcPr>
            <w:tcW w:w="1696" w:type="dxa"/>
            <w:tcBorders>
              <w:top w:val="nil"/>
              <w:left w:val="single" w:color="auto" w:sz="4" w:space="0"/>
              <w:bottom w:val="single" w:color="auto" w:sz="4" w:space="0"/>
              <w:right w:val="single" w:color="auto" w:sz="4" w:space="0"/>
            </w:tcBorders>
            <w:vAlign w:val="center"/>
            <w:hideMark/>
          </w:tcPr>
          <w:p w:rsidRPr="000A099C" w:rsidR="000A099C" w:rsidP="000A099C" w:rsidRDefault="000A099C" w14:paraId="07588C93"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Staff with PhD</w:t>
            </w:r>
          </w:p>
        </w:tc>
        <w:tc>
          <w:tcPr>
            <w:tcW w:w="709" w:type="dxa"/>
            <w:tcBorders>
              <w:top w:val="nil"/>
              <w:left w:val="nil"/>
              <w:bottom w:val="single" w:color="auto" w:sz="4" w:space="0"/>
              <w:right w:val="single" w:color="auto" w:sz="4" w:space="0"/>
            </w:tcBorders>
            <w:vAlign w:val="center"/>
            <w:hideMark/>
          </w:tcPr>
          <w:p w:rsidRPr="000A099C" w:rsidR="000A099C" w:rsidP="000A099C" w:rsidRDefault="000A099C" w14:paraId="6B1596E0"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5%</w:t>
            </w:r>
          </w:p>
        </w:tc>
        <w:tc>
          <w:tcPr>
            <w:tcW w:w="3686" w:type="dxa"/>
            <w:tcBorders>
              <w:top w:val="nil"/>
              <w:left w:val="nil"/>
              <w:bottom w:val="single" w:color="auto" w:sz="4" w:space="0"/>
              <w:right w:val="single" w:color="auto" w:sz="4" w:space="0"/>
            </w:tcBorders>
            <w:vAlign w:val="center"/>
            <w:hideMark/>
          </w:tcPr>
          <w:p w:rsidRPr="00F855A6" w:rsidR="000A099C" w:rsidP="000A099C" w:rsidRDefault="00F855A6" w14:paraId="364A0769" w14:textId="1BFD94F3">
            <w:pPr>
              <w:spacing w:after="0" w:line="240" w:lineRule="auto"/>
            </w:pPr>
            <w:r>
              <w:rPr>
                <w:rFonts w:ascii="Calibri" w:hAnsi="Calibri" w:eastAsia="Times New Roman" w:cs="Calibri"/>
                <w:i/>
                <w:iCs/>
                <w:color w:val="1D1D1B"/>
                <w:sz w:val="16"/>
                <w:szCs w:val="16"/>
                <w:lang w:eastAsia="en-GB"/>
              </w:rPr>
              <w:t>29 universities tied in first place</w:t>
            </w:r>
          </w:p>
        </w:tc>
        <w:tc>
          <w:tcPr>
            <w:tcW w:w="1701" w:type="dxa"/>
            <w:tcBorders>
              <w:top w:val="nil"/>
              <w:left w:val="nil"/>
              <w:bottom w:val="single" w:color="auto" w:sz="4" w:space="0"/>
              <w:right w:val="single" w:color="auto" w:sz="4" w:space="0"/>
            </w:tcBorders>
            <w:vAlign w:val="center"/>
            <w:hideMark/>
          </w:tcPr>
          <w:p w:rsidRPr="000A099C" w:rsidR="000A099C" w:rsidP="000A099C" w:rsidRDefault="00F855A6" w14:paraId="510B20AF" w14:textId="2816085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w:t>
            </w:r>
          </w:p>
        </w:tc>
        <w:tc>
          <w:tcPr>
            <w:tcW w:w="1417" w:type="dxa"/>
            <w:tcBorders>
              <w:top w:val="nil"/>
              <w:left w:val="nil"/>
              <w:bottom w:val="single" w:color="auto" w:sz="4" w:space="0"/>
              <w:right w:val="single" w:color="auto" w:sz="4" w:space="0"/>
            </w:tcBorders>
            <w:vAlign w:val="center"/>
            <w:hideMark/>
          </w:tcPr>
          <w:p w:rsidRPr="000A099C" w:rsidR="000A099C" w:rsidP="000A099C" w:rsidRDefault="00F855A6" w14:paraId="32F1B5BD" w14:textId="0C4D1026">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w:t>
            </w:r>
          </w:p>
        </w:tc>
      </w:tr>
      <w:tr w:rsidRPr="000A099C" w:rsidR="000A099C" w:rsidTr="197B92FD" w14:paraId="64078BB7" w14:textId="77777777">
        <w:trPr>
          <w:trHeight w:val="420"/>
        </w:trPr>
        <w:tc>
          <w:tcPr>
            <w:tcW w:w="1696" w:type="dxa"/>
            <w:tcBorders>
              <w:top w:val="nil"/>
              <w:left w:val="single" w:color="auto" w:sz="4" w:space="0"/>
              <w:bottom w:val="single" w:color="auto" w:sz="4" w:space="0"/>
              <w:right w:val="single" w:color="auto" w:sz="4" w:space="0"/>
            </w:tcBorders>
            <w:vAlign w:val="center"/>
            <w:hideMark/>
          </w:tcPr>
          <w:p w:rsidRPr="000A099C" w:rsidR="000A099C" w:rsidP="000A099C" w:rsidRDefault="000A099C" w14:paraId="0FAC7FB7"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International Research Network</w:t>
            </w:r>
          </w:p>
        </w:tc>
        <w:tc>
          <w:tcPr>
            <w:tcW w:w="709" w:type="dxa"/>
            <w:tcBorders>
              <w:top w:val="nil"/>
              <w:left w:val="nil"/>
              <w:bottom w:val="single" w:color="auto" w:sz="4" w:space="0"/>
              <w:right w:val="single" w:color="auto" w:sz="4" w:space="0"/>
            </w:tcBorders>
            <w:vAlign w:val="center"/>
            <w:hideMark/>
          </w:tcPr>
          <w:p w:rsidRPr="000A099C" w:rsidR="000A099C" w:rsidP="000A099C" w:rsidRDefault="000A099C" w14:paraId="67AC42F4"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10%</w:t>
            </w:r>
          </w:p>
        </w:tc>
        <w:tc>
          <w:tcPr>
            <w:tcW w:w="3686" w:type="dxa"/>
            <w:tcBorders>
              <w:top w:val="nil"/>
              <w:left w:val="nil"/>
              <w:bottom w:val="single" w:color="auto" w:sz="4" w:space="0"/>
              <w:right w:val="single" w:color="auto" w:sz="4" w:space="0"/>
            </w:tcBorders>
            <w:vAlign w:val="center"/>
            <w:hideMark/>
          </w:tcPr>
          <w:p w:rsidRPr="000A099C" w:rsidR="000A099C" w:rsidP="000A099C" w:rsidRDefault="000A099C" w14:paraId="569182AD"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Islamic Azad University</w:t>
            </w:r>
          </w:p>
        </w:tc>
        <w:tc>
          <w:tcPr>
            <w:tcW w:w="1701" w:type="dxa"/>
            <w:tcBorders>
              <w:top w:val="nil"/>
              <w:left w:val="nil"/>
              <w:bottom w:val="single" w:color="auto" w:sz="4" w:space="0"/>
              <w:right w:val="single" w:color="auto" w:sz="4" w:space="0"/>
            </w:tcBorders>
            <w:vAlign w:val="center"/>
            <w:hideMark/>
          </w:tcPr>
          <w:p w:rsidRPr="000A099C" w:rsidR="000A099C" w:rsidP="000A099C" w:rsidRDefault="000A099C" w14:paraId="274F003D"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Iran</w:t>
            </w:r>
          </w:p>
        </w:tc>
        <w:tc>
          <w:tcPr>
            <w:tcW w:w="1417" w:type="dxa"/>
            <w:tcBorders>
              <w:top w:val="nil"/>
              <w:left w:val="nil"/>
              <w:bottom w:val="single" w:color="auto" w:sz="4" w:space="0"/>
              <w:right w:val="single" w:color="auto" w:sz="4" w:space="0"/>
            </w:tcBorders>
            <w:vAlign w:val="center"/>
            <w:hideMark/>
          </w:tcPr>
          <w:p w:rsidRPr="000A099C" w:rsidR="000A099C" w:rsidP="000A099C" w:rsidRDefault="000A099C" w14:paraId="1CC8F263"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711-720</w:t>
            </w:r>
          </w:p>
        </w:tc>
      </w:tr>
      <w:tr w:rsidRPr="000A099C" w:rsidR="000A099C" w:rsidTr="197B92FD" w14:paraId="4A515079" w14:textId="77777777">
        <w:trPr>
          <w:trHeight w:val="271"/>
        </w:trPr>
        <w:tc>
          <w:tcPr>
            <w:tcW w:w="1696" w:type="dxa"/>
            <w:tcBorders>
              <w:top w:val="nil"/>
              <w:left w:val="single" w:color="auto" w:sz="4" w:space="0"/>
              <w:bottom w:val="single" w:color="auto" w:sz="4" w:space="0"/>
              <w:right w:val="single" w:color="auto" w:sz="4" w:space="0"/>
            </w:tcBorders>
            <w:vAlign w:val="center"/>
            <w:hideMark/>
          </w:tcPr>
          <w:p w:rsidRPr="000A099C" w:rsidR="000A099C" w:rsidP="000A099C" w:rsidRDefault="000A099C" w14:paraId="1087DDD3"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International Faculty</w:t>
            </w:r>
          </w:p>
        </w:tc>
        <w:tc>
          <w:tcPr>
            <w:tcW w:w="709" w:type="dxa"/>
            <w:tcBorders>
              <w:top w:val="nil"/>
              <w:left w:val="nil"/>
              <w:bottom w:val="single" w:color="auto" w:sz="4" w:space="0"/>
              <w:right w:val="single" w:color="auto" w:sz="4" w:space="0"/>
            </w:tcBorders>
            <w:vAlign w:val="center"/>
            <w:hideMark/>
          </w:tcPr>
          <w:p w:rsidRPr="000A099C" w:rsidR="000A099C" w:rsidP="000A099C" w:rsidRDefault="000A099C" w14:paraId="4755A22C"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2.50%</w:t>
            </w:r>
          </w:p>
        </w:tc>
        <w:tc>
          <w:tcPr>
            <w:tcW w:w="3686" w:type="dxa"/>
            <w:tcBorders>
              <w:top w:val="nil"/>
              <w:left w:val="nil"/>
              <w:bottom w:val="single" w:color="auto" w:sz="4" w:space="0"/>
              <w:right w:val="single" w:color="auto" w:sz="4" w:space="0"/>
            </w:tcBorders>
            <w:vAlign w:val="center"/>
            <w:hideMark/>
          </w:tcPr>
          <w:p w:rsidRPr="000A099C" w:rsidR="000A099C" w:rsidP="000A099C" w:rsidRDefault="000A099C" w14:paraId="3B3B4681"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City University of Hong Kong (CityUHK)</w:t>
            </w:r>
          </w:p>
        </w:tc>
        <w:tc>
          <w:tcPr>
            <w:tcW w:w="1701" w:type="dxa"/>
            <w:tcBorders>
              <w:top w:val="nil"/>
              <w:left w:val="nil"/>
              <w:bottom w:val="single" w:color="auto" w:sz="4" w:space="0"/>
              <w:right w:val="single" w:color="auto" w:sz="4" w:space="0"/>
            </w:tcBorders>
            <w:vAlign w:val="center"/>
            <w:hideMark/>
          </w:tcPr>
          <w:p w:rsidRPr="000A099C" w:rsidR="000A099C" w:rsidP="000A099C" w:rsidRDefault="000A099C" w14:paraId="6C0C9881"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Hong Kong SAR</w:t>
            </w:r>
          </w:p>
        </w:tc>
        <w:tc>
          <w:tcPr>
            <w:tcW w:w="1417" w:type="dxa"/>
            <w:tcBorders>
              <w:top w:val="nil"/>
              <w:left w:val="nil"/>
              <w:bottom w:val="single" w:color="auto" w:sz="4" w:space="0"/>
              <w:right w:val="single" w:color="auto" w:sz="4" w:space="0"/>
            </w:tcBorders>
            <w:vAlign w:val="center"/>
            <w:hideMark/>
          </w:tcPr>
          <w:p w:rsidRPr="000A099C" w:rsidR="000A099C" w:rsidP="000A099C" w:rsidRDefault="000A099C" w14:paraId="3A437E4E"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4</w:t>
            </w:r>
          </w:p>
        </w:tc>
      </w:tr>
      <w:tr w:rsidRPr="000A099C" w:rsidR="000A099C" w:rsidTr="197B92FD" w14:paraId="6E9C6D68" w14:textId="77777777">
        <w:trPr>
          <w:trHeight w:val="261"/>
        </w:trPr>
        <w:tc>
          <w:tcPr>
            <w:tcW w:w="1696" w:type="dxa"/>
            <w:tcBorders>
              <w:top w:val="nil"/>
              <w:left w:val="single" w:color="auto" w:sz="4" w:space="0"/>
              <w:bottom w:val="single" w:color="auto" w:sz="4" w:space="0"/>
              <w:right w:val="single" w:color="auto" w:sz="4" w:space="0"/>
            </w:tcBorders>
            <w:vAlign w:val="center"/>
            <w:hideMark/>
          </w:tcPr>
          <w:p w:rsidRPr="000A099C" w:rsidR="000A099C" w:rsidP="000A099C" w:rsidRDefault="000A099C" w14:paraId="2C891F81"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International Students</w:t>
            </w:r>
          </w:p>
        </w:tc>
        <w:tc>
          <w:tcPr>
            <w:tcW w:w="709" w:type="dxa"/>
            <w:tcBorders>
              <w:top w:val="nil"/>
              <w:left w:val="nil"/>
              <w:bottom w:val="single" w:color="auto" w:sz="4" w:space="0"/>
              <w:right w:val="single" w:color="auto" w:sz="4" w:space="0"/>
            </w:tcBorders>
            <w:vAlign w:val="center"/>
            <w:hideMark/>
          </w:tcPr>
          <w:p w:rsidRPr="000A099C" w:rsidR="000A099C" w:rsidP="000A099C" w:rsidRDefault="000A099C" w14:paraId="238A60C5"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2.50%</w:t>
            </w:r>
          </w:p>
        </w:tc>
        <w:tc>
          <w:tcPr>
            <w:tcW w:w="3686" w:type="dxa"/>
            <w:tcBorders>
              <w:top w:val="nil"/>
              <w:left w:val="nil"/>
              <w:bottom w:val="single" w:color="auto" w:sz="4" w:space="0"/>
              <w:right w:val="single" w:color="auto" w:sz="4" w:space="0"/>
            </w:tcBorders>
            <w:vAlign w:val="center"/>
            <w:hideMark/>
          </w:tcPr>
          <w:p w:rsidRPr="000A099C" w:rsidR="000A099C" w:rsidP="000A099C" w:rsidRDefault="000A099C" w14:paraId="0EAF354B"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Al-Madinah International University</w:t>
            </w:r>
          </w:p>
        </w:tc>
        <w:tc>
          <w:tcPr>
            <w:tcW w:w="1701" w:type="dxa"/>
            <w:tcBorders>
              <w:top w:val="nil"/>
              <w:left w:val="nil"/>
              <w:bottom w:val="single" w:color="auto" w:sz="4" w:space="0"/>
              <w:right w:val="single" w:color="auto" w:sz="4" w:space="0"/>
            </w:tcBorders>
            <w:vAlign w:val="center"/>
            <w:hideMark/>
          </w:tcPr>
          <w:p w:rsidRPr="000A099C" w:rsidR="000A099C" w:rsidP="000A099C" w:rsidRDefault="000A099C" w14:paraId="729C3BE9"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Malaysia</w:t>
            </w:r>
          </w:p>
        </w:tc>
        <w:tc>
          <w:tcPr>
            <w:tcW w:w="1417" w:type="dxa"/>
            <w:tcBorders>
              <w:top w:val="nil"/>
              <w:left w:val="nil"/>
              <w:bottom w:val="single" w:color="auto" w:sz="4" w:space="0"/>
              <w:right w:val="single" w:color="auto" w:sz="4" w:space="0"/>
            </w:tcBorders>
            <w:vAlign w:val="center"/>
            <w:hideMark/>
          </w:tcPr>
          <w:p w:rsidRPr="000A099C" w:rsidR="000A099C" w:rsidP="000A099C" w:rsidRDefault="000A099C" w14:paraId="6EB3464A"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851-900</w:t>
            </w:r>
          </w:p>
        </w:tc>
      </w:tr>
      <w:tr w:rsidRPr="000A099C" w:rsidR="000A099C" w:rsidTr="197B92FD" w14:paraId="7186CD4B" w14:textId="77777777">
        <w:trPr>
          <w:trHeight w:val="279"/>
        </w:trPr>
        <w:tc>
          <w:tcPr>
            <w:tcW w:w="1696" w:type="dxa"/>
            <w:tcBorders>
              <w:top w:val="nil"/>
              <w:left w:val="single" w:color="auto" w:sz="4" w:space="0"/>
              <w:bottom w:val="single" w:color="auto" w:sz="4" w:space="0"/>
              <w:right w:val="single" w:color="auto" w:sz="4" w:space="0"/>
            </w:tcBorders>
            <w:vAlign w:val="center"/>
            <w:hideMark/>
          </w:tcPr>
          <w:p w:rsidRPr="000A099C" w:rsidR="000A099C" w:rsidP="000A099C" w:rsidRDefault="000A099C" w14:paraId="021E179C"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Inbound Exchange Students</w:t>
            </w:r>
          </w:p>
        </w:tc>
        <w:tc>
          <w:tcPr>
            <w:tcW w:w="709" w:type="dxa"/>
            <w:tcBorders>
              <w:top w:val="nil"/>
              <w:left w:val="nil"/>
              <w:bottom w:val="single" w:color="auto" w:sz="4" w:space="0"/>
              <w:right w:val="single" w:color="auto" w:sz="4" w:space="0"/>
            </w:tcBorders>
            <w:vAlign w:val="center"/>
            <w:hideMark/>
          </w:tcPr>
          <w:p w:rsidRPr="000A099C" w:rsidR="000A099C" w:rsidP="000A099C" w:rsidRDefault="000A099C" w14:paraId="577C73A4"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2.50%</w:t>
            </w:r>
          </w:p>
        </w:tc>
        <w:tc>
          <w:tcPr>
            <w:tcW w:w="3686" w:type="dxa"/>
            <w:tcBorders>
              <w:top w:val="nil"/>
              <w:left w:val="nil"/>
              <w:bottom w:val="single" w:color="auto" w:sz="4" w:space="0"/>
              <w:right w:val="single" w:color="auto" w:sz="4" w:space="0"/>
            </w:tcBorders>
            <w:vAlign w:val="center"/>
            <w:hideMark/>
          </w:tcPr>
          <w:p w:rsidRPr="000A099C" w:rsidR="000A099C" w:rsidP="000A099C" w:rsidRDefault="000A099C" w14:paraId="5C6D4EB8"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MILA University</w:t>
            </w:r>
          </w:p>
        </w:tc>
        <w:tc>
          <w:tcPr>
            <w:tcW w:w="1701" w:type="dxa"/>
            <w:tcBorders>
              <w:top w:val="nil"/>
              <w:left w:val="nil"/>
              <w:bottom w:val="single" w:color="auto" w:sz="4" w:space="0"/>
              <w:right w:val="single" w:color="auto" w:sz="4" w:space="0"/>
            </w:tcBorders>
            <w:vAlign w:val="center"/>
            <w:hideMark/>
          </w:tcPr>
          <w:p w:rsidRPr="000A099C" w:rsidR="000A099C" w:rsidP="000A099C" w:rsidRDefault="000A099C" w14:paraId="6871C827"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Malaysia</w:t>
            </w:r>
          </w:p>
        </w:tc>
        <w:tc>
          <w:tcPr>
            <w:tcW w:w="1417" w:type="dxa"/>
            <w:tcBorders>
              <w:top w:val="nil"/>
              <w:left w:val="nil"/>
              <w:bottom w:val="single" w:color="auto" w:sz="4" w:space="0"/>
              <w:right w:val="single" w:color="auto" w:sz="4" w:space="0"/>
            </w:tcBorders>
            <w:vAlign w:val="center"/>
            <w:hideMark/>
          </w:tcPr>
          <w:p w:rsidRPr="000A099C" w:rsidR="000A099C" w:rsidP="000A099C" w:rsidRDefault="000A099C" w14:paraId="70185BCD"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390</w:t>
            </w:r>
          </w:p>
        </w:tc>
      </w:tr>
      <w:tr w:rsidRPr="000A099C" w:rsidR="000A099C" w:rsidTr="197B92FD" w14:paraId="039BC0E9" w14:textId="77777777">
        <w:trPr>
          <w:trHeight w:val="299"/>
        </w:trPr>
        <w:tc>
          <w:tcPr>
            <w:tcW w:w="1696" w:type="dxa"/>
            <w:tcBorders>
              <w:top w:val="nil"/>
              <w:left w:val="single" w:color="auto" w:sz="4" w:space="0"/>
              <w:bottom w:val="single" w:color="auto" w:sz="4" w:space="0"/>
              <w:right w:val="single" w:color="auto" w:sz="4" w:space="0"/>
            </w:tcBorders>
            <w:vAlign w:val="center"/>
            <w:hideMark/>
          </w:tcPr>
          <w:p w:rsidRPr="000A099C" w:rsidR="000A099C" w:rsidP="000A099C" w:rsidRDefault="000A099C" w14:paraId="5B7E9FF8"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Outbound Exchange Students</w:t>
            </w:r>
          </w:p>
        </w:tc>
        <w:tc>
          <w:tcPr>
            <w:tcW w:w="709" w:type="dxa"/>
            <w:tcBorders>
              <w:top w:val="nil"/>
              <w:left w:val="nil"/>
              <w:bottom w:val="single" w:color="auto" w:sz="4" w:space="0"/>
              <w:right w:val="single" w:color="auto" w:sz="4" w:space="0"/>
            </w:tcBorders>
            <w:vAlign w:val="center"/>
            <w:hideMark/>
          </w:tcPr>
          <w:p w:rsidRPr="000A099C" w:rsidR="000A099C" w:rsidP="000A099C" w:rsidRDefault="000A099C" w14:paraId="23CBD253"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2.50%</w:t>
            </w:r>
          </w:p>
        </w:tc>
        <w:tc>
          <w:tcPr>
            <w:tcW w:w="3686" w:type="dxa"/>
            <w:tcBorders>
              <w:top w:val="nil"/>
              <w:left w:val="nil"/>
              <w:bottom w:val="single" w:color="auto" w:sz="4" w:space="0"/>
              <w:right w:val="single" w:color="auto" w:sz="4" w:space="0"/>
            </w:tcBorders>
            <w:vAlign w:val="center"/>
            <w:hideMark/>
          </w:tcPr>
          <w:p w:rsidRPr="000A099C" w:rsidR="000A099C" w:rsidP="000A099C" w:rsidRDefault="000A099C" w14:paraId="5D507CD6"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City University of Hong Kong (CityUHK)</w:t>
            </w:r>
          </w:p>
        </w:tc>
        <w:tc>
          <w:tcPr>
            <w:tcW w:w="1701" w:type="dxa"/>
            <w:tcBorders>
              <w:top w:val="nil"/>
              <w:left w:val="nil"/>
              <w:bottom w:val="single" w:color="auto" w:sz="4" w:space="0"/>
              <w:right w:val="single" w:color="auto" w:sz="4" w:space="0"/>
            </w:tcBorders>
            <w:vAlign w:val="center"/>
            <w:hideMark/>
          </w:tcPr>
          <w:p w:rsidRPr="000A099C" w:rsidR="000A099C" w:rsidP="000A099C" w:rsidRDefault="000A099C" w14:paraId="73D210E7" w14:textId="77777777">
            <w:pPr>
              <w:spacing w:after="0" w:line="240" w:lineRule="auto"/>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Hong Kong SAR</w:t>
            </w:r>
          </w:p>
        </w:tc>
        <w:tc>
          <w:tcPr>
            <w:tcW w:w="1417" w:type="dxa"/>
            <w:tcBorders>
              <w:top w:val="nil"/>
              <w:left w:val="nil"/>
              <w:bottom w:val="single" w:color="auto" w:sz="4" w:space="0"/>
              <w:right w:val="single" w:color="auto" w:sz="4" w:space="0"/>
            </w:tcBorders>
            <w:vAlign w:val="center"/>
            <w:hideMark/>
          </w:tcPr>
          <w:p w:rsidRPr="000A099C" w:rsidR="000A099C" w:rsidP="000A099C" w:rsidRDefault="000A099C" w14:paraId="5CDF7516" w14:textId="77777777">
            <w:pPr>
              <w:spacing w:after="0" w:line="240" w:lineRule="auto"/>
              <w:jc w:val="center"/>
              <w:rPr>
                <w:rFonts w:ascii="Calibri" w:hAnsi="Calibri" w:eastAsia="Times New Roman" w:cs="Calibri"/>
                <w:color w:val="1D1D1B"/>
                <w:kern w:val="0"/>
                <w:sz w:val="16"/>
                <w:szCs w:val="16"/>
                <w:lang w:eastAsia="en-GB"/>
                <w14:ligatures w14:val="none"/>
              </w:rPr>
            </w:pPr>
            <w:r>
              <w:rPr>
                <w:rFonts w:ascii="Calibri" w:hAnsi="Calibri" w:eastAsia="Times New Roman" w:cs="Calibri"/>
                <w:color w:val="1D1D1B"/>
                <w:kern w:val="0"/>
                <w:sz w:val="16"/>
                <w:szCs w:val="16"/>
                <w:lang w:eastAsia="en-GB"/>
                <w14:ligatures w14:val="none"/>
              </w:rPr>
              <w:t>4</w:t>
            </w:r>
          </w:p>
        </w:tc>
      </w:tr>
    </w:tbl>
    <w:p w:rsidR="00DA15D6" w:rsidRDefault="00DA15D6" w14:paraId="21B9719F" w14:textId="77777777">
      <w:pPr>
        <w:rPr>
          <w:b/>
          <w:bCs/>
        </w:rPr>
      </w:pPr>
    </w:p>
    <w:p w:rsidRPr="00F0447B" w:rsidR="00F0447B" w:rsidP="00F0447B" w:rsidRDefault="000A099C" w14:paraId="0570203A" w14:textId="17197458">
      <w:pPr>
        <w:rPr>
          <w:rFonts w:ascii="Calibri" w:hAnsi="Calibri" w:cs="Calibri"/>
          <w:sz w:val="22"/>
          <w:szCs w:val="22"/>
        </w:rPr>
      </w:pPr>
      <w:r>
        <w:rPr>
          <w:rFonts w:ascii="Calibri" w:hAnsi="Calibri" w:cs="Calibri"/>
          <w:b/>
          <w:bCs/>
          <w:sz w:val="22"/>
          <w:szCs w:val="22"/>
        </w:rPr>
        <w:t>QS Senior Vice President Ben Sowter</w:t>
      </w:r>
      <w:r>
        <w:rPr>
          <w:rFonts w:ascii="Calibri" w:hAnsi="Calibri" w:cs="Calibri"/>
          <w:sz w:val="22"/>
          <w:szCs w:val="22"/>
        </w:rPr>
        <w:t xml:space="preserve"> said: “This year's rankings, spanning more than 1,700 universities across 26 higher education systems, provide an important benchmark for a region that continues to shape the future of global higher education. They show institutions combining research excellence, international engagement and academic reputation continuing to strengthen their positions, even as competition intensifies across Asia's increasingly diverse and rapidly expanding university landscape.</w:t>
      </w:r>
    </w:p>
    <w:p w:rsidRPr="00F0447B" w:rsidR="00F0447B" w:rsidP="00F0447B" w:rsidRDefault="00F0447B" w14:paraId="3990F722" w14:textId="01058DAE">
      <w:pPr>
        <w:rPr>
          <w:rFonts w:ascii="Calibri" w:hAnsi="Calibri" w:cs="Calibri"/>
          <w:sz w:val="22"/>
          <w:szCs w:val="22"/>
        </w:rPr>
      </w:pPr>
      <w:r>
        <w:rPr>
          <w:rFonts w:ascii="Calibri" w:hAnsi="Calibri" w:cs="Calibri"/>
          <w:sz w:val="22"/>
          <w:szCs w:val="22"/>
        </w:rPr>
        <w:t>“The University of Hong Kong retains the top spot for a second year, while Mainland China’s rise sees two of its universities place in the top three for the first time since 2023 and seven institutions in the top 20, more than any other system. Hong Kong SAR continues to establish itself as one of the region's pre-eminent higher education systems, placing five universities in the top 10 and recording the highest net improvement rate among systems with five or more ranked universities. Singapore's leading universities remain among Asia's elite, though both NUS and NTU Singapore slip from the top five amid heightened regional competition.”</w:t>
      </w:r>
    </w:p>
    <w:p w:rsidRPr="00F0447B" w:rsidR="000A099C" w:rsidRDefault="00F0447B" w14:paraId="5BD777AC" w14:textId="050B553A">
      <w:pPr>
        <w:rPr>
          <w:rFonts w:ascii="Calibri" w:hAnsi="Calibri" w:cs="Calibri"/>
          <w:sz w:val="22"/>
          <w:szCs w:val="22"/>
        </w:rPr>
      </w:pPr>
      <w:r>
        <w:rPr>
          <w:rFonts w:ascii="Calibri" w:hAnsi="Calibri" w:cs="Calibri"/>
          <w:sz w:val="22"/>
          <w:szCs w:val="22"/>
        </w:rPr>
        <w:lastRenderedPageBreak/>
        <w:t>“Elsewhere, several systems reach new highs. Malaysia records a series of landmark performances, with Universiti Kebangsaan Malaysia achieving its highest ever rank and Sunway University entering the top 50 for the first time. South Korea reinforces its strength at the top end of the table with six universities in the top 20, while Central Asia continues its expansion as Uzbekistan expands its representation while Kazakhstan’s Farabi University retains its position as the subregion's leading institution.”</w:t>
      </w:r>
    </w:p>
    <w:p w:rsidR="000A099C" w:rsidRDefault="000A099C" w14:paraId="22F36868" w14:textId="6A534BA5">
      <w:pPr>
        <w:rPr>
          <w:rFonts w:ascii="Calibri" w:hAnsi="Calibri" w:cs="Calibri"/>
          <w:b/>
          <w:bCs/>
          <w:sz w:val="22"/>
          <w:szCs w:val="22"/>
          <w:u w:val="single"/>
        </w:rPr>
      </w:pPr>
      <w:r>
        <w:rPr>
          <w:rFonts w:ascii="Calibri" w:hAnsi="Calibri" w:cs="Calibri"/>
          <w:b/>
          <w:bCs/>
          <w:sz w:val="22"/>
          <w:szCs w:val="22"/>
          <w:u w:val="single"/>
        </w:rPr>
        <w:t>Asia: Overview</w:t>
      </w:r>
    </w:p>
    <w:p w:rsidRPr="00FC51BF" w:rsidR="00FC51BF" w:rsidRDefault="00FC51BF" w14:paraId="02EA45D2" w14:textId="1ACE9745">
      <w:pPr>
        <w:rPr>
          <w:rFonts w:ascii="Calibri" w:hAnsi="Calibri" w:cs="Calibri"/>
          <w:b/>
          <w:bCs/>
          <w:sz w:val="22"/>
          <w:szCs w:val="22"/>
        </w:rPr>
      </w:pPr>
      <w:r>
        <w:rPr>
          <w:rFonts w:ascii="Calibri" w:hAnsi="Calibri" w:cs="Calibri"/>
          <w:b/>
          <w:bCs/>
          <w:sz w:val="22"/>
          <w:szCs w:val="22"/>
        </w:rPr>
        <w:t>China</w:t>
      </w:r>
    </w:p>
    <w:p w:rsidRPr="00E41226" w:rsidR="000A099C" w:rsidRDefault="00D86DC1" w14:paraId="003BF136" w14:textId="753DAF3C">
      <w:pPr>
        <w:rPr>
          <w:rFonts w:ascii="Calibri" w:hAnsi="Calibri" w:eastAsia="Times New Roman" w:cs="Calibri"/>
          <w:color w:val="1D1D1B"/>
          <w:kern w:val="0"/>
          <w:sz w:val="20"/>
          <w:szCs w:val="20"/>
          <w:lang w:eastAsia="en-GB"/>
          <w14:ligatures w14:val="none"/>
        </w:rPr>
      </w:pPr>
      <w:r>
        <w:rPr>
          <w:rFonts w:ascii="Calibri" w:hAnsi="Calibri" w:cs="Calibri"/>
          <w:sz w:val="22"/>
          <w:szCs w:val="22"/>
        </w:rPr>
        <w:t xml:space="preserve">Mainland China has more top 20 ranked universities than any other higher education system in Asia and has added more entrants than any other system. With three universities in the top 10 in both Employer and Academic Reputation its universities are among the most renowned in Asia. China remains one of the most productive research hubs, with three universities in the top 10 in Papers per Faculty, including </w:t>
      </w:r>
      <w:r>
        <w:rPr>
          <w:rFonts w:ascii="Calibri" w:hAnsi="Calibri" w:eastAsia="Times New Roman" w:cs="Calibri"/>
          <w:color w:val="1D1D1B"/>
          <w:kern w:val="0"/>
          <w:sz w:val="22"/>
          <w:szCs w:val="22"/>
          <w:lang w:eastAsia="en-GB"/>
          <w14:ligatures w14:val="none"/>
        </w:rPr>
        <w:t xml:space="preserve">Harbin Institute of Technology which climbs to fourth. Similarly, Faculty per Student Ratio, QS’ measure of class size and teaching resources marks another strength. Four universities are in the top 10 in this indicator, including two in the top five, Shanghai University of Traditional Chinese Medicine and Ningxia Medical University in first and fourth respectively. </w:t>
      </w:r>
      <w:r>
        <w:rPr>
          <w:rFonts w:ascii="Calibri" w:hAnsi="Calibri" w:cs="Calibri"/>
          <w:sz w:val="22"/>
          <w:szCs w:val="22"/>
        </w:rPr>
        <w:t xml:space="preserve">Student exchange indicators, Staff with a PhD, and International Faculty and Student Ratios represent a challenge for China’s universities. Tsinghua University breaks into the top three for the first time since the 2023 edition. Among China’s top 100 ranked universities, 12 achieve record ranks, including two in the top 20, Nanjing University and University of Science and Technology of China. </w:t>
      </w:r>
    </w:p>
    <w:p w:rsidRPr="00D0454E" w:rsidR="00D96527" w:rsidRDefault="00D96527" w14:paraId="3C09EFA6" w14:textId="3E3F12ED">
      <w:pPr>
        <w:rPr>
          <w:rFonts w:ascii="Calibri" w:hAnsi="Calibri" w:cs="Calibri"/>
          <w:b/>
          <w:bCs/>
          <w:sz w:val="22"/>
          <w:szCs w:val="22"/>
        </w:rPr>
      </w:pPr>
      <w:r>
        <w:rPr>
          <w:rFonts w:ascii="Calibri" w:hAnsi="Calibri" w:cs="Calibri"/>
          <w:b/>
          <w:bCs/>
          <w:sz w:val="22"/>
          <w:szCs w:val="22"/>
        </w:rPr>
        <w:t>India</w:t>
      </w:r>
    </w:p>
    <w:p w:rsidRPr="00E41226" w:rsidR="00A23190" w:rsidRDefault="00D96527" w14:paraId="3953BE56" w14:textId="3DC7E4C8">
      <w:pPr>
        <w:rPr>
          <w:rFonts w:ascii="Calibri" w:hAnsi="Calibri" w:eastAsia="Times New Roman" w:cs="Calibri"/>
          <w:color w:val="1D1D1B"/>
          <w:kern w:val="0"/>
          <w:sz w:val="22"/>
          <w:szCs w:val="22"/>
          <w:lang w:eastAsia="en-GB"/>
          <w14:ligatures w14:val="none"/>
        </w:rPr>
      </w:pPr>
      <w:r>
        <w:rPr>
          <w:rFonts w:ascii="Calibri" w:hAnsi="Calibri" w:cs="Calibri"/>
          <w:sz w:val="22"/>
          <w:szCs w:val="22"/>
        </w:rPr>
        <w:t>India experiences broad drops among its premier universities, particularly its suite of Institutes of Technology. All six of its highest ranked universities drop down the table while University of Delhi drops out of the top 100. Indian Institute of Technology Delhi (IITD) remains the country’s highest ranked university, placing 66</w:t>
      </w:r>
      <w:r>
        <w:rPr>
          <w:rFonts w:ascii="Calibri" w:hAnsi="Calibri" w:cs="Calibri"/>
          <w:sz w:val="22"/>
          <w:szCs w:val="22"/>
          <w:vertAlign w:val="superscript"/>
        </w:rPr>
        <w:t>th</w:t>
      </w:r>
      <w:r>
        <w:rPr>
          <w:rFonts w:ascii="Calibri" w:hAnsi="Calibri" w:cs="Calibri"/>
          <w:sz w:val="22"/>
          <w:szCs w:val="22"/>
        </w:rPr>
        <w:t>. Chandigarh University (Punjab) achieves a record rank of 104</w:t>
      </w:r>
      <w:r>
        <w:rPr>
          <w:rFonts w:ascii="Calibri" w:hAnsi="Calibri" w:cs="Calibri"/>
          <w:sz w:val="22"/>
          <w:szCs w:val="22"/>
          <w:vertAlign w:val="superscript"/>
        </w:rPr>
        <w:t>th</w:t>
      </w:r>
      <w:r>
        <w:rPr>
          <w:rFonts w:ascii="Calibri" w:hAnsi="Calibri" w:cs="Calibri"/>
          <w:sz w:val="22"/>
          <w:szCs w:val="22"/>
        </w:rPr>
        <w:t xml:space="preserve">, following significant gains in research indicators. India is Asia’s most productive research hub, performing excellently in QS’ measure of research output, Papers per Faculty, in which five Indian universities place in the top 10, more than any other higher education system, including two in the top five, with </w:t>
      </w:r>
      <w:r>
        <w:rPr>
          <w:rFonts w:ascii="Calibri" w:hAnsi="Calibri" w:eastAsia="Times New Roman" w:cs="Calibri"/>
          <w:color w:val="1D1D1B"/>
          <w:kern w:val="0"/>
          <w:sz w:val="22"/>
          <w:szCs w:val="22"/>
          <w:lang w:eastAsia="en-GB"/>
          <w14:ligatures w14:val="none"/>
        </w:rPr>
        <w:t>Indian Institute of Science (IISc) Bangalore placing first in this indicator, followed by Indian Institute of Technology Madras (IITM) in third.</w:t>
      </w:r>
      <w:r>
        <w:rPr>
          <w:rFonts w:ascii="Calibri" w:hAnsi="Calibri" w:cs="Calibri"/>
          <w:sz w:val="22"/>
          <w:szCs w:val="22"/>
        </w:rPr>
        <w:t xml:space="preserve"> This research output is supported by the region’s largest proportion of doctoral trained staff, with a whopping 15 Indian universities achieving a perfect score of 100 for Staff with a PhD. </w:t>
      </w:r>
    </w:p>
    <w:p w:rsidR="00813EE5" w:rsidRDefault="00D0454E" w14:paraId="25196563" w14:textId="44278908">
      <w:pPr>
        <w:rPr>
          <w:rFonts w:ascii="Calibri" w:hAnsi="Calibri" w:cs="Calibri"/>
          <w:b/>
          <w:bCs/>
          <w:sz w:val="22"/>
          <w:szCs w:val="22"/>
        </w:rPr>
      </w:pPr>
      <w:r>
        <w:rPr>
          <w:rFonts w:ascii="Calibri" w:hAnsi="Calibri" w:cs="Calibri"/>
          <w:b/>
          <w:bCs/>
          <w:sz w:val="22"/>
          <w:szCs w:val="22"/>
        </w:rPr>
        <w:lastRenderedPageBreak/>
        <w:t>Japan</w:t>
      </w:r>
    </w:p>
    <w:p w:rsidR="00D0454E" w:rsidRDefault="00D0454E" w14:paraId="6C6FB543" w14:textId="5B82EF43">
      <w:pPr>
        <w:rPr>
          <w:rFonts w:ascii="Calibri" w:hAnsi="Calibri" w:cs="Calibri"/>
          <w:sz w:val="22"/>
          <w:szCs w:val="22"/>
        </w:rPr>
      </w:pPr>
      <w:r>
        <w:rPr>
          <w:rFonts w:ascii="Calibri" w:hAnsi="Calibri" w:cs="Calibri"/>
          <w:sz w:val="22"/>
          <w:szCs w:val="22"/>
        </w:rPr>
        <w:t>Japan experiences one of the largest net drop rates among higher education systems with 10 or more ranked universities, second only to Iran. The University of Tokyo remains Asia’s most well-regarded university among both academics and employers alike while Kyoto University also performs excellently in this indicator, placing sixth in Academic Reputation and fourth in Employer Reputation. Employer Reputation marks a strength for Japan, with three universities among the region’s top 10 in this indicator, including the University of Tokyo in first, Kyoto University in fourth and Waseda University in eighth. Only China has as many top 10 ranked universities in this indicator.</w:t>
      </w:r>
    </w:p>
    <w:p w:rsidRPr="005C75AD" w:rsidR="00EF52E8" w:rsidRDefault="00EF52E8" w14:paraId="7AA253C7" w14:textId="5D2AF4E3">
      <w:pPr>
        <w:rPr>
          <w:rFonts w:ascii="Calibri" w:hAnsi="Calibri" w:cs="Calibri"/>
          <w:b/>
          <w:bCs/>
          <w:sz w:val="22"/>
          <w:szCs w:val="22"/>
        </w:rPr>
      </w:pPr>
      <w:r>
        <w:rPr>
          <w:rFonts w:ascii="Calibri" w:hAnsi="Calibri" w:cs="Calibri"/>
          <w:b/>
          <w:bCs/>
          <w:sz w:val="22"/>
          <w:szCs w:val="22"/>
        </w:rPr>
        <w:t>South Korea</w:t>
      </w:r>
    </w:p>
    <w:p w:rsidR="009C6764" w:rsidRDefault="00EF52E8" w14:paraId="32536712" w14:textId="6B88A1B9">
      <w:pPr>
        <w:rPr>
          <w:rFonts w:ascii="Calibri" w:hAnsi="Calibri" w:cs="Calibri"/>
          <w:sz w:val="22"/>
          <w:szCs w:val="22"/>
        </w:rPr>
      </w:pPr>
      <w:r>
        <w:rPr>
          <w:rFonts w:ascii="Calibri" w:hAnsi="Calibri" w:cs="Calibri"/>
          <w:sz w:val="22"/>
          <w:szCs w:val="22"/>
        </w:rPr>
        <w:t>While most of South Korea’s universities drop down the table, its highest ranked universities perform excellently, with Sungkyunkwan University (SKKU), Seoul National University, and Hanyang University each climbing one position, reinforcing their top 20 positions. Among South Korea’s 1</w:t>
      </w:r>
      <w:r w:rsidR="001722E6">
        <w:rPr>
          <w:rFonts w:ascii="Calibri" w:hAnsi="Calibri" w:cs="Calibri"/>
          <w:sz w:val="22"/>
          <w:szCs w:val="22"/>
        </w:rPr>
        <w:t>3 previously ranked</w:t>
      </w:r>
      <w:r>
        <w:rPr>
          <w:rFonts w:ascii="Calibri" w:hAnsi="Calibri" w:cs="Calibri"/>
          <w:sz w:val="22"/>
          <w:szCs w:val="22"/>
        </w:rPr>
        <w:t xml:space="preserve"> top 100 universities eight have climbed year-on-year while only two have dropped. South Korea is also home to six universities in the regional top 20, behind only China which has seven. Notably, the most improved university in Asia among unbanded entries is Inje University, which rises 337 places to 366th.</w:t>
      </w:r>
    </w:p>
    <w:p w:rsidRPr="00A01501" w:rsidR="00E71542" w:rsidRDefault="002C719E" w14:paraId="11C38848" w14:textId="3AC85436">
      <w:pPr>
        <w:rPr>
          <w:rFonts w:ascii="Calibri" w:hAnsi="Calibri" w:cs="Calibri"/>
          <w:b/>
          <w:bCs/>
          <w:sz w:val="22"/>
          <w:szCs w:val="22"/>
        </w:rPr>
      </w:pPr>
      <w:r>
        <w:rPr>
          <w:rFonts w:ascii="Calibri" w:hAnsi="Calibri" w:cs="Calibri"/>
          <w:b/>
          <w:bCs/>
          <w:sz w:val="22"/>
          <w:szCs w:val="22"/>
        </w:rPr>
        <w:t>Hong Kong SAR</w:t>
      </w:r>
    </w:p>
    <w:p w:rsidRPr="00F855A6" w:rsidR="002C719E" w:rsidRDefault="002C719E" w14:paraId="0A5F5ACD" w14:textId="20E3620C">
      <w:pPr>
        <w:rPr>
          <w:rFonts w:ascii="Calibri" w:hAnsi="Calibri" w:eastAsia="Times New Roman" w:cs="Calibri"/>
          <w:color w:val="1D1D1B"/>
          <w:kern w:val="0"/>
          <w:sz w:val="22"/>
          <w:szCs w:val="22"/>
          <w:lang w:eastAsia="en-GB"/>
          <w14:ligatures w14:val="none"/>
        </w:rPr>
      </w:pPr>
      <w:r>
        <w:rPr>
          <w:rFonts w:ascii="Calibri" w:hAnsi="Calibri" w:cs="Calibri"/>
          <w:sz w:val="22"/>
          <w:szCs w:val="22"/>
        </w:rPr>
        <w:t xml:space="preserve">Hong Kong SAR is one of the standout performances of this year’s rankings. It is the most improved system among those with five or more ranked universities with a 55% net improvement rate year-on-year. Meanwhile, it has more top 10 ranked universities than any other higher education system. </w:t>
      </w:r>
      <w:commentRangeStart w:id="0"/>
      <w:r w:rsidR="001722E6">
        <w:rPr>
          <w:rFonts w:ascii="Calibri" w:hAnsi="Calibri" w:cs="Calibri"/>
          <w:sz w:val="22"/>
          <w:szCs w:val="22"/>
        </w:rPr>
        <w:t>Five</w:t>
      </w:r>
      <w:r>
        <w:rPr>
          <w:rFonts w:ascii="Calibri" w:hAnsi="Calibri" w:cs="Calibri"/>
          <w:sz w:val="22"/>
          <w:szCs w:val="22"/>
        </w:rPr>
        <w:t xml:space="preserve"> of Hong Kong’s universities achieve their highest ever ranks, including </w:t>
      </w:r>
      <w:r w:rsidR="001722E6">
        <w:rPr>
          <w:rFonts w:ascii="Calibri" w:hAnsi="Calibri" w:cs="Calibri"/>
          <w:sz w:val="22"/>
          <w:szCs w:val="22"/>
        </w:rPr>
        <w:t>two</w:t>
      </w:r>
      <w:r>
        <w:rPr>
          <w:rFonts w:ascii="Calibri" w:hAnsi="Calibri" w:cs="Calibri"/>
          <w:sz w:val="22"/>
          <w:szCs w:val="22"/>
        </w:rPr>
        <w:t xml:space="preserve"> in the top 10; The Chinese University of Hong Kong (CUHK) and The Hong Kong Polytechnic University. </w:t>
      </w:r>
      <w:r w:rsidR="001722E6">
        <w:rPr>
          <w:rFonts w:ascii="Calibri" w:hAnsi="Calibri" w:cs="Calibri"/>
          <w:sz w:val="22"/>
          <w:szCs w:val="22"/>
        </w:rPr>
        <w:t>City University of Hong Kong (CityUHK) is tied for its record rank of fifth, last achieved in 2012.</w:t>
      </w:r>
      <w:commentRangeEnd w:id="0"/>
      <w:r w:rsidR="001722E6">
        <w:rPr>
          <w:rStyle w:val="CommentReference"/>
          <w:rFonts w:ascii="Calibri" w:hAnsi="Calibri" w:cs="Calibri"/>
          <w:sz w:val="22"/>
          <w:szCs w:val="22"/>
        </w:rPr>
        <w:commentReference w:id="0"/>
      </w:r>
      <w:r w:rsidR="001722E6">
        <w:rPr>
          <w:rFonts w:ascii="Calibri" w:hAnsi="Calibri" w:cs="Calibri"/>
          <w:sz w:val="22"/>
          <w:szCs w:val="22"/>
        </w:rPr>
        <w:t xml:space="preserve"> </w:t>
      </w:r>
      <w:r>
        <w:rPr>
          <w:rFonts w:ascii="Calibri" w:hAnsi="Calibri" w:cs="Calibri"/>
          <w:sz w:val="22"/>
          <w:szCs w:val="22"/>
        </w:rPr>
        <w:t xml:space="preserve">Hong Kong Baptist University breaks into the top 50. Hong Kong has improved overall in several indicators, most prominently in research output, measured by Papers per Faculty in which 10 of its universities climb the table. International Faculty Ratio and Outbound Exchange Students represent strengths for Hong Kong, with two universities among the top five in each indicator. </w:t>
      </w:r>
      <w:r>
        <w:rPr>
          <w:rFonts w:ascii="Calibri" w:hAnsi="Calibri" w:eastAsia="Times New Roman" w:cs="Calibri"/>
          <w:color w:val="1D1D1B"/>
          <w:kern w:val="0"/>
          <w:sz w:val="22"/>
          <w:szCs w:val="22"/>
          <w:lang w:eastAsia="en-GB"/>
          <w14:ligatures w14:val="none"/>
        </w:rPr>
        <w:t>City University of Hong Kong (CityUHK) and The University of Hong Kong come first and third for Outbound Exchange while City University of Hong Kong (CityUHK) and The Hong Kong University of Science and Technology come first and third in International Faculty.</w:t>
      </w:r>
    </w:p>
    <w:p w:rsidR="002C719E" w:rsidRDefault="002C719E" w14:paraId="72E67689" w14:textId="52A88C95">
      <w:pPr>
        <w:rPr>
          <w:rFonts w:ascii="Calibri" w:hAnsi="Calibri" w:cs="Calibri"/>
          <w:b/>
          <w:bCs/>
          <w:sz w:val="22"/>
          <w:szCs w:val="22"/>
        </w:rPr>
      </w:pPr>
      <w:r>
        <w:rPr>
          <w:rFonts w:ascii="Calibri" w:hAnsi="Calibri" w:cs="Calibri"/>
          <w:b/>
          <w:bCs/>
          <w:sz w:val="22"/>
          <w:szCs w:val="22"/>
        </w:rPr>
        <w:t xml:space="preserve">Singapore  </w:t>
      </w:r>
    </w:p>
    <w:p w:rsidR="00630C62" w:rsidRDefault="00630C62" w14:paraId="741C7565" w14:textId="3CAA1E84">
      <w:pPr>
        <w:rPr>
          <w:rFonts w:ascii="Calibri" w:hAnsi="Calibri" w:cs="Calibri"/>
          <w:sz w:val="22"/>
          <w:szCs w:val="22"/>
        </w:rPr>
      </w:pPr>
      <w:r>
        <w:rPr>
          <w:rFonts w:ascii="Calibri" w:hAnsi="Calibri" w:cs="Calibri"/>
          <w:sz w:val="22"/>
          <w:szCs w:val="22"/>
        </w:rPr>
        <w:lastRenderedPageBreak/>
        <w:t>Singapore has long dominated the top end of the Asia rankings, enjoying the region’s highest concentration of top tier universities, reflecting its small but exceptional higher education sector. This year Singapore’s grip on this elite group stutters slightly as its two premier universities NUS and NTU Singapore, previously ranked joint-third, drop out of the top five to place sixth and eighth respectively. This is driven mainly by drops in research indicators, primarily Papers per Faculty and Staff with a PhD, though both remain among the top 10 for Academic Reputation. Singapore does see success elsewhere, however, with three universities climbing the table, including Singapore University of Technology and Design and Singapore Management University which soar into the top 100, rising an impressive 81 and 32 positions respectively to place 88</w:t>
      </w:r>
      <w:r>
        <w:rPr>
          <w:rFonts w:ascii="Calibri" w:hAnsi="Calibri" w:cs="Calibri"/>
          <w:sz w:val="22"/>
          <w:szCs w:val="22"/>
          <w:vertAlign w:val="superscript"/>
        </w:rPr>
        <w:t>th</w:t>
      </w:r>
      <w:r>
        <w:rPr>
          <w:rFonts w:ascii="Calibri" w:hAnsi="Calibri" w:cs="Calibri"/>
          <w:sz w:val="22"/>
          <w:szCs w:val="22"/>
        </w:rPr>
        <w:t xml:space="preserve"> and 90</w:t>
      </w:r>
      <w:r>
        <w:rPr>
          <w:rFonts w:ascii="Calibri" w:hAnsi="Calibri" w:cs="Calibri"/>
          <w:sz w:val="22"/>
          <w:szCs w:val="22"/>
          <w:vertAlign w:val="superscript"/>
        </w:rPr>
        <w:t>th</w:t>
      </w:r>
      <w:r>
        <w:rPr>
          <w:rFonts w:ascii="Calibri" w:hAnsi="Calibri" w:cs="Calibri"/>
          <w:sz w:val="22"/>
          <w:szCs w:val="22"/>
        </w:rPr>
        <w:t>.</w:t>
      </w:r>
    </w:p>
    <w:p w:rsidRPr="001722E6" w:rsidR="003C33C3" w:rsidRDefault="003C33C3" w14:paraId="637F22CD" w14:textId="786C3983">
      <w:pPr>
        <w:rPr>
          <w:rFonts w:ascii="Calibri" w:hAnsi="Calibri" w:cs="Calibri"/>
          <w:b/>
          <w:bCs/>
          <w:sz w:val="22"/>
          <w:szCs w:val="22"/>
        </w:rPr>
      </w:pPr>
      <w:r w:rsidRPr="001722E6">
        <w:rPr>
          <w:rFonts w:ascii="Calibri" w:hAnsi="Calibri" w:cs="Calibri"/>
          <w:b/>
          <w:bCs/>
          <w:sz w:val="22"/>
          <w:szCs w:val="22"/>
        </w:rPr>
        <w:t>Indonesia</w:t>
      </w:r>
    </w:p>
    <w:p w:rsidRPr="00C65DF5" w:rsidR="001074BC" w:rsidRDefault="001074BC" w14:paraId="5E8C98AE" w14:textId="3AF39250">
      <w:pPr>
        <w:rPr>
          <w:rFonts w:ascii="Calibri" w:hAnsi="Calibri" w:eastAsia="Times New Roman" w:cs="Calibri"/>
          <w:color w:val="1D1D1B"/>
          <w:kern w:val="0"/>
          <w:sz w:val="20"/>
          <w:szCs w:val="20"/>
          <w:lang w:eastAsia="en-GB"/>
          <w14:ligatures w14:val="none"/>
        </w:rPr>
      </w:pPr>
      <w:r>
        <w:rPr>
          <w:rFonts w:ascii="Calibri" w:hAnsi="Calibri" w:cs="Calibri"/>
          <w:sz w:val="22"/>
          <w:szCs w:val="22"/>
        </w:rPr>
        <w:t xml:space="preserve">Indonesia has added 22 universities to the rankings this year, though 70% of its previously ranked universities drop. Indonesia’s highest ranked institution, Gadjah Mada University climbs </w:t>
      </w:r>
      <w:r w:rsidR="001722E6">
        <w:rPr>
          <w:rFonts w:ascii="Calibri" w:hAnsi="Calibri" w:cs="Calibri"/>
          <w:sz w:val="22"/>
          <w:szCs w:val="22"/>
        </w:rPr>
        <w:t>two</w:t>
      </w:r>
      <w:r>
        <w:rPr>
          <w:rFonts w:ascii="Calibri" w:hAnsi="Calibri" w:cs="Calibri"/>
          <w:sz w:val="22"/>
          <w:szCs w:val="22"/>
        </w:rPr>
        <w:t xml:space="preserve"> position</w:t>
      </w:r>
      <w:r w:rsidR="001722E6">
        <w:rPr>
          <w:rFonts w:ascii="Calibri" w:hAnsi="Calibri" w:cs="Calibri"/>
          <w:sz w:val="22"/>
          <w:szCs w:val="22"/>
        </w:rPr>
        <w:t>s</w:t>
      </w:r>
      <w:r>
        <w:rPr>
          <w:rFonts w:ascii="Calibri" w:hAnsi="Calibri" w:cs="Calibri"/>
          <w:sz w:val="22"/>
          <w:szCs w:val="22"/>
        </w:rPr>
        <w:t xml:space="preserve"> to 53</w:t>
      </w:r>
      <w:r>
        <w:rPr>
          <w:rFonts w:ascii="Calibri" w:hAnsi="Calibri" w:cs="Calibri"/>
          <w:sz w:val="22"/>
          <w:szCs w:val="22"/>
          <w:vertAlign w:val="superscript"/>
        </w:rPr>
        <w:t>rd</w:t>
      </w:r>
      <w:r>
        <w:rPr>
          <w:rFonts w:ascii="Calibri" w:hAnsi="Calibri" w:cs="Calibri"/>
          <w:sz w:val="22"/>
          <w:szCs w:val="22"/>
        </w:rPr>
        <w:t xml:space="preserve"> while </w:t>
      </w:r>
      <w:r w:rsidR="001722E6">
        <w:rPr>
          <w:rFonts w:ascii="Calibri" w:hAnsi="Calibri" w:cs="Calibri"/>
          <w:sz w:val="22"/>
          <w:szCs w:val="22"/>
        </w:rPr>
        <w:t>five</w:t>
      </w:r>
      <w:r>
        <w:rPr>
          <w:rFonts w:ascii="Calibri" w:hAnsi="Calibri" w:cs="Calibri"/>
          <w:sz w:val="22"/>
          <w:szCs w:val="22"/>
        </w:rPr>
        <w:t xml:space="preserve"> Indonesian universities place in the top 100. It has seen major drops in research indicators, including </w:t>
      </w:r>
      <w:r w:rsidR="001722E6">
        <w:rPr>
          <w:rFonts w:ascii="Calibri" w:hAnsi="Calibri" w:cs="Calibri"/>
          <w:sz w:val="22"/>
          <w:szCs w:val="22"/>
        </w:rPr>
        <w:t>C</w:t>
      </w:r>
      <w:r>
        <w:rPr>
          <w:rFonts w:ascii="Calibri" w:hAnsi="Calibri" w:cs="Calibri"/>
          <w:sz w:val="22"/>
          <w:szCs w:val="22"/>
        </w:rPr>
        <w:t xml:space="preserve">itations per </w:t>
      </w:r>
      <w:r w:rsidR="001722E6">
        <w:rPr>
          <w:rFonts w:ascii="Calibri" w:hAnsi="Calibri" w:cs="Calibri"/>
          <w:sz w:val="22"/>
          <w:szCs w:val="22"/>
        </w:rPr>
        <w:t>P</w:t>
      </w:r>
      <w:r>
        <w:rPr>
          <w:rFonts w:ascii="Calibri" w:hAnsi="Calibri" w:cs="Calibri"/>
          <w:sz w:val="22"/>
          <w:szCs w:val="22"/>
        </w:rPr>
        <w:t>aper, in which 9</w:t>
      </w:r>
      <w:r w:rsidR="001722E6">
        <w:rPr>
          <w:rFonts w:ascii="Calibri" w:hAnsi="Calibri" w:cs="Calibri"/>
          <w:sz w:val="22"/>
          <w:szCs w:val="22"/>
        </w:rPr>
        <w:t>8</w:t>
      </w:r>
      <w:r>
        <w:rPr>
          <w:rFonts w:ascii="Calibri" w:hAnsi="Calibri" w:cs="Calibri"/>
          <w:sz w:val="22"/>
          <w:szCs w:val="22"/>
        </w:rPr>
        <w:t xml:space="preserve">% of its universities drop, </w:t>
      </w:r>
      <w:r w:rsidR="001722E6">
        <w:rPr>
          <w:rFonts w:ascii="Calibri" w:hAnsi="Calibri" w:cs="Calibri"/>
          <w:sz w:val="22"/>
          <w:szCs w:val="22"/>
        </w:rPr>
        <w:t>P</w:t>
      </w:r>
      <w:r>
        <w:rPr>
          <w:rFonts w:ascii="Calibri" w:hAnsi="Calibri" w:cs="Calibri"/>
          <w:sz w:val="22"/>
          <w:szCs w:val="22"/>
        </w:rPr>
        <w:t xml:space="preserve">apers per </w:t>
      </w:r>
      <w:r w:rsidR="001722E6">
        <w:rPr>
          <w:rFonts w:ascii="Calibri" w:hAnsi="Calibri" w:cs="Calibri"/>
          <w:sz w:val="22"/>
          <w:szCs w:val="22"/>
        </w:rPr>
        <w:t>F</w:t>
      </w:r>
      <w:r>
        <w:rPr>
          <w:rFonts w:ascii="Calibri" w:hAnsi="Calibri" w:cs="Calibri"/>
          <w:sz w:val="22"/>
          <w:szCs w:val="22"/>
        </w:rPr>
        <w:t xml:space="preserve">aculty, in which </w:t>
      </w:r>
      <w:r w:rsidR="001722E6">
        <w:rPr>
          <w:rFonts w:ascii="Calibri" w:hAnsi="Calibri" w:cs="Calibri"/>
          <w:sz w:val="22"/>
          <w:szCs w:val="22"/>
        </w:rPr>
        <w:t>78</w:t>
      </w:r>
      <w:r>
        <w:rPr>
          <w:rFonts w:ascii="Calibri" w:hAnsi="Calibri" w:cs="Calibri"/>
          <w:sz w:val="22"/>
          <w:szCs w:val="22"/>
        </w:rPr>
        <w:t xml:space="preserve">% drop and </w:t>
      </w:r>
      <w:r w:rsidR="001722E6">
        <w:rPr>
          <w:rFonts w:ascii="Calibri" w:hAnsi="Calibri" w:cs="Calibri"/>
          <w:sz w:val="22"/>
          <w:szCs w:val="22"/>
        </w:rPr>
        <w:t>S</w:t>
      </w:r>
      <w:r>
        <w:rPr>
          <w:rFonts w:ascii="Calibri" w:hAnsi="Calibri" w:cs="Calibri"/>
          <w:sz w:val="22"/>
          <w:szCs w:val="22"/>
        </w:rPr>
        <w:t xml:space="preserve">taff with a PhD, down </w:t>
      </w:r>
      <w:r w:rsidR="001722E6">
        <w:rPr>
          <w:rFonts w:ascii="Calibri" w:hAnsi="Calibri" w:cs="Calibri"/>
          <w:sz w:val="22"/>
          <w:szCs w:val="22"/>
        </w:rPr>
        <w:t>93</w:t>
      </w:r>
      <w:r>
        <w:rPr>
          <w:rFonts w:ascii="Calibri" w:hAnsi="Calibri" w:cs="Calibri"/>
          <w:sz w:val="22"/>
          <w:szCs w:val="22"/>
        </w:rPr>
        <w:t xml:space="preserve">%. Indonesia’s highest ranks come in Student Exchange indicators, with </w:t>
      </w:r>
      <w:r>
        <w:rPr>
          <w:rFonts w:ascii="Calibri" w:hAnsi="Calibri" w:eastAsia="Times New Roman" w:cs="Calibri"/>
          <w:color w:val="1D1D1B"/>
          <w:kern w:val="0"/>
          <w:sz w:val="20"/>
          <w:szCs w:val="20"/>
          <w:lang w:eastAsia="en-GB"/>
          <w14:ligatures w14:val="none"/>
        </w:rPr>
        <w:t>Universitas Andalas placing eighth for Outbound Exchange Students and fifth for Inbound Exchange while Bina Nusantara University (BINUS) comes 19</w:t>
      </w:r>
      <w:r>
        <w:rPr>
          <w:rFonts w:ascii="Calibri" w:hAnsi="Calibri" w:eastAsia="Times New Roman" w:cs="Calibri"/>
          <w:color w:val="1D1D1B"/>
          <w:kern w:val="0"/>
          <w:sz w:val="20"/>
          <w:szCs w:val="20"/>
          <w:vertAlign w:val="superscript"/>
          <w:lang w:eastAsia="en-GB"/>
          <w14:ligatures w14:val="none"/>
        </w:rPr>
        <w:t>th</w:t>
      </w:r>
      <w:r>
        <w:rPr>
          <w:rFonts w:ascii="Calibri" w:hAnsi="Calibri" w:eastAsia="Times New Roman" w:cs="Calibri"/>
          <w:color w:val="1D1D1B"/>
          <w:kern w:val="0"/>
          <w:sz w:val="20"/>
          <w:szCs w:val="20"/>
          <w:lang w:eastAsia="en-GB"/>
          <w14:ligatures w14:val="none"/>
        </w:rPr>
        <w:t xml:space="preserve"> in Outbound Exchange.</w:t>
      </w:r>
    </w:p>
    <w:p w:rsidRPr="001074BC" w:rsidR="002C719E" w:rsidRDefault="002C719E" w14:paraId="6777DFD6" w14:textId="4F2F0029">
      <w:pPr>
        <w:rPr>
          <w:rFonts w:ascii="Calibri" w:hAnsi="Calibri" w:cs="Calibri"/>
          <w:b/>
          <w:bCs/>
          <w:sz w:val="22"/>
          <w:szCs w:val="22"/>
        </w:rPr>
      </w:pPr>
      <w:r>
        <w:rPr>
          <w:rFonts w:ascii="Calibri" w:hAnsi="Calibri" w:cs="Calibri"/>
          <w:b/>
          <w:bCs/>
          <w:sz w:val="22"/>
          <w:szCs w:val="22"/>
        </w:rPr>
        <w:t>Malaysia</w:t>
      </w:r>
    </w:p>
    <w:p w:rsidRPr="00C0696C" w:rsidR="00F24354" w:rsidP="197B92FD" w:rsidRDefault="00F24354" w14:paraId="2E824147" w14:textId="08E60BDB">
      <w:pPr>
        <w:rPr>
          <w:rFonts w:ascii="Calibri" w:hAnsi="Calibri" w:eastAsia="Times New Roman" w:cs="Calibri"/>
          <w:color w:val="1D1D1B"/>
          <w:kern w:val="0"/>
          <w:sz w:val="22"/>
          <w:szCs w:val="22"/>
          <w:lang w:eastAsia="en-GB"/>
          <w14:ligatures w14:val="none"/>
        </w:rPr>
      </w:pPr>
      <w:r>
        <w:rPr>
          <w:rFonts w:ascii="Calibri" w:hAnsi="Calibri" w:cs="Calibri"/>
          <w:sz w:val="22"/>
          <w:szCs w:val="22"/>
        </w:rPr>
        <w:t>Universiti Malaya (UM) remains Malaysia’s highest ranked university, placing 17th, down from 15</w:t>
      </w:r>
      <w:r>
        <w:rPr>
          <w:rFonts w:ascii="Calibri" w:hAnsi="Calibri" w:cs="Calibri"/>
          <w:sz w:val="22"/>
          <w:szCs w:val="22"/>
          <w:vertAlign w:val="superscript"/>
        </w:rPr>
        <w:t>th</w:t>
      </w:r>
      <w:r>
        <w:rPr>
          <w:rFonts w:ascii="Calibri" w:hAnsi="Calibri" w:cs="Calibri"/>
          <w:sz w:val="22"/>
          <w:szCs w:val="22"/>
        </w:rPr>
        <w:t xml:space="preserve"> last year, though it remains the system’s best-regarded university among international academics and employers. Sixteen Malaysian universities achieve record ranks in this edition, behind only China and India in this measure. These include three in the top 50: Universiti Kebangsaan Malaysia (UKM) climbs to 20</w:t>
      </w:r>
      <w:r>
        <w:rPr>
          <w:rFonts w:ascii="Calibri" w:hAnsi="Calibri" w:cs="Calibri"/>
          <w:sz w:val="22"/>
          <w:szCs w:val="22"/>
          <w:vertAlign w:val="superscript"/>
        </w:rPr>
        <w:t>th</w:t>
      </w:r>
      <w:r>
        <w:rPr>
          <w:rFonts w:ascii="Calibri" w:hAnsi="Calibri" w:cs="Calibri"/>
          <w:sz w:val="22"/>
          <w:szCs w:val="22"/>
        </w:rPr>
        <w:t>, Universiti Sains Malaysia (USM) to 27</w:t>
      </w:r>
      <w:r>
        <w:rPr>
          <w:rFonts w:ascii="Calibri" w:hAnsi="Calibri" w:cs="Calibri"/>
          <w:sz w:val="22"/>
          <w:szCs w:val="22"/>
          <w:vertAlign w:val="superscript"/>
        </w:rPr>
        <w:t>th</w:t>
      </w:r>
      <w:r>
        <w:rPr>
          <w:rFonts w:ascii="Calibri" w:hAnsi="Calibri" w:cs="Calibri"/>
          <w:sz w:val="22"/>
          <w:szCs w:val="22"/>
        </w:rPr>
        <w:t>, and Sunway University, which breaks into the top 50 for the first time, placing 47</w:t>
      </w:r>
      <w:r>
        <w:rPr>
          <w:rFonts w:ascii="Calibri" w:hAnsi="Calibri" w:cs="Calibri"/>
          <w:sz w:val="22"/>
          <w:szCs w:val="22"/>
          <w:vertAlign w:val="superscript"/>
        </w:rPr>
        <w:t>th</w:t>
      </w:r>
      <w:r>
        <w:rPr>
          <w:rFonts w:ascii="Calibri" w:hAnsi="Calibri" w:cs="Calibri"/>
          <w:sz w:val="22"/>
          <w:szCs w:val="22"/>
        </w:rPr>
        <w:t xml:space="preserve">. Internationalisation indicators mark a major strength for Malaysia’s universities. Six place in the top 10 in International Student Ratio, including two in the top five, </w:t>
      </w:r>
      <w:r>
        <w:rPr>
          <w:rFonts w:ascii="Calibri" w:hAnsi="Calibri" w:eastAsia="Times New Roman" w:cs="Calibri"/>
          <w:color w:val="1D1D1B"/>
          <w:kern w:val="0"/>
          <w:sz w:val="22"/>
          <w:szCs w:val="22"/>
          <w:lang w:eastAsia="en-GB"/>
          <w14:ligatures w14:val="none"/>
        </w:rPr>
        <w:t xml:space="preserve">Al-Madinah International University in first and Kuala Lumpur University of Science and Technology in fourth. </w:t>
      </w:r>
      <w:r>
        <w:rPr>
          <w:rFonts w:ascii="Calibri" w:hAnsi="Calibri" w:cs="Calibri"/>
          <w:sz w:val="22"/>
          <w:szCs w:val="22"/>
        </w:rPr>
        <w:t xml:space="preserve">Three are in the top 10 for International Research Network, including second place, </w:t>
      </w:r>
      <w:r>
        <w:rPr>
          <w:rFonts w:ascii="Calibri" w:hAnsi="Calibri" w:eastAsia="Times New Roman" w:cs="Calibri"/>
          <w:color w:val="1D1D1B"/>
          <w:kern w:val="0"/>
          <w:sz w:val="22"/>
          <w:szCs w:val="22"/>
          <w:lang w:eastAsia="en-GB"/>
          <w14:ligatures w14:val="none"/>
        </w:rPr>
        <w:t>Universiti Sains Malaysia (USM)</w:t>
      </w:r>
      <w:r>
        <w:rPr>
          <w:rFonts w:ascii="Calibri" w:hAnsi="Calibri" w:cs="Calibri"/>
          <w:sz w:val="22"/>
          <w:szCs w:val="22"/>
        </w:rPr>
        <w:t xml:space="preserve">. Five are in the top 10 for Inbound Exchange Students, including </w:t>
      </w:r>
      <w:r>
        <w:rPr>
          <w:rFonts w:ascii="Calibri" w:hAnsi="Calibri" w:eastAsia="Times New Roman" w:cs="Calibri"/>
          <w:color w:val="1D1D1B"/>
          <w:kern w:val="0"/>
          <w:sz w:val="22"/>
          <w:szCs w:val="22"/>
          <w:lang w:eastAsia="en-GB"/>
          <w14:ligatures w14:val="none"/>
        </w:rPr>
        <w:t xml:space="preserve">MILA University in first and INTI International University in </w:t>
      </w:r>
      <w:r w:rsidR="003977CD">
        <w:rPr>
          <w:rFonts w:ascii="Calibri" w:hAnsi="Calibri" w:eastAsia="Times New Roman" w:cs="Calibri"/>
          <w:color w:val="1D1D1B"/>
          <w:kern w:val="0"/>
          <w:sz w:val="22"/>
          <w:szCs w:val="22"/>
          <w:lang w:eastAsia="en-GB"/>
          <w14:ligatures w14:val="none"/>
        </w:rPr>
        <w:t>fourth</w:t>
      </w:r>
      <w:r>
        <w:rPr>
          <w:rFonts w:ascii="Calibri" w:hAnsi="Calibri" w:eastAsia="Times New Roman" w:cs="Calibri"/>
          <w:color w:val="1D1D1B"/>
          <w:kern w:val="0"/>
          <w:sz w:val="22"/>
          <w:szCs w:val="22"/>
          <w:lang w:eastAsia="en-GB"/>
          <w14:ligatures w14:val="none"/>
        </w:rPr>
        <w:t>.</w:t>
      </w:r>
    </w:p>
    <w:p w:rsidRPr="00F855A6" w:rsidR="002C719E" w:rsidRDefault="002C719E" w14:paraId="3F665CF9" w14:textId="1F12CCB6">
      <w:pPr>
        <w:rPr>
          <w:rFonts w:ascii="Calibri" w:hAnsi="Calibri" w:cs="Calibri"/>
          <w:b/>
          <w:bCs/>
          <w:sz w:val="22"/>
          <w:szCs w:val="22"/>
        </w:rPr>
      </w:pPr>
      <w:r>
        <w:rPr>
          <w:rFonts w:ascii="Calibri" w:hAnsi="Calibri" w:cs="Calibri"/>
          <w:b/>
          <w:bCs/>
          <w:sz w:val="22"/>
          <w:szCs w:val="22"/>
        </w:rPr>
        <w:t>Central Asia</w:t>
      </w:r>
    </w:p>
    <w:p w:rsidRPr="00F855A6" w:rsidR="005C75AD" w:rsidRDefault="005C75AD" w14:paraId="30208407" w14:textId="77777777">
      <w:pPr>
        <w:rPr>
          <w:rFonts w:ascii="Calibri" w:hAnsi="Calibri" w:cs="Calibri"/>
          <w:sz w:val="22"/>
          <w:szCs w:val="22"/>
        </w:rPr>
      </w:pPr>
      <w:r>
        <w:rPr>
          <w:rFonts w:ascii="Calibri" w:hAnsi="Calibri" w:cs="Calibri"/>
          <w:sz w:val="22"/>
          <w:szCs w:val="22"/>
        </w:rPr>
        <w:t xml:space="preserve">Ninety-nine central Asian universities are featured in the rankings from four countries, including Uzbekistan, Kazakhstan, Kyrgyzstan and Tajikistan. </w:t>
      </w:r>
    </w:p>
    <w:p w:rsidRPr="00F855A6" w:rsidR="005C75AD" w:rsidRDefault="005C75AD" w14:paraId="69B0CB5E" w14:textId="7C617B7D">
      <w:pPr>
        <w:rPr>
          <w:rFonts w:ascii="Calibri" w:hAnsi="Calibri" w:eastAsia="Times New Roman" w:cs="Calibri"/>
          <w:color w:val="1D1D1B"/>
          <w:kern w:val="0"/>
          <w:sz w:val="22"/>
          <w:szCs w:val="22"/>
          <w:lang w:eastAsia="en-GB"/>
          <w14:ligatures w14:val="none"/>
        </w:rPr>
      </w:pPr>
      <w:r>
        <w:rPr>
          <w:rFonts w:ascii="Calibri" w:hAnsi="Calibri" w:cs="Calibri"/>
          <w:sz w:val="22"/>
          <w:szCs w:val="22"/>
        </w:rPr>
        <w:lastRenderedPageBreak/>
        <w:t>Kazakhstan leads the subregion, claiming all of its top 100 positions, including highest ranked Farabi University, which places 46</w:t>
      </w:r>
      <w:r>
        <w:rPr>
          <w:rFonts w:ascii="Calibri" w:hAnsi="Calibri" w:cs="Calibri"/>
          <w:sz w:val="22"/>
          <w:szCs w:val="22"/>
          <w:vertAlign w:val="superscript"/>
        </w:rPr>
        <w:t>th</w:t>
      </w:r>
      <w:r>
        <w:rPr>
          <w:rFonts w:ascii="Calibri" w:hAnsi="Calibri" w:cs="Calibri"/>
          <w:sz w:val="22"/>
          <w:szCs w:val="22"/>
        </w:rPr>
        <w:t>. It is followed by L.N. Gumilyov Eurasian National University (ENU) and Satbayev University in 62</w:t>
      </w:r>
      <w:r>
        <w:rPr>
          <w:rFonts w:ascii="Calibri" w:hAnsi="Calibri" w:cs="Calibri"/>
          <w:sz w:val="22"/>
          <w:szCs w:val="22"/>
          <w:vertAlign w:val="superscript"/>
        </w:rPr>
        <w:t>nd</w:t>
      </w:r>
      <w:r>
        <w:rPr>
          <w:rFonts w:ascii="Calibri" w:hAnsi="Calibri" w:cs="Calibri"/>
          <w:sz w:val="22"/>
          <w:szCs w:val="22"/>
        </w:rPr>
        <w:t xml:space="preserve"> and 89</w:t>
      </w:r>
      <w:r>
        <w:rPr>
          <w:rFonts w:ascii="Calibri" w:hAnsi="Calibri" w:cs="Calibri"/>
          <w:sz w:val="22"/>
          <w:szCs w:val="22"/>
          <w:vertAlign w:val="superscript"/>
        </w:rPr>
        <w:t>th</w:t>
      </w:r>
      <w:r>
        <w:rPr>
          <w:rFonts w:ascii="Calibri" w:hAnsi="Calibri" w:cs="Calibri"/>
          <w:sz w:val="22"/>
          <w:szCs w:val="22"/>
        </w:rPr>
        <w:t>. Kazakhstan claims Central Asia’s only to</w:t>
      </w:r>
      <w:r w:rsidR="003977CD">
        <w:rPr>
          <w:rFonts w:ascii="Calibri" w:hAnsi="Calibri" w:cs="Calibri"/>
          <w:sz w:val="22"/>
          <w:szCs w:val="22"/>
        </w:rPr>
        <w:t>p</w:t>
      </w:r>
      <w:r>
        <w:rPr>
          <w:rFonts w:ascii="Calibri" w:hAnsi="Calibri" w:cs="Calibri"/>
          <w:sz w:val="22"/>
          <w:szCs w:val="22"/>
        </w:rPr>
        <w:t xml:space="preserve"> 20 indicator ranks, with Al Farabi placing 12</w:t>
      </w:r>
      <w:r>
        <w:rPr>
          <w:rFonts w:ascii="Calibri" w:hAnsi="Calibri" w:cs="Calibri"/>
          <w:sz w:val="22"/>
          <w:szCs w:val="22"/>
          <w:vertAlign w:val="superscript"/>
        </w:rPr>
        <w:t xml:space="preserve">th </w:t>
      </w:r>
      <w:r>
        <w:rPr>
          <w:rFonts w:ascii="Calibri" w:hAnsi="Calibri" w:cs="Calibri"/>
          <w:sz w:val="22"/>
          <w:szCs w:val="22"/>
        </w:rPr>
        <w:t xml:space="preserve">in Outbound Exchange, followed by </w:t>
      </w:r>
      <w:r>
        <w:rPr>
          <w:rFonts w:ascii="Calibri" w:hAnsi="Calibri" w:eastAsia="Times New Roman" w:cs="Calibri"/>
          <w:color w:val="1D1D1B"/>
          <w:kern w:val="0"/>
          <w:sz w:val="22"/>
          <w:szCs w:val="22"/>
          <w:lang w:eastAsia="en-GB"/>
          <w14:ligatures w14:val="none"/>
        </w:rPr>
        <w:t>NLC «Buketov Karaganda National Research University» in 18</w:t>
      </w:r>
      <w:r>
        <w:rPr>
          <w:rFonts w:ascii="Calibri" w:hAnsi="Calibri" w:eastAsia="Times New Roman" w:cs="Calibri"/>
          <w:color w:val="1D1D1B"/>
          <w:kern w:val="0"/>
          <w:sz w:val="22"/>
          <w:szCs w:val="22"/>
          <w:vertAlign w:val="superscript"/>
          <w:lang w:eastAsia="en-GB"/>
          <w14:ligatures w14:val="none"/>
        </w:rPr>
        <w:t>th</w:t>
      </w:r>
      <w:r>
        <w:rPr>
          <w:rFonts w:ascii="Calibri" w:hAnsi="Calibri" w:eastAsia="Times New Roman" w:cs="Calibri"/>
          <w:color w:val="1D1D1B"/>
          <w:kern w:val="0"/>
          <w:sz w:val="22"/>
          <w:szCs w:val="22"/>
          <w:lang w:eastAsia="en-GB"/>
          <w14:ligatures w14:val="none"/>
        </w:rPr>
        <w:t>, while Farabi University also places 12</w:t>
      </w:r>
      <w:r>
        <w:rPr>
          <w:rFonts w:ascii="Calibri" w:hAnsi="Calibri" w:eastAsia="Times New Roman" w:cs="Calibri"/>
          <w:color w:val="1D1D1B"/>
          <w:kern w:val="0"/>
          <w:sz w:val="22"/>
          <w:szCs w:val="22"/>
          <w:vertAlign w:val="superscript"/>
          <w:lang w:eastAsia="en-GB"/>
          <w14:ligatures w14:val="none"/>
        </w:rPr>
        <w:t>th</w:t>
      </w:r>
      <w:r>
        <w:rPr>
          <w:rFonts w:ascii="Calibri" w:hAnsi="Calibri" w:eastAsia="Times New Roman" w:cs="Calibri"/>
          <w:color w:val="1D1D1B"/>
          <w:kern w:val="0"/>
          <w:sz w:val="22"/>
          <w:szCs w:val="22"/>
          <w:lang w:eastAsia="en-GB"/>
          <w14:ligatures w14:val="none"/>
        </w:rPr>
        <w:t xml:space="preserve"> in Faculty per Student Ratio.</w:t>
      </w:r>
    </w:p>
    <w:p w:rsidRPr="00F855A6" w:rsidR="001074BC" w:rsidRDefault="001074BC" w14:paraId="19801926" w14:textId="3AAB20A9">
      <w:pPr>
        <w:rPr>
          <w:rFonts w:ascii="Calibri" w:hAnsi="Calibri" w:cs="Calibri"/>
          <w:sz w:val="22"/>
          <w:szCs w:val="22"/>
        </w:rPr>
      </w:pPr>
      <w:r>
        <w:rPr>
          <w:rFonts w:ascii="Calibri" w:hAnsi="Calibri" w:cs="Calibri"/>
          <w:sz w:val="22"/>
          <w:szCs w:val="22"/>
        </w:rPr>
        <w:t xml:space="preserve">Uzbekistan sees a </w:t>
      </w:r>
      <w:r>
        <w:rPr>
          <w:rFonts w:ascii="Calibri" w:hAnsi="Calibri" w:cs="Calibri"/>
          <w:sz w:val="22"/>
          <w:szCs w:val="22"/>
        </w:rPr>
        <w:t>17%</w:t>
      </w:r>
      <w:r>
        <w:rPr>
          <w:rFonts w:ascii="Calibri" w:hAnsi="Calibri" w:cs="Calibri"/>
          <w:sz w:val="22"/>
          <w:szCs w:val="22"/>
        </w:rPr>
        <w:t xml:space="preserve"> net improvement, with </w:t>
      </w:r>
      <w:r>
        <w:rPr>
          <w:rFonts w:ascii="Calibri" w:hAnsi="Calibri" w:cs="Calibri"/>
          <w:sz w:val="22"/>
          <w:szCs w:val="22"/>
        </w:rPr>
        <w:t>57%</w:t>
      </w:r>
      <w:r>
        <w:rPr>
          <w:rFonts w:ascii="Calibri" w:hAnsi="Calibri" w:cs="Calibri"/>
          <w:sz w:val="22"/>
          <w:szCs w:val="22"/>
        </w:rPr>
        <w:t xml:space="preserve"> of institutions improving and </w:t>
      </w:r>
      <w:r>
        <w:rPr>
          <w:rFonts w:ascii="Calibri" w:hAnsi="Calibri" w:cs="Calibri"/>
          <w:sz w:val="22"/>
          <w:szCs w:val="22"/>
        </w:rPr>
        <w:t>39%</w:t>
      </w:r>
      <w:r>
        <w:rPr>
          <w:rFonts w:ascii="Calibri" w:hAnsi="Calibri" w:cs="Calibri"/>
          <w:sz w:val="22"/>
          <w:szCs w:val="22"/>
        </w:rPr>
        <w:t xml:space="preserve"> declining.  It is also among the most expanded higher education systems in this edition, adding 15 universities. Its highest ranked university is Tashkent Institute of Irrigation and Agricultural Mechanization Engineers - National Research University (TIIAME-NRU) in 113</w:t>
      </w:r>
      <w:r>
        <w:rPr>
          <w:rFonts w:ascii="Calibri" w:hAnsi="Calibri" w:cs="Calibri"/>
          <w:sz w:val="22"/>
          <w:szCs w:val="22"/>
          <w:vertAlign w:val="superscript"/>
        </w:rPr>
        <w:t>th</w:t>
      </w:r>
      <w:r>
        <w:rPr>
          <w:rFonts w:ascii="Calibri" w:hAnsi="Calibri" w:cs="Calibri"/>
          <w:sz w:val="22"/>
          <w:szCs w:val="22"/>
        </w:rPr>
        <w:t>.</w:t>
      </w:r>
    </w:p>
    <w:p w:rsidRPr="00F855A6" w:rsidR="001074BC" w:rsidRDefault="001074BC" w14:paraId="60D73DC4" w14:textId="350E22C6">
      <w:pPr>
        <w:rPr>
          <w:rFonts w:ascii="Calibri" w:hAnsi="Calibri" w:eastAsia="Times New Roman" w:cs="Calibri"/>
          <w:color w:val="1D1D1B"/>
          <w:kern w:val="0"/>
          <w:sz w:val="22"/>
          <w:szCs w:val="22"/>
          <w:lang w:eastAsia="en-GB"/>
          <w14:ligatures w14:val="none"/>
        </w:rPr>
      </w:pPr>
      <w:r>
        <w:rPr>
          <w:rFonts w:ascii="Calibri" w:hAnsi="Calibri" w:cs="Calibri"/>
          <w:sz w:val="22"/>
          <w:szCs w:val="22"/>
        </w:rPr>
        <w:t xml:space="preserve">Kyrgyzstan experiences one of Asia’s sharpest net drop rates, with all </w:t>
      </w:r>
      <w:r w:rsidR="003977CD">
        <w:rPr>
          <w:rFonts w:ascii="Calibri" w:hAnsi="Calibri" w:cs="Calibri"/>
          <w:sz w:val="22"/>
          <w:szCs w:val="22"/>
        </w:rPr>
        <w:t>six</w:t>
      </w:r>
      <w:r>
        <w:rPr>
          <w:rFonts w:ascii="Calibri" w:hAnsi="Calibri" w:cs="Calibri"/>
          <w:sz w:val="22"/>
          <w:szCs w:val="22"/>
        </w:rPr>
        <w:t xml:space="preserve"> of its</w:t>
      </w:r>
      <w:r w:rsidR="003977CD">
        <w:rPr>
          <w:rFonts w:ascii="Calibri" w:hAnsi="Calibri" w:cs="Calibri"/>
          <w:sz w:val="22"/>
          <w:szCs w:val="22"/>
        </w:rPr>
        <w:t xml:space="preserve"> previously ranked</w:t>
      </w:r>
      <w:r>
        <w:rPr>
          <w:rFonts w:ascii="Calibri" w:hAnsi="Calibri" w:cs="Calibri"/>
          <w:sz w:val="22"/>
          <w:szCs w:val="22"/>
        </w:rPr>
        <w:t xml:space="preserve"> universities dropping down the table. Its top indicator performance is achieved by </w:t>
      </w:r>
      <w:r>
        <w:rPr>
          <w:rFonts w:ascii="Calibri" w:hAnsi="Calibri" w:eastAsia="Times New Roman" w:cs="Calibri"/>
          <w:color w:val="1D1D1B"/>
          <w:kern w:val="0"/>
          <w:sz w:val="22"/>
          <w:szCs w:val="22"/>
          <w:lang w:eastAsia="en-GB"/>
          <w14:ligatures w14:val="none"/>
        </w:rPr>
        <w:t>Kyrgyz Russian Slavic University, which places 33</w:t>
      </w:r>
      <w:r>
        <w:rPr>
          <w:rFonts w:ascii="Calibri" w:hAnsi="Calibri" w:eastAsia="Times New Roman" w:cs="Calibri"/>
          <w:color w:val="1D1D1B"/>
          <w:kern w:val="0"/>
          <w:sz w:val="22"/>
          <w:szCs w:val="22"/>
          <w:vertAlign w:val="superscript"/>
          <w:lang w:eastAsia="en-GB"/>
          <w14:ligatures w14:val="none"/>
        </w:rPr>
        <w:t>rd</w:t>
      </w:r>
      <w:r>
        <w:rPr>
          <w:rFonts w:ascii="Calibri" w:hAnsi="Calibri" w:eastAsia="Times New Roman" w:cs="Calibri"/>
          <w:color w:val="1D1D1B"/>
          <w:kern w:val="0"/>
          <w:sz w:val="22"/>
          <w:szCs w:val="22"/>
          <w:lang w:eastAsia="en-GB"/>
          <w14:ligatures w14:val="none"/>
        </w:rPr>
        <w:t xml:space="preserve"> in Faculty Student Ratio while its strongest indicator is International Student Ratio in which three Kyrgyz universities are in the top 50.</w:t>
      </w:r>
    </w:p>
    <w:p w:rsidR="00085161" w:rsidP="00E41226" w:rsidRDefault="00085161" w14:paraId="09DE0CFE" w14:textId="142285F2">
      <w:pPr>
        <w:pStyle w:val="paragraph"/>
        <w:spacing w:before="0" w:beforeAutospacing="0" w:after="160" w:afterAutospacing="0" w:line="360" w:lineRule="auto"/>
        <w:textAlignment w:val="baseline"/>
        <w:rPr>
          <w:rFonts w:ascii="Segoe UI" w:hAnsi="Segoe UI" w:cs="Segoe UI"/>
          <w:sz w:val="18"/>
          <w:szCs w:val="18"/>
        </w:rPr>
      </w:pPr>
      <w:r>
        <w:rPr>
          <w:rStyle w:val="normaltextrun"/>
          <w:rFonts w:ascii="Calibri" w:hAnsi="Calibri" w:cs="Calibri"/>
          <w:sz w:val="22"/>
          <w:szCs w:val="22"/>
          <w:lang w:val="en-US"/>
        </w:rPr>
        <w:t>The full </w:t>
      </w:r>
      <w:r>
        <w:rPr>
          <w:rStyle w:val="normaltextrun"/>
          <w:rFonts w:ascii="Calibri" w:hAnsi="Calibri" w:cs="Calibri"/>
          <w:b/>
          <w:bCs/>
          <w:sz w:val="22"/>
          <w:szCs w:val="22"/>
          <w:lang w:val="en-US"/>
        </w:rPr>
        <w:t>QS World University Rankings: Asia</w:t>
      </w:r>
      <w:r w:rsidR="003977CD">
        <w:rPr>
          <w:rStyle w:val="normaltextrun"/>
          <w:rFonts w:ascii="Calibri" w:hAnsi="Calibri" w:cs="Calibri"/>
          <w:b/>
          <w:bCs/>
          <w:sz w:val="22"/>
          <w:szCs w:val="22"/>
          <w:lang w:val="en-US"/>
        </w:rPr>
        <w:t xml:space="preserve"> 2027</w:t>
      </w:r>
      <w:r>
        <w:rPr>
          <w:rStyle w:val="normaltextrun"/>
          <w:rFonts w:ascii="Calibri" w:hAnsi="Calibri" w:cs="Calibri"/>
          <w:sz w:val="22"/>
          <w:szCs w:val="22"/>
          <w:lang w:val="en-US"/>
        </w:rPr>
        <w:t xml:space="preserve"> will be published when the embargo lifts and will be available at </w:t>
      </w:r>
      <w:hyperlink w:tgtFrame="_blank" w:history="1" r:id="rId15">
        <w:r>
          <w:rPr>
            <w:rStyle w:val="normaltextrun"/>
            <w:rFonts w:ascii="Calibri" w:hAnsi="Calibri" w:cs="Calibri"/>
            <w:color w:val="467886"/>
            <w:sz w:val="22"/>
            <w:szCs w:val="22"/>
            <w:u w:val="single"/>
          </w:rPr>
          <w:t>https://www.topuniversities.com/asia-university-rankings</w:t>
        </w:r>
      </w:hyperlink>
    </w:p>
    <w:p w:rsidR="00085161" w:rsidP="00E41226" w:rsidRDefault="00085161" w14:paraId="26A514A9" w14:textId="4F5456A9">
      <w:pPr>
        <w:pStyle w:val="paragraph"/>
        <w:spacing w:before="0" w:beforeAutospacing="0" w:after="160" w:afterAutospacing="0" w:line="360" w:lineRule="auto"/>
        <w:jc w:val="center"/>
        <w:textAlignment w:val="baseline"/>
        <w:rPr>
          <w:rFonts w:ascii="Segoe UI" w:hAnsi="Segoe UI" w:cs="Segoe UI"/>
          <w:sz w:val="18"/>
          <w:szCs w:val="18"/>
        </w:rPr>
      </w:pPr>
      <w:r>
        <w:rPr>
          <w:rStyle w:val="normaltextrun"/>
          <w:rFonts w:ascii="Calibri" w:hAnsi="Calibri" w:cs="Calibri"/>
          <w:sz w:val="22"/>
          <w:szCs w:val="22"/>
        </w:rPr>
        <w:t> -Ends-</w:t>
      </w:r>
    </w:p>
    <w:p w:rsidR="00085161" w:rsidP="00E41226" w:rsidRDefault="00085161" w14:paraId="26166D90" w14:textId="0537F8E7">
      <w:pPr>
        <w:pStyle w:val="paragraph"/>
        <w:spacing w:before="0" w:beforeAutospacing="0" w:after="160" w:afterAutospacing="0" w:line="360" w:lineRule="auto"/>
        <w:textAlignment w:val="baseline"/>
        <w:rPr>
          <w:rFonts w:ascii="Segoe UI" w:hAnsi="Segoe UI" w:cs="Segoe UI"/>
          <w:sz w:val="18"/>
          <w:szCs w:val="18"/>
        </w:rPr>
      </w:pPr>
      <w:r>
        <w:rPr>
          <w:rStyle w:val="normaltextrun"/>
          <w:rFonts w:ascii="Calibri" w:hAnsi="Calibri" w:cs="Calibri"/>
          <w:sz w:val="22"/>
          <w:szCs w:val="22"/>
        </w:rPr>
        <w:t>For further information or to request interviews with QS’ analysts, please contact:</w:t>
      </w:r>
    </w:p>
    <w:p w:rsidR="00085161" w:rsidP="00085161" w:rsidRDefault="00085161" w14:paraId="74B80210" w14:textId="77777777">
      <w:pPr>
        <w:pStyle w:val="paragraph"/>
        <w:spacing w:before="0" w:beforeAutospacing="0" w:after="0" w:afterAutospacing="0"/>
        <w:textAlignment w:val="baseline"/>
        <w:rPr>
          <w:rStyle w:val="normaltextrun"/>
          <w:rFonts w:ascii="Calibri" w:hAnsi="Calibri" w:cs="Calibri"/>
          <w:b/>
          <w:bCs/>
          <w:sz w:val="22"/>
          <w:szCs w:val="22"/>
          <w:lang w:val="en-US"/>
        </w:rPr>
      </w:pPr>
    </w:p>
    <w:p w:rsidR="00085161" w:rsidP="00085161" w:rsidRDefault="00085161" w14:paraId="457602CE" w14:textId="0E7D371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lang w:val="en-US"/>
        </w:rPr>
        <w:t>Simona Bizzozero</w:t>
      </w:r>
      <w:r>
        <w:rPr>
          <w:rStyle w:val="normaltextrun"/>
          <w:rFonts w:ascii="Calibri" w:hAnsi="Calibri" w:cs="Calibri"/>
          <w:sz w:val="22"/>
          <w:szCs w:val="22"/>
          <w:lang w:val="en-US"/>
        </w:rPr>
        <w:t> </w:t>
      </w:r>
      <w:r>
        <w:rPr>
          <w:rStyle w:val="normaltextrun"/>
          <w:rFonts w:ascii="Calibri" w:hAnsi="Calibri" w:cs="Calibri"/>
          <w:sz w:val="22"/>
          <w:szCs w:val="22"/>
        </w:rPr>
        <w:t>  </w:t>
      </w:r>
      <w:r>
        <w:rPr>
          <w:rStyle w:val="scxw71081273"/>
          <w:rFonts w:ascii="Calibri" w:hAnsi="Calibri" w:cs="Calibri"/>
          <w:sz w:val="22"/>
          <w:szCs w:val="22"/>
        </w:rPr>
        <w:t> </w:t>
      </w:r>
      <w:r>
        <w:rPr>
          <w:rFonts w:ascii="Calibri" w:hAnsi="Calibri" w:cs="Calibri"/>
          <w:sz w:val="22"/>
          <w:szCs w:val="22"/>
        </w:rPr>
        <w:br/>
      </w:r>
      <w:r>
        <w:rPr>
          <w:rStyle w:val="normaltextrun"/>
          <w:rFonts w:ascii="Calibri" w:hAnsi="Calibri" w:cs="Calibri"/>
          <w:sz w:val="22"/>
          <w:szCs w:val="22"/>
          <w:lang w:val="en-US"/>
        </w:rPr>
        <w:t>Director of Communications, QS </w:t>
      </w:r>
      <w:r>
        <w:rPr>
          <w:rStyle w:val="normaltextrun"/>
          <w:rFonts w:ascii="Calibri" w:hAnsi="Calibri" w:cs="Calibri"/>
          <w:sz w:val="22"/>
          <w:szCs w:val="22"/>
        </w:rPr>
        <w:t>  </w:t>
      </w:r>
      <w:r>
        <w:rPr>
          <w:rStyle w:val="scxw71081273"/>
          <w:rFonts w:ascii="Calibri" w:hAnsi="Calibri" w:cs="Calibri"/>
          <w:sz w:val="22"/>
          <w:szCs w:val="22"/>
        </w:rPr>
        <w:t> </w:t>
      </w:r>
      <w:r>
        <w:rPr>
          <w:rFonts w:ascii="Calibri" w:hAnsi="Calibri" w:cs="Calibri"/>
          <w:sz w:val="22"/>
          <w:szCs w:val="22"/>
        </w:rPr>
        <w:br/>
      </w:r>
      <w:r>
        <w:rPr>
          <w:rStyle w:val="normaltextrun"/>
          <w:rFonts w:ascii="Calibri" w:hAnsi="Calibri" w:cs="Calibri"/>
          <w:sz w:val="22"/>
          <w:szCs w:val="22"/>
          <w:lang w:val="en-US"/>
        </w:rPr>
        <w:t>simona@qs.com |  +44 (0) 7880 620856 |</w:t>
      </w:r>
      <w:r>
        <w:rPr>
          <w:rStyle w:val="normaltextrun"/>
          <w:rFonts w:ascii="Calibri" w:hAnsi="Calibri" w:cs="Calibri"/>
          <w:sz w:val="22"/>
          <w:szCs w:val="22"/>
        </w:rPr>
        <w:t> </w:t>
      </w:r>
      <w:hyperlink w:tgtFrame="_blank" w:history="1" r:id="rId16">
        <w:r>
          <w:rPr>
            <w:rStyle w:val="normaltextrun"/>
            <w:rFonts w:ascii="Calibri" w:hAnsi="Calibri" w:cs="Calibri"/>
            <w:color w:val="467886"/>
            <w:sz w:val="22"/>
            <w:szCs w:val="22"/>
            <w:u w:val="single"/>
            <w:lang w:val="en-US"/>
          </w:rPr>
          <w:t>LinkedIn</w:t>
        </w:r>
      </w:hyperlink>
      <w:r>
        <w:rPr>
          <w:rStyle w:val="normaltextrun"/>
          <w:rFonts w:ascii="Calibri" w:hAnsi="Calibri" w:cs="Calibri"/>
          <w:sz w:val="22"/>
          <w:szCs w:val="22"/>
          <w:lang w:val="en-US"/>
        </w:rPr>
        <w:t> </w:t>
      </w:r>
      <w:r>
        <w:rPr>
          <w:rStyle w:val="normaltextrun"/>
          <w:rFonts w:ascii="Calibri" w:hAnsi="Calibri" w:cs="Calibri"/>
          <w:sz w:val="22"/>
          <w:szCs w:val="22"/>
        </w:rPr>
        <w:t> </w:t>
      </w:r>
    </w:p>
    <w:p w:rsidR="00085161" w:rsidP="00085161" w:rsidRDefault="00085161" w14:paraId="5B567C57" w14:textId="0ADA8A80">
      <w:pPr>
        <w:pStyle w:val="paragraph"/>
        <w:spacing w:before="0" w:beforeAutospacing="0" w:after="0" w:afterAutospacing="0"/>
        <w:textAlignment w:val="baseline"/>
        <w:rPr>
          <w:rFonts w:ascii="Segoe UI" w:hAnsi="Segoe UI" w:cs="Segoe UI"/>
          <w:sz w:val="18"/>
          <w:szCs w:val="18"/>
        </w:rPr>
      </w:pPr>
    </w:p>
    <w:p w:rsidR="00085161" w:rsidP="00085161" w:rsidRDefault="00085161" w14:paraId="1FECF7D7" w14:textId="4739AE2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lang w:val="en-US"/>
        </w:rPr>
        <w:t>Will Barbieri </w:t>
      </w:r>
      <w:r>
        <w:rPr>
          <w:rStyle w:val="normaltextrun"/>
          <w:rFonts w:ascii="Calibri" w:hAnsi="Calibri" w:cs="Calibri"/>
          <w:sz w:val="22"/>
          <w:szCs w:val="22"/>
          <w:lang w:val="en-US"/>
        </w:rPr>
        <w:t> </w:t>
      </w:r>
      <w:r>
        <w:rPr>
          <w:rStyle w:val="normaltextrun"/>
          <w:rFonts w:ascii="Calibri" w:hAnsi="Calibri" w:cs="Calibri"/>
          <w:sz w:val="22"/>
          <w:szCs w:val="22"/>
        </w:rPr>
        <w:t>  </w:t>
      </w:r>
      <w:r>
        <w:rPr>
          <w:rStyle w:val="scxw71081273"/>
          <w:rFonts w:ascii="Calibri" w:hAnsi="Calibri" w:cs="Calibri"/>
          <w:sz w:val="22"/>
          <w:szCs w:val="22"/>
        </w:rPr>
        <w:t> </w:t>
      </w:r>
      <w:r>
        <w:rPr>
          <w:rFonts w:ascii="Calibri" w:hAnsi="Calibri" w:cs="Calibri"/>
          <w:sz w:val="22"/>
          <w:szCs w:val="22"/>
        </w:rPr>
        <w:br/>
      </w:r>
      <w:r>
        <w:rPr>
          <w:rStyle w:val="normaltextrun"/>
          <w:rFonts w:ascii="Calibri" w:hAnsi="Calibri" w:cs="Calibri"/>
          <w:sz w:val="22"/>
          <w:szCs w:val="22"/>
          <w:lang w:val="en-US"/>
        </w:rPr>
        <w:t>Communications Specialist, QS</w:t>
      </w:r>
    </w:p>
    <w:p w:rsidR="00085161" w:rsidP="00085161" w:rsidRDefault="00085161" w14:paraId="60ECAB9A" w14:textId="6DBB585C">
      <w:pPr>
        <w:pStyle w:val="paragraph"/>
        <w:spacing w:before="0" w:beforeAutospacing="0" w:after="0" w:afterAutospacing="0"/>
        <w:textAlignment w:val="baseline"/>
        <w:rPr>
          <w:rFonts w:ascii="Segoe UI" w:hAnsi="Segoe UI" w:cs="Segoe UI"/>
          <w:sz w:val="18"/>
          <w:szCs w:val="18"/>
        </w:rPr>
      </w:pPr>
      <w:hyperlink w:tgtFrame="_blank" w:history="1" r:id="rId17">
        <w:r>
          <w:rPr>
            <w:rStyle w:val="normaltextrun"/>
            <w:rFonts w:ascii="Calibri" w:hAnsi="Calibri" w:cs="Calibri"/>
            <w:color w:val="467886"/>
            <w:sz w:val="22"/>
            <w:szCs w:val="22"/>
            <w:u w:val="single"/>
            <w:lang w:val="en-US"/>
          </w:rPr>
          <w:t>William.barbieri@qs.com</w:t>
        </w:r>
      </w:hyperlink>
    </w:p>
    <w:p w:rsidR="00085161" w:rsidP="00085161" w:rsidRDefault="00085161" w14:paraId="72800B22" w14:textId="2C41A749">
      <w:pPr>
        <w:pStyle w:val="paragraph"/>
        <w:spacing w:before="0" w:beforeAutospacing="0" w:after="0" w:afterAutospacing="0"/>
        <w:textAlignment w:val="baseline"/>
        <w:rPr>
          <w:rFonts w:ascii="Segoe UI" w:hAnsi="Segoe UI" w:cs="Segoe UI"/>
          <w:sz w:val="18"/>
          <w:szCs w:val="18"/>
        </w:rPr>
      </w:pPr>
    </w:p>
    <w:p w:rsidR="00085161" w:rsidP="00E41226" w:rsidRDefault="00085161" w14:paraId="35380F8A" w14:textId="648A6495">
      <w:pPr>
        <w:pStyle w:val="paragraph"/>
        <w:spacing w:before="0" w:beforeAutospacing="0" w:after="160" w:afterAutospacing="0" w:line="360" w:lineRule="auto"/>
        <w:textAlignment w:val="baseline"/>
        <w:rPr>
          <w:rFonts w:ascii="Segoe UI" w:hAnsi="Segoe UI" w:cs="Segoe UI"/>
          <w:sz w:val="18"/>
          <w:szCs w:val="18"/>
        </w:rPr>
      </w:pPr>
      <w:r>
        <w:rPr>
          <w:rStyle w:val="normaltextrun"/>
          <w:rFonts w:ascii="Calibri" w:hAnsi="Calibri" w:cs="Calibri"/>
          <w:b/>
          <w:bCs/>
          <w:sz w:val="22"/>
          <w:szCs w:val="22"/>
          <w:u w:val="single"/>
          <w:lang w:val="en-US"/>
        </w:rPr>
        <w:t>Notes for Editors</w:t>
      </w:r>
    </w:p>
    <w:p w:rsidRPr="00E41226" w:rsidR="00085161" w:rsidP="00E41226" w:rsidRDefault="00085161" w14:paraId="42B8E219" w14:textId="215C147B">
      <w:pPr>
        <w:pStyle w:val="paragraph"/>
        <w:spacing w:before="0" w:beforeAutospacing="0" w:after="160" w:afterAutospacing="0" w:line="360" w:lineRule="auto"/>
        <w:textAlignment w:val="baseline"/>
        <w:rPr>
          <w:rFonts w:ascii="Segoe UI" w:hAnsi="Segoe UI" w:cs="Segoe UI"/>
          <w:sz w:val="18"/>
          <w:szCs w:val="18"/>
        </w:rPr>
      </w:pPr>
      <w:r>
        <w:rPr>
          <w:rStyle w:val="normaltextrun"/>
          <w:rFonts w:ascii="Calibri" w:hAnsi="Calibri" w:cs="Calibri"/>
          <w:b/>
          <w:bCs/>
          <w:sz w:val="22"/>
          <w:szCs w:val="22"/>
        </w:rPr>
        <w:t>QS Quacquarelli Symonds</w:t>
      </w:r>
      <w:r>
        <w:rPr>
          <w:rStyle w:val="normaltextrun"/>
          <w:rFonts w:ascii="Calibri" w:hAnsi="Calibri" w:cs="Calibri"/>
          <w:sz w:val="22"/>
          <w:szCs w:val="22"/>
        </w:rPr>
        <w:t> </w:t>
      </w:r>
      <w:r>
        <w:rPr>
          <w:rStyle w:val="normaltextrun"/>
          <w:rFonts w:ascii="Calibri" w:hAnsi="Calibri" w:cs="Calibri"/>
          <w:sz w:val="22"/>
          <w:szCs w:val="22"/>
          <w:lang w:val="en-US"/>
        </w:rPr>
        <w:t>is the world’s leading provider of services, analytics, and insight to the global higher education sector, whose mission is to </w:t>
      </w:r>
      <w:r>
        <w:rPr>
          <w:rStyle w:val="normaltextrun"/>
          <w:rFonts w:ascii="Calibri" w:hAnsi="Calibri" w:cs="Calibri"/>
          <w:sz w:val="22"/>
          <w:szCs w:val="22"/>
        </w:rPr>
        <w:t>empower motivated people anywhere in the world to fulfil their potential through educational achievement, international mobility, and career development</w:t>
      </w:r>
      <w:r>
        <w:rPr>
          <w:rStyle w:val="normaltextrun"/>
          <w:rFonts w:ascii="Calibri" w:hAnsi="Calibri" w:cs="Calibri"/>
          <w:i/>
          <w:iCs/>
          <w:sz w:val="22"/>
          <w:szCs w:val="22"/>
        </w:rPr>
        <w:t>.</w:t>
      </w:r>
    </w:p>
    <w:p w:rsidR="00085161" w:rsidP="00E41226" w:rsidRDefault="00085161" w14:paraId="49C69F11" w14:textId="681FA725">
      <w:pPr>
        <w:pStyle w:val="paragraph"/>
        <w:spacing w:before="0" w:beforeAutospacing="0" w:after="160" w:afterAutospacing="0" w:line="360" w:lineRule="auto"/>
        <w:textAlignment w:val="baseline"/>
        <w:rPr>
          <w:rFonts w:ascii="Segoe UI" w:hAnsi="Segoe UI" w:cs="Segoe UI"/>
          <w:sz w:val="18"/>
          <w:szCs w:val="18"/>
        </w:rPr>
      </w:pPr>
      <w:r>
        <w:rPr>
          <w:rStyle w:val="normaltextrun"/>
          <w:rFonts w:ascii="Calibri" w:hAnsi="Calibri" w:cs="Calibri"/>
          <w:sz w:val="22"/>
          <w:szCs w:val="22"/>
          <w:lang w:val="en-US"/>
        </w:rPr>
        <w:t>The </w:t>
      </w:r>
      <w:r>
        <w:rPr>
          <w:rStyle w:val="normaltextrun"/>
          <w:rFonts w:ascii="Calibri" w:hAnsi="Calibri" w:cs="Calibri"/>
          <w:i/>
          <w:iCs/>
          <w:sz w:val="22"/>
          <w:szCs w:val="22"/>
          <w:lang w:val="en-US"/>
        </w:rPr>
        <w:t>QS World University Rankings </w:t>
      </w:r>
      <w:r>
        <w:rPr>
          <w:rStyle w:val="normaltextrun"/>
          <w:rFonts w:ascii="Calibri" w:hAnsi="Calibri" w:cs="Calibri"/>
          <w:sz w:val="22"/>
          <w:szCs w:val="22"/>
          <w:lang w:val="en-US"/>
        </w:rPr>
        <w:t>portfolio, inaugurated in 2004, is the world’s most popular source of comparative data about university performance.</w:t>
      </w:r>
    </w:p>
    <w:p w:rsidR="00085161" w:rsidP="00E41226" w:rsidRDefault="00085161" w14:paraId="63D11BAD" w14:textId="77777777">
      <w:pPr>
        <w:pStyle w:val="paragraph"/>
        <w:spacing w:before="0" w:beforeAutospacing="0" w:after="160" w:afterAutospacing="0" w:line="360" w:lineRule="auto"/>
        <w:textAlignment w:val="baseline"/>
        <w:rPr>
          <w:rFonts w:ascii="Segoe UI" w:hAnsi="Segoe UI" w:cs="Segoe UI"/>
          <w:sz w:val="18"/>
          <w:szCs w:val="18"/>
        </w:rPr>
      </w:pPr>
      <w:r>
        <w:rPr>
          <w:rStyle w:val="normaltextrun"/>
          <w:rFonts w:ascii="Segoe UI" w:hAnsi="Segoe UI" w:cs="Segoe UI"/>
          <w:b/>
          <w:bCs/>
          <w:sz w:val="18"/>
          <w:szCs w:val="18"/>
          <w:u w:val="single"/>
        </w:rPr>
        <w:t>Appendix</w:t>
      </w:r>
    </w:p>
    <w:tbl>
      <w:tblPr>
        <w:tblW w:w="9209" w:type="dxa"/>
        <w:jc w:val="center"/>
        <w:tblLook w:val="04A0" w:firstRow="1" w:lastRow="0" w:firstColumn="1" w:lastColumn="0" w:noHBand="0" w:noVBand="1"/>
      </w:tblPr>
      <w:tblGrid>
        <w:gridCol w:w="1129"/>
        <w:gridCol w:w="1134"/>
        <w:gridCol w:w="993"/>
        <w:gridCol w:w="4252"/>
        <w:gridCol w:w="1701"/>
      </w:tblGrid>
      <w:tr w:rsidRPr="0040781A" w:rsidR="0040781A" w:rsidTr="0040781A" w14:paraId="28C8EEF0" w14:textId="77777777">
        <w:trPr>
          <w:trHeight w:val="300"/>
          <w:jc w:val="center"/>
        </w:trPr>
        <w:tc>
          <w:tcPr>
            <w:tcW w:w="9209" w:type="dxa"/>
            <w:gridSpan w:val="5"/>
            <w:tcBorders>
              <w:top w:val="single" w:color="auto" w:sz="4" w:space="0"/>
              <w:left w:val="single" w:color="auto" w:sz="4" w:space="0"/>
              <w:bottom w:val="single" w:color="auto" w:sz="4" w:space="0"/>
              <w:right w:val="single" w:color="auto" w:sz="4" w:space="0"/>
            </w:tcBorders>
            <w:noWrap/>
            <w:vAlign w:val="bottom"/>
            <w:hideMark/>
          </w:tcPr>
          <w:p w:rsidRPr="0040781A" w:rsidR="0040781A" w:rsidP="0040781A" w:rsidRDefault="0040781A" w14:paraId="07BE40CF" w14:textId="14FAE067">
            <w:pPr>
              <w:spacing w:after="0" w:line="240" w:lineRule="auto"/>
              <w:jc w:val="center"/>
              <w:rPr>
                <w:rFonts w:ascii="Calibri" w:hAnsi="Calibri" w:eastAsia="Times New Roman" w:cs="Calibri"/>
                <w:b/>
                <w:bCs/>
                <w:kern w:val="0"/>
                <w:sz w:val="20"/>
                <w:szCs w:val="20"/>
                <w:lang w:eastAsia="en-GB"/>
                <w14:ligatures w14:val="none"/>
              </w:rPr>
            </w:pPr>
            <w:r>
              <w:rPr>
                <w:rFonts w:ascii="Calibri" w:hAnsi="Calibri" w:eastAsia="Times New Roman" w:cs="Calibri"/>
                <w:b/>
                <w:bCs/>
                <w:kern w:val="0"/>
                <w:sz w:val="20"/>
                <w:szCs w:val="20"/>
                <w:lang w:eastAsia="en-GB"/>
                <w14:ligatures w14:val="none"/>
              </w:rPr>
              <w:lastRenderedPageBreak/>
              <w:t>Table 4: Asia - Top 50</w:t>
            </w:r>
          </w:p>
        </w:tc>
      </w:tr>
      <w:tr w:rsidRPr="0040781A" w:rsidR="0040781A" w:rsidTr="0040781A" w14:paraId="7ED74D0F" w14:textId="77777777">
        <w:trPr>
          <w:trHeight w:val="300"/>
          <w:jc w:val="center"/>
        </w:trPr>
        <w:tc>
          <w:tcPr>
            <w:tcW w:w="1129" w:type="dxa"/>
            <w:tcBorders>
              <w:top w:val="nil"/>
              <w:left w:val="single" w:color="auto" w:sz="4" w:space="0"/>
              <w:bottom w:val="single" w:color="auto" w:sz="4" w:space="0"/>
              <w:right w:val="single" w:color="auto" w:sz="4" w:space="0"/>
            </w:tcBorders>
            <w:vAlign w:val="center"/>
            <w:hideMark/>
          </w:tcPr>
          <w:p w:rsidRPr="0040781A" w:rsidR="0040781A" w:rsidP="0040781A" w:rsidRDefault="0040781A" w14:paraId="3F832755"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2027 Rank</w:t>
            </w:r>
          </w:p>
        </w:tc>
        <w:tc>
          <w:tcPr>
            <w:tcW w:w="1134" w:type="dxa"/>
            <w:tcBorders>
              <w:top w:val="nil"/>
              <w:left w:val="nil"/>
              <w:bottom w:val="single" w:color="auto" w:sz="4" w:space="0"/>
              <w:right w:val="single" w:color="auto" w:sz="4" w:space="0"/>
            </w:tcBorders>
            <w:vAlign w:val="center"/>
            <w:hideMark/>
          </w:tcPr>
          <w:p w:rsidRPr="0040781A" w:rsidR="0040781A" w:rsidP="0040781A" w:rsidRDefault="0040781A" w14:paraId="2588BFEC"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2026 Rank</w:t>
            </w:r>
          </w:p>
        </w:tc>
        <w:tc>
          <w:tcPr>
            <w:tcW w:w="993" w:type="dxa"/>
            <w:tcBorders>
              <w:top w:val="nil"/>
              <w:left w:val="nil"/>
              <w:bottom w:val="single" w:color="auto" w:sz="4" w:space="0"/>
              <w:right w:val="single" w:color="auto" w:sz="4" w:space="0"/>
            </w:tcBorders>
            <w:vAlign w:val="center"/>
            <w:hideMark/>
          </w:tcPr>
          <w:p w:rsidRPr="0040781A" w:rsidR="0040781A" w:rsidP="0040781A" w:rsidRDefault="0040781A" w14:paraId="0A37849F"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WUR Rank</w:t>
            </w:r>
          </w:p>
        </w:tc>
        <w:tc>
          <w:tcPr>
            <w:tcW w:w="4252" w:type="dxa"/>
            <w:tcBorders>
              <w:top w:val="nil"/>
              <w:left w:val="nil"/>
              <w:bottom w:val="single" w:color="auto" w:sz="4" w:space="0"/>
              <w:right w:val="single" w:color="auto" w:sz="4" w:space="0"/>
            </w:tcBorders>
            <w:vAlign w:val="center"/>
            <w:hideMark/>
          </w:tcPr>
          <w:p w:rsidRPr="0040781A" w:rsidR="0040781A" w:rsidP="0040781A" w:rsidRDefault="0040781A" w14:paraId="0EE790F8" w14:textId="77777777">
            <w:pPr>
              <w:spacing w:after="0" w:line="240" w:lineRule="auto"/>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Institution</w:t>
            </w:r>
          </w:p>
        </w:tc>
        <w:tc>
          <w:tcPr>
            <w:tcW w:w="1701" w:type="dxa"/>
            <w:tcBorders>
              <w:top w:val="nil"/>
              <w:left w:val="nil"/>
              <w:bottom w:val="single" w:color="auto" w:sz="4" w:space="0"/>
              <w:right w:val="single" w:color="auto" w:sz="4" w:space="0"/>
            </w:tcBorders>
            <w:vAlign w:val="center"/>
            <w:hideMark/>
          </w:tcPr>
          <w:p w:rsidRPr="0040781A" w:rsidR="0040781A" w:rsidP="0040781A" w:rsidRDefault="0040781A" w14:paraId="64B13F53" w14:textId="77777777">
            <w:pPr>
              <w:spacing w:after="0" w:line="240" w:lineRule="auto"/>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Location</w:t>
            </w:r>
          </w:p>
        </w:tc>
      </w:tr>
      <w:tr w:rsidRPr="0040781A" w:rsidR="0040781A" w:rsidTr="0040781A" w14:paraId="7F509DC3"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24B42699"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2E396FA9"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6C7D6316"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11</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214F21C7"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The University of Hong Kong</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73CFA096"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Hong Kong SAR, China</w:t>
            </w:r>
          </w:p>
        </w:tc>
      </w:tr>
      <w:tr w:rsidRPr="0040781A" w:rsidR="0040781A" w:rsidTr="0040781A" w14:paraId="0BD06155"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52C14B08"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5C686239"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2B8D0943"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13</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5CA92009"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Peking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5F3EEB29"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40781A" w:rsidR="0040781A" w:rsidTr="0040781A" w14:paraId="35E4F705"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5432C0C3"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3</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3A19CC3C"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9</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0ABCFA02"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14</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0ECFDAE6"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Tsinghua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570D578F"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40781A" w:rsidR="0040781A" w:rsidTr="0040781A" w14:paraId="0245F7AE"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2BE54E23"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4</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16F36DF5"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7</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13CE104C"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52</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6353E13D"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City University of Hong Kong (CityUHK)</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23F4D2C1"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Hong Kong SAR, China</w:t>
            </w:r>
          </w:p>
        </w:tc>
      </w:tr>
      <w:tr w:rsidRPr="0040781A" w:rsidR="0040781A" w:rsidTr="0040781A" w14:paraId="27EC3D2C"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513B7F37"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5</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728C32E0"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7</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0788C0A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18</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245465B8"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The Chinese University of Hong Kong (CUHK)</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54CF1883"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Hong Kong SAR, China</w:t>
            </w:r>
          </w:p>
        </w:tc>
      </w:tr>
      <w:tr w:rsidRPr="0040781A" w:rsidR="0040781A" w:rsidTr="0040781A" w14:paraId="5C5D0211"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2CF383D2"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6</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1514EA08"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5E62E71B"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26</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1348EB7A"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Fudan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6F7E53AD"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40781A" w:rsidR="0040781A" w:rsidTr="0040781A" w14:paraId="03804BC3"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77252781"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6</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67697E31"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551B013B"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10</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080B0FB3"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National University of Singapore (NUS)</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2B6602A5"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Singapore</w:t>
            </w:r>
          </w:p>
        </w:tc>
      </w:tr>
      <w:tr w:rsidRPr="0040781A" w:rsidR="0040781A" w:rsidTr="0040781A" w14:paraId="16DD7D04"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6BE726D1"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8</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1DC91BDC"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473E8B2E"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12</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456E4FC2"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Nanyang Technological University, Singapore (NTU Singapore)</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33F69C78"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Singapore</w:t>
            </w:r>
          </w:p>
        </w:tc>
      </w:tr>
      <w:tr w:rsidRPr="0040781A" w:rsidR="0040781A" w:rsidTr="0040781A" w14:paraId="358192F9"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4A11B8A0"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9</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24E4B87B"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6</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7585FEC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33</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308D008D"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The Hong Kong University of Science and Technology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2C5AE14A"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Hong Kong SAR, China</w:t>
            </w:r>
          </w:p>
        </w:tc>
      </w:tr>
      <w:tr w:rsidRPr="0040781A" w:rsidR="0040781A" w:rsidTr="0040781A" w14:paraId="4BD617E9"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46F0320C"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9</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07BCDD2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10</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737D4FD3"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50</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296C3B01"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The Hong Kong Polytechnic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382057D3"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Hong Kong SAR, China</w:t>
            </w:r>
          </w:p>
        </w:tc>
      </w:tr>
      <w:tr w:rsidRPr="0040781A" w:rsidR="0040781A" w:rsidTr="0040781A" w14:paraId="69CF98A9"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6F6032D0"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11</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588A485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11</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4C068906"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42</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31C38D56"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Yonsei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3611F422"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Republic of Korea</w:t>
            </w:r>
          </w:p>
        </w:tc>
      </w:tr>
      <w:tr w:rsidRPr="0040781A" w:rsidR="0040781A" w:rsidTr="0040781A" w14:paraId="1C424821"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5C208334"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12</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66564CB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12</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17CAC940"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52</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599766E1"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Korea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20529C48"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Republic of Korea</w:t>
            </w:r>
          </w:p>
        </w:tc>
      </w:tr>
      <w:tr w:rsidRPr="0040781A" w:rsidR="0040781A" w:rsidTr="0040781A" w14:paraId="174437EF"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35D5E8E4"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13</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6A543091"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13</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3AD81E4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36</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100EE124"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Shanghai Jiao Tong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25DFD6E8"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40781A" w:rsidR="0040781A" w:rsidTr="0040781A" w14:paraId="544DACAB"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2F228166"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14</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59CAFB06"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14</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5B0CEE45"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47</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1A1DA5C9"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Zhejiang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7E6DC5E4"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40781A" w:rsidR="0040781A" w:rsidTr="0040781A" w14:paraId="21878B2E"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42E60B3D"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15</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0E4A0B50"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16</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49A0C1F8"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108</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373E32FE"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Sungkyunkwan University (SKKU)</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68370354"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Republic of Korea</w:t>
            </w:r>
          </w:p>
        </w:tc>
      </w:tr>
      <w:tr w:rsidRPr="0040781A" w:rsidR="0040781A" w:rsidTr="0040781A" w14:paraId="59B8E20D"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67F31922"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15</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74181ABE"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 </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5BC6F2B8"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65</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7A5A54E2"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KAIST</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76774C59"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Republic of Korea</w:t>
            </w:r>
          </w:p>
        </w:tc>
      </w:tr>
      <w:tr w:rsidRPr="0040781A" w:rsidR="0040781A" w:rsidTr="0040781A" w14:paraId="63B0288C"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24C4DFF8"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16</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2FD0FF5E"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17</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7FE17D8E"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38</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089AAA93"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Seoul National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308E71CA"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Republic of Korea</w:t>
            </w:r>
          </w:p>
        </w:tc>
      </w:tr>
      <w:tr w:rsidRPr="0040781A" w:rsidR="0040781A" w:rsidTr="0040781A" w14:paraId="6299E23E"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78107EB6"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17</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2BDA15F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15</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688A46C7"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56</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1BCA1F28"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Universiti Malaya (UM)</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3419F35C"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Malaysia</w:t>
            </w:r>
          </w:p>
        </w:tc>
      </w:tr>
      <w:tr w:rsidRPr="0040781A" w:rsidR="0040781A" w:rsidTr="0040781A" w14:paraId="02540857"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44894BD9"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17</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622FB02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19</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5A86A136"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90</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79E37FE9"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Nanjing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27AF120B"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40781A" w:rsidR="0040781A" w:rsidTr="0040781A" w14:paraId="291EC90C"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6CD0AB00"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19</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1C3CFE17"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20</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6AEC6FB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155</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0B871554"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Hanyang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5849FA93"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Republic of Korea</w:t>
            </w:r>
          </w:p>
        </w:tc>
      </w:tr>
      <w:tr w:rsidRPr="0040781A" w:rsidR="0040781A" w:rsidTr="0040781A" w14:paraId="11415653"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1D139D90"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20</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14906CB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24</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03A856D2"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130</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6C1766B1"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Universiti Kebangsaan Malaysia (UKM)</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58CB7B2D"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Malaysia</w:t>
            </w:r>
          </w:p>
        </w:tc>
      </w:tr>
      <w:tr w:rsidRPr="0040781A" w:rsidR="0040781A" w:rsidTr="0040781A" w14:paraId="3F599B22"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129973FD"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20</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24036F7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21</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32D8687F"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134</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332DAD6C"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University of Science and Technology of China</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7A62E78A"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40781A" w:rsidR="0040781A" w:rsidTr="0040781A" w14:paraId="32C7C8BD"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6BA146E2"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22</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25293CA5"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18</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3A085930"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106</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6D5258B5"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Pohang University of Science And Technology (POSTECH)</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0B220288"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Republic of Korea</w:t>
            </w:r>
          </w:p>
        </w:tc>
      </w:tr>
      <w:tr w:rsidRPr="0040781A" w:rsidR="0040781A" w:rsidTr="0040781A" w14:paraId="20352F86"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356CD061"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23</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2A82EB49"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23</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7B892562"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54</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576C26F2"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National Taiwan University (NTU)</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6B1F05FA"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Taiwan</w:t>
            </w:r>
          </w:p>
        </w:tc>
      </w:tr>
      <w:tr w:rsidRPr="0040781A" w:rsidR="0040781A" w:rsidTr="0040781A" w14:paraId="056EE838"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336CEA24"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24</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745F4556"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22</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05F3E16B"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138</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781B6C02"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Universiti Putra Malaysia (UPM)</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4F0B7406"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Malaysia</w:t>
            </w:r>
          </w:p>
        </w:tc>
      </w:tr>
      <w:tr w:rsidRPr="0040781A" w:rsidR="0040781A" w:rsidTr="0040781A" w14:paraId="2C114541"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0ACF5E40"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25</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505F6FA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25</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784C230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158</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1BE99672"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Universiti Teknologi Malaysia (UTM)</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6B3D5C78"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Malaysia</w:t>
            </w:r>
          </w:p>
        </w:tc>
      </w:tr>
      <w:tr w:rsidRPr="0040781A" w:rsidR="0040781A" w:rsidTr="0040781A" w14:paraId="074669C8"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2D9AAA8D"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26</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218DB832"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32</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54E008E4"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146</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31C1EB8B"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Tongji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77760FBB"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40781A" w:rsidR="0040781A" w:rsidTr="0040781A" w14:paraId="787EF2CF"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3354C00D"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27</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55587482"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26</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3D7A8B80"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39</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21467309"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The University of Tokyo</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26B7E954"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Japan</w:t>
            </w:r>
          </w:p>
        </w:tc>
      </w:tr>
      <w:tr w:rsidRPr="0040781A" w:rsidR="0040781A" w:rsidTr="0040781A" w14:paraId="301FDE4D"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3935F15A"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27</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6578D0C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34</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66EF30C5"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128</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012EEFC7"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Universiti Sains Malaysia (USM)</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00B16297"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Malaysia</w:t>
            </w:r>
          </w:p>
        </w:tc>
      </w:tr>
      <w:tr w:rsidRPr="0040781A" w:rsidR="0040781A" w:rsidTr="0040781A" w14:paraId="30324D1F"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519FEBBA"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29</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7F230F27"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31</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7F0945BF"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165</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21C5B6E3"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Wuhan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3905D7BD"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40781A" w:rsidR="0040781A" w:rsidTr="0040781A" w14:paraId="5DB19917"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14C5617A"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30</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7339362C"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29</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74E0204E"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102</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554446F2"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Tohoku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3762A06F"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Japan</w:t>
            </w:r>
          </w:p>
        </w:tc>
      </w:tr>
      <w:tr w:rsidRPr="0040781A" w:rsidR="0040781A" w:rsidTr="0040781A" w14:paraId="23C5203C"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014AEE3C"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31</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32A23656"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28</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140B401C"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64</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0EA7405D"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Kyoto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415CE4DF"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Japan</w:t>
            </w:r>
          </w:p>
        </w:tc>
      </w:tr>
      <w:tr w:rsidRPr="0040781A" w:rsidR="0040781A" w:rsidTr="0040781A" w14:paraId="26CE634C"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5C725817"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32</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29AA5056"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27</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05D8AEE4"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272</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64BA046B"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Taylor's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4F48616D"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Malaysia</w:t>
            </w:r>
          </w:p>
        </w:tc>
      </w:tr>
      <w:tr w:rsidRPr="0040781A" w:rsidR="0040781A" w:rsidTr="0040781A" w14:paraId="1C65EC4A"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56C42623"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33</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3DF7EA27"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43</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6ADEA10C"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191</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79D5431D"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National Cheng Kung University (NCKU)</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057CB62F"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Taiwan</w:t>
            </w:r>
          </w:p>
        </w:tc>
      </w:tr>
      <w:tr w:rsidRPr="0040781A" w:rsidR="0040781A" w:rsidTr="0040781A" w14:paraId="1D3EC274"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0D2683BD"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34</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1998AD9F"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49</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11497CF0"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190</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4B4AC44D"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Harbin Institute of Technology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0E5991E5"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40781A" w:rsidR="0040781A" w:rsidTr="0040781A" w14:paraId="3B4C748B"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0BB6A1D4"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35</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786AF2A4"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37</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39EB795C"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142</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199B9AF6"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National Tsing Hua University - NTHU</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01948F5C"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Taiwan</w:t>
            </w:r>
          </w:p>
        </w:tc>
      </w:tr>
      <w:tr w:rsidRPr="0040781A" w:rsidR="0040781A" w:rsidTr="0040781A" w14:paraId="444C3306"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7F1FD435"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36</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031CE726"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41</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06DC53E1"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177</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4D8AA59F"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National Yang Ming Chiao Tung University (NYCU Taiwan)</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5B00AF26"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Taiwan</w:t>
            </w:r>
          </w:p>
        </w:tc>
      </w:tr>
      <w:tr w:rsidRPr="0040781A" w:rsidR="0040781A" w:rsidTr="0040781A" w14:paraId="5DED405F"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3A4E4E70"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36</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6923EFAF"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30</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22AEF3F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282</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2CD28AC6"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UCSI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24229650"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Malaysia</w:t>
            </w:r>
          </w:p>
        </w:tc>
      </w:tr>
      <w:tr w:rsidRPr="0040781A" w:rsidR="0040781A" w:rsidTr="0040781A" w14:paraId="2415A8C3"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71CB5706"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38</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20D66B35"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39</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5CDB84A1"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309</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6C7BED0D"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Kyung Hee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69420062"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Republic of Korea</w:t>
            </w:r>
          </w:p>
        </w:tc>
      </w:tr>
      <w:tr w:rsidRPr="0040781A" w:rsidR="0040781A" w:rsidTr="0040781A" w14:paraId="207C550C"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6DF80FA9"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39</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607DC9E4"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35</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54B727A3"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171</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11788311"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Kyushu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5748D766"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Japan</w:t>
            </w:r>
          </w:p>
        </w:tc>
      </w:tr>
      <w:tr w:rsidRPr="0040781A" w:rsidR="0040781A" w:rsidTr="0040781A" w14:paraId="7E441355"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5CD783E6"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40</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52EC06E4"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36</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43D127B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156</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49EDEEAD"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Nagoya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47EA3019"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Japan</w:t>
            </w:r>
          </w:p>
        </w:tc>
      </w:tr>
      <w:tr w:rsidRPr="0040781A" w:rsidR="0040781A" w:rsidTr="0040781A" w14:paraId="5538D421"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14A6A56F"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41</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5825490C"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33</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29703444"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97</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5091E58D"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Institute of Science Tokyo</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08202BB1"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Japan</w:t>
            </w:r>
          </w:p>
        </w:tc>
      </w:tr>
      <w:tr w:rsidRPr="0040781A" w:rsidR="0040781A" w:rsidTr="0040781A" w14:paraId="47ADC51C"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002EE3FD"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lastRenderedPageBreak/>
              <w:t>42</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21ED06E7"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40</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1D2E82EB"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95</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1C613FAC"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The University of Osaka</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59D47C34"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Japan</w:t>
            </w:r>
          </w:p>
        </w:tc>
      </w:tr>
      <w:tr w:rsidRPr="0040781A" w:rsidR="0040781A" w:rsidTr="0040781A" w14:paraId="69E0B4B8"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706FA46D"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43</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0603E0F6"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51</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5DD9FE7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235</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0F04889B"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Tianjin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3BF96692"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40781A" w:rsidR="0040781A" w:rsidTr="0040781A" w14:paraId="7A148CAB"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6C81F432"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44</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50821DF2"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48</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2AC3A974"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237</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2F488721"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Beijing Normal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0C74DB7A"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40781A" w:rsidR="0040781A" w:rsidTr="0040781A" w14:paraId="1F766F9F"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0165628D"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45</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29827A64"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42</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0D9E0687"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179</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026D30DE"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Hokkaido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31F858E1"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Japan</w:t>
            </w:r>
          </w:p>
        </w:tc>
      </w:tr>
      <w:tr w:rsidRPr="0040781A" w:rsidR="0040781A" w:rsidTr="0040781A" w14:paraId="6A421366"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1DA4D841"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46</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5808FB42"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38</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6B9BF9A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177</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59C5D974"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Farabi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16342A29"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Kazakhstan</w:t>
            </w:r>
          </w:p>
        </w:tc>
      </w:tr>
      <w:tr w:rsidRPr="0040781A" w:rsidR="0040781A" w:rsidTr="0040781A" w14:paraId="7285FD3B"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03EF2C37"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47</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097FECA3"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55</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0BA5D49A"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354</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73D9D1F0"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Sunway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0657D4A9"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Malaysia</w:t>
            </w:r>
          </w:p>
        </w:tc>
      </w:tr>
      <w:tr w:rsidRPr="0040781A" w:rsidR="0040781A" w:rsidTr="0040781A" w14:paraId="1CD9ABEA"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1950B639"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48</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486B70D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49</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5CD5A50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258</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0B29CA9A"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Sun Yat-sen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5D4E387B"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40781A" w:rsidR="0040781A" w:rsidTr="0040781A" w14:paraId="11738CAF"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65A4F2B1"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49</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03FF6378"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45</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7797AD09"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243</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10D62630"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Beijing Institute of Technology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0283B2EB"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China (Mainland)</w:t>
            </w:r>
          </w:p>
        </w:tc>
      </w:tr>
      <w:tr w:rsidRPr="0040781A" w:rsidR="0040781A" w:rsidTr="0040781A" w14:paraId="14D936C2" w14:textId="77777777">
        <w:trPr>
          <w:trHeight w:val="300"/>
          <w:jc w:val="center"/>
        </w:trPr>
        <w:tc>
          <w:tcPr>
            <w:tcW w:w="1129" w:type="dxa"/>
            <w:tcBorders>
              <w:top w:val="nil"/>
              <w:left w:val="single" w:color="auto" w:sz="4" w:space="0"/>
              <w:bottom w:val="single" w:color="auto" w:sz="4" w:space="0"/>
              <w:right w:val="single" w:color="auto" w:sz="4" w:space="0"/>
            </w:tcBorders>
            <w:noWrap/>
            <w:vAlign w:val="center"/>
            <w:hideMark/>
          </w:tcPr>
          <w:p w:rsidRPr="0040781A" w:rsidR="0040781A" w:rsidP="0040781A" w:rsidRDefault="0040781A" w14:paraId="18E8C89B" w14:textId="77777777">
            <w:pPr>
              <w:spacing w:after="0" w:line="240" w:lineRule="auto"/>
              <w:jc w:val="center"/>
              <w:rPr>
                <w:rFonts w:ascii="Calibri" w:hAnsi="Calibri" w:eastAsia="Times New Roman" w:cs="Calibri"/>
                <w:b/>
                <w:bCs/>
                <w:kern w:val="0"/>
                <w:sz w:val="16"/>
                <w:szCs w:val="16"/>
                <w:lang w:eastAsia="en-GB"/>
                <w14:ligatures w14:val="none"/>
              </w:rPr>
            </w:pPr>
            <w:r>
              <w:rPr>
                <w:rFonts w:ascii="Calibri" w:hAnsi="Calibri" w:eastAsia="Times New Roman" w:cs="Calibri"/>
                <w:b/>
                <w:bCs/>
                <w:kern w:val="0"/>
                <w:sz w:val="16"/>
                <w:szCs w:val="16"/>
                <w:lang w:eastAsia="en-GB"/>
                <w14:ligatures w14:val="none"/>
              </w:rPr>
              <w:t>50</w:t>
            </w:r>
          </w:p>
        </w:tc>
        <w:tc>
          <w:tcPr>
            <w:tcW w:w="1134" w:type="dxa"/>
            <w:tcBorders>
              <w:top w:val="nil"/>
              <w:left w:val="nil"/>
              <w:bottom w:val="single" w:color="auto" w:sz="4" w:space="0"/>
              <w:right w:val="single" w:color="auto" w:sz="4" w:space="0"/>
            </w:tcBorders>
            <w:noWrap/>
            <w:vAlign w:val="center"/>
            <w:hideMark/>
          </w:tcPr>
          <w:p w:rsidRPr="0040781A" w:rsidR="0040781A" w:rsidP="0040781A" w:rsidRDefault="0040781A" w14:paraId="3564A12D"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53</w:t>
            </w:r>
          </w:p>
        </w:tc>
        <w:tc>
          <w:tcPr>
            <w:tcW w:w="993" w:type="dxa"/>
            <w:tcBorders>
              <w:top w:val="nil"/>
              <w:left w:val="nil"/>
              <w:bottom w:val="single" w:color="auto" w:sz="4" w:space="0"/>
              <w:right w:val="single" w:color="auto" w:sz="4" w:space="0"/>
            </w:tcBorders>
            <w:noWrap/>
            <w:vAlign w:val="center"/>
            <w:hideMark/>
          </w:tcPr>
          <w:p w:rsidRPr="0040781A" w:rsidR="0040781A" w:rsidP="0040781A" w:rsidRDefault="0040781A" w14:paraId="7087FE08" w14:textId="77777777">
            <w:pPr>
              <w:spacing w:after="0" w:line="240" w:lineRule="auto"/>
              <w:jc w:val="center"/>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216</w:t>
            </w:r>
          </w:p>
        </w:tc>
        <w:tc>
          <w:tcPr>
            <w:tcW w:w="4252" w:type="dxa"/>
            <w:tcBorders>
              <w:top w:val="nil"/>
              <w:left w:val="nil"/>
              <w:bottom w:val="single" w:color="auto" w:sz="4" w:space="0"/>
              <w:right w:val="single" w:color="auto" w:sz="4" w:space="0"/>
            </w:tcBorders>
            <w:noWrap/>
            <w:vAlign w:val="bottom"/>
            <w:hideMark/>
          </w:tcPr>
          <w:p w:rsidRPr="0040781A" w:rsidR="0040781A" w:rsidP="0040781A" w:rsidRDefault="0040781A" w14:paraId="2C296C13"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Hong Kong Baptist University</w:t>
            </w:r>
          </w:p>
        </w:tc>
        <w:tc>
          <w:tcPr>
            <w:tcW w:w="1701" w:type="dxa"/>
            <w:tcBorders>
              <w:top w:val="nil"/>
              <w:left w:val="nil"/>
              <w:bottom w:val="single" w:color="auto" w:sz="4" w:space="0"/>
              <w:right w:val="single" w:color="auto" w:sz="4" w:space="0"/>
            </w:tcBorders>
            <w:noWrap/>
            <w:vAlign w:val="bottom"/>
            <w:hideMark/>
          </w:tcPr>
          <w:p w:rsidRPr="0040781A" w:rsidR="0040781A" w:rsidP="0040781A" w:rsidRDefault="0040781A" w14:paraId="4C23CF6C" w14:textId="77777777">
            <w:pPr>
              <w:spacing w:after="0" w:line="240" w:lineRule="auto"/>
              <w:rPr>
                <w:rFonts w:ascii="Calibri" w:hAnsi="Calibri" w:eastAsia="Times New Roman" w:cs="Calibri"/>
                <w:kern w:val="0"/>
                <w:sz w:val="16"/>
                <w:szCs w:val="16"/>
                <w:lang w:eastAsia="en-GB"/>
                <w14:ligatures w14:val="none"/>
              </w:rPr>
            </w:pPr>
            <w:r>
              <w:rPr>
                <w:rFonts w:ascii="Calibri" w:hAnsi="Calibri" w:eastAsia="Times New Roman" w:cs="Calibri"/>
                <w:kern w:val="0"/>
                <w:sz w:val="16"/>
                <w:szCs w:val="16"/>
                <w:lang w:eastAsia="en-GB"/>
                <w14:ligatures w14:val="none"/>
              </w:rPr>
              <w:t>Hong Kong SAR, China</w:t>
            </w:r>
          </w:p>
        </w:tc>
      </w:tr>
    </w:tbl>
    <w:p w:rsidRPr="001074BC" w:rsidR="00085161" w:rsidRDefault="00085161" w14:paraId="02E15193" w14:textId="77777777">
      <w:pPr>
        <w:rPr>
          <w:rFonts w:ascii="Calibri" w:hAnsi="Calibri" w:cs="Calibri"/>
          <w:sz w:val="22"/>
          <w:szCs w:val="22"/>
        </w:rPr>
      </w:pPr>
    </w:p>
    <w:sectPr w:rsidRPr="001074BC" w:rsidR="00085161">
      <w:pgSz w:w="11906" w:h="16838" w:orient="portrait"/>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WB" w:author="William Barbieri" w:date="2026-10-16T10:26:00Z" w:id="0">
    <w:p w:rsidR="001722E6" w:rsidP="001722E6" w:rsidRDefault="001722E6" w14:paraId="4E351929" w14:textId="77777777">
      <w:pPr>
        <w:pStyle w:val="CommentText"/>
      </w:pPr>
      <w:r>
        <w:rPr>
          <w:rStyle w:val="CommentReference"/>
        </w:rPr>
        <w:annotationRef/>
      </w:r>
      <w:r>
        <w:t>Double check with DT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3519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7E7AA5" w16cex:dateUtc="2026-10-16T09: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351929" w16cid:durableId="287E7AA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liam Barbieri">
    <w15:presenceInfo w15:providerId="AD" w15:userId="S::william.barbieri@qs.com::2fa6ddeb-ac5b-497c-ae01-1ed37127ed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6D2"/>
    <w:rsid w:val="00085161"/>
    <w:rsid w:val="000A099C"/>
    <w:rsid w:val="0010585B"/>
    <w:rsid w:val="001074BC"/>
    <w:rsid w:val="001722E6"/>
    <w:rsid w:val="002530B9"/>
    <w:rsid w:val="002C719E"/>
    <w:rsid w:val="003977CD"/>
    <w:rsid w:val="003C33C3"/>
    <w:rsid w:val="003F1D6E"/>
    <w:rsid w:val="0040781A"/>
    <w:rsid w:val="00433450"/>
    <w:rsid w:val="00445D2C"/>
    <w:rsid w:val="005C75AD"/>
    <w:rsid w:val="00630C62"/>
    <w:rsid w:val="00753A88"/>
    <w:rsid w:val="00813EE5"/>
    <w:rsid w:val="00834A39"/>
    <w:rsid w:val="008C7F93"/>
    <w:rsid w:val="00976F04"/>
    <w:rsid w:val="009C6764"/>
    <w:rsid w:val="00A01501"/>
    <w:rsid w:val="00A23190"/>
    <w:rsid w:val="00AD17FB"/>
    <w:rsid w:val="00AD4534"/>
    <w:rsid w:val="00BE11A3"/>
    <w:rsid w:val="00BE1B93"/>
    <w:rsid w:val="00C0696C"/>
    <w:rsid w:val="00C326D2"/>
    <w:rsid w:val="00C65DF5"/>
    <w:rsid w:val="00CA6AB1"/>
    <w:rsid w:val="00CB506D"/>
    <w:rsid w:val="00CD133A"/>
    <w:rsid w:val="00CF20AA"/>
    <w:rsid w:val="00D0454E"/>
    <w:rsid w:val="00D06854"/>
    <w:rsid w:val="00D1199D"/>
    <w:rsid w:val="00D46575"/>
    <w:rsid w:val="00D86DC1"/>
    <w:rsid w:val="00D96527"/>
    <w:rsid w:val="00DA15D6"/>
    <w:rsid w:val="00E41226"/>
    <w:rsid w:val="00E71542"/>
    <w:rsid w:val="00EC1D0E"/>
    <w:rsid w:val="00EF52E8"/>
    <w:rsid w:val="00F0447B"/>
    <w:rsid w:val="00F24354"/>
    <w:rsid w:val="00F82259"/>
    <w:rsid w:val="00F855A6"/>
    <w:rsid w:val="00FC51BF"/>
    <w:rsid w:val="00FE1963"/>
    <w:rsid w:val="032F7A21"/>
    <w:rsid w:val="07F11EF0"/>
    <w:rsid w:val="197B92FD"/>
    <w:rsid w:val="1DE96320"/>
    <w:rsid w:val="1ECB8C7C"/>
    <w:rsid w:val="2179630A"/>
    <w:rsid w:val="2596CEC1"/>
    <w:rsid w:val="27DC5C60"/>
    <w:rsid w:val="293EFDC9"/>
    <w:rsid w:val="33BD7BB5"/>
    <w:rsid w:val="3AFA54A1"/>
    <w:rsid w:val="3B9723D3"/>
    <w:rsid w:val="47D1D868"/>
    <w:rsid w:val="4BE74A87"/>
    <w:rsid w:val="52602558"/>
    <w:rsid w:val="5A48D930"/>
    <w:rsid w:val="7186A842"/>
    <w:rsid w:val="7B6426AF"/>
    <w:rsid w:val="7BC41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828DC"/>
  <w15:chartTrackingRefBased/>
  <w15:docId w15:val="{F4981A16-35E2-4E9A-8CDF-2D23DC2D5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326D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26D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6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6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6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6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6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6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6D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326D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326D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326D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326D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326D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326D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326D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326D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326D2"/>
    <w:rPr>
      <w:rFonts w:eastAsiaTheme="majorEastAsia" w:cstheme="majorBidi"/>
      <w:color w:val="272727" w:themeColor="text1" w:themeTint="D8"/>
    </w:rPr>
  </w:style>
  <w:style w:type="paragraph" w:styleId="Title">
    <w:name w:val="Title"/>
    <w:basedOn w:val="Normal"/>
    <w:next w:val="Normal"/>
    <w:link w:val="TitleChar"/>
    <w:uiPriority w:val="10"/>
    <w:qFormat/>
    <w:rsid w:val="00C326D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326D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326D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326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6D2"/>
    <w:pPr>
      <w:spacing w:before="160"/>
      <w:jc w:val="center"/>
    </w:pPr>
    <w:rPr>
      <w:i/>
      <w:iCs/>
      <w:color w:val="404040" w:themeColor="text1" w:themeTint="BF"/>
    </w:rPr>
  </w:style>
  <w:style w:type="character" w:styleId="QuoteChar" w:customStyle="1">
    <w:name w:val="Quote Char"/>
    <w:basedOn w:val="DefaultParagraphFont"/>
    <w:link w:val="Quote"/>
    <w:uiPriority w:val="29"/>
    <w:rsid w:val="00C326D2"/>
    <w:rPr>
      <w:i/>
      <w:iCs/>
      <w:color w:val="404040" w:themeColor="text1" w:themeTint="BF"/>
    </w:rPr>
  </w:style>
  <w:style w:type="paragraph" w:styleId="ListParagraph">
    <w:name w:val="List Paragraph"/>
    <w:basedOn w:val="Normal"/>
    <w:uiPriority w:val="34"/>
    <w:qFormat/>
    <w:rsid w:val="00C326D2"/>
    <w:pPr>
      <w:ind w:left="720"/>
      <w:contextualSpacing/>
    </w:pPr>
  </w:style>
  <w:style w:type="character" w:styleId="IntenseEmphasis">
    <w:name w:val="Intense Emphasis"/>
    <w:basedOn w:val="DefaultParagraphFont"/>
    <w:uiPriority w:val="21"/>
    <w:qFormat/>
    <w:rsid w:val="00C326D2"/>
    <w:rPr>
      <w:i/>
      <w:iCs/>
      <w:color w:val="0F4761" w:themeColor="accent1" w:themeShade="BF"/>
    </w:rPr>
  </w:style>
  <w:style w:type="paragraph" w:styleId="IntenseQuote">
    <w:name w:val="Intense Quote"/>
    <w:basedOn w:val="Normal"/>
    <w:next w:val="Normal"/>
    <w:link w:val="IntenseQuoteChar"/>
    <w:uiPriority w:val="30"/>
    <w:qFormat/>
    <w:rsid w:val="00C326D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326D2"/>
    <w:rPr>
      <w:i/>
      <w:iCs/>
      <w:color w:val="0F4761" w:themeColor="accent1" w:themeShade="BF"/>
    </w:rPr>
  </w:style>
  <w:style w:type="character" w:styleId="IntenseReference">
    <w:name w:val="Intense Reference"/>
    <w:basedOn w:val="DefaultParagraphFont"/>
    <w:uiPriority w:val="32"/>
    <w:qFormat/>
    <w:rsid w:val="00C326D2"/>
    <w:rPr>
      <w:b/>
      <w:bCs/>
      <w:smallCaps/>
      <w:color w:val="0F4761" w:themeColor="accent1" w:themeShade="BF"/>
      <w:spacing w:val="5"/>
    </w:rPr>
  </w:style>
  <w:style w:type="character" w:styleId="normaltextrun" w:customStyle="1">
    <w:name w:val="normaltextrun"/>
    <w:basedOn w:val="DefaultParagraphFont"/>
    <w:rsid w:val="00C326D2"/>
  </w:style>
  <w:style w:type="character" w:styleId="eop" w:customStyle="1">
    <w:name w:val="eop"/>
    <w:basedOn w:val="DefaultParagraphFont"/>
    <w:rsid w:val="00C326D2"/>
  </w:style>
  <w:style w:type="character" w:styleId="Hyperlink">
    <w:name w:val="Hyperlink"/>
    <w:basedOn w:val="DefaultParagraphFont"/>
    <w:uiPriority w:val="99"/>
    <w:unhideWhenUsed/>
    <w:rsid w:val="00DA15D6"/>
    <w:rPr>
      <w:color w:val="467886" w:themeColor="hyperlink"/>
      <w:u w:val="single"/>
    </w:rPr>
  </w:style>
  <w:style w:type="character" w:styleId="UnresolvedMention">
    <w:name w:val="Unresolved Mention"/>
    <w:basedOn w:val="DefaultParagraphFont"/>
    <w:uiPriority w:val="99"/>
    <w:semiHidden/>
    <w:unhideWhenUsed/>
    <w:rsid w:val="00DA15D6"/>
    <w:rPr>
      <w:color w:val="605E5C"/>
      <w:shd w:val="clear" w:color="auto" w:fill="E1DFDD"/>
    </w:rPr>
  </w:style>
  <w:style w:type="character" w:styleId="CommentReference">
    <w:name w:val="annotation reference"/>
    <w:basedOn w:val="DefaultParagraphFont"/>
    <w:uiPriority w:val="99"/>
    <w:semiHidden/>
    <w:unhideWhenUsed/>
    <w:rsid w:val="002C719E"/>
    <w:rPr>
      <w:sz w:val="16"/>
      <w:szCs w:val="16"/>
    </w:rPr>
  </w:style>
  <w:style w:type="paragraph" w:styleId="CommentText">
    <w:name w:val="annotation text"/>
    <w:basedOn w:val="Normal"/>
    <w:link w:val="CommentTextChar"/>
    <w:uiPriority w:val="99"/>
    <w:unhideWhenUsed/>
    <w:rsid w:val="002C719E"/>
    <w:pPr>
      <w:spacing w:line="240" w:lineRule="auto"/>
    </w:pPr>
    <w:rPr>
      <w:sz w:val="20"/>
      <w:szCs w:val="20"/>
    </w:rPr>
  </w:style>
  <w:style w:type="character" w:styleId="CommentTextChar" w:customStyle="1">
    <w:name w:val="Comment Text Char"/>
    <w:basedOn w:val="DefaultParagraphFont"/>
    <w:link w:val="CommentText"/>
    <w:uiPriority w:val="99"/>
    <w:rsid w:val="002C719E"/>
    <w:rPr>
      <w:sz w:val="20"/>
      <w:szCs w:val="20"/>
    </w:rPr>
  </w:style>
  <w:style w:type="paragraph" w:styleId="CommentSubject">
    <w:name w:val="annotation subject"/>
    <w:basedOn w:val="CommentText"/>
    <w:next w:val="CommentText"/>
    <w:link w:val="CommentSubjectChar"/>
    <w:uiPriority w:val="99"/>
    <w:semiHidden/>
    <w:unhideWhenUsed/>
    <w:rsid w:val="002C719E"/>
    <w:rPr>
      <w:b/>
      <w:bCs/>
    </w:rPr>
  </w:style>
  <w:style w:type="character" w:styleId="CommentSubjectChar" w:customStyle="1">
    <w:name w:val="Comment Subject Char"/>
    <w:basedOn w:val="CommentTextChar"/>
    <w:link w:val="CommentSubject"/>
    <w:uiPriority w:val="99"/>
    <w:semiHidden/>
    <w:rsid w:val="002C719E"/>
    <w:rPr>
      <w:b/>
      <w:bCs/>
      <w:sz w:val="20"/>
      <w:szCs w:val="20"/>
    </w:rPr>
  </w:style>
  <w:style w:type="paragraph" w:styleId="paragraph" w:customStyle="1">
    <w:name w:val="paragraph"/>
    <w:basedOn w:val="Normal"/>
    <w:rsid w:val="00085161"/>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scxw71081273" w:customStyle="1">
    <w:name w:val="scxw71081273"/>
    <w:basedOn w:val="DefaultParagraphFont"/>
    <w:rsid w:val="00085161"/>
  </w:style>
  <w:style w:type="paragraph" w:styleId="NormalWeb">
    <w:name w:val="Normal (Web)"/>
    <w:basedOn w:val="Normal"/>
    <w:uiPriority w:val="99"/>
    <w:semiHidden/>
    <w:unhideWhenUsed/>
    <w:rsid w:val="00F0447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microsoft.com/office/2016/09/relationships/commentsIds" Target="commentsIds.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hyperlink" Target="https://www.topuniversities.com/asia-university-rankings" TargetMode="External" Id="rId7" /><Relationship Type="http://schemas.microsoft.com/office/2011/relationships/commentsExtended" Target="commentsExtended.xml" Id="rId12" /><Relationship Type="http://schemas.openxmlformats.org/officeDocument/2006/relationships/hyperlink" Target="mailto:William.barbieri@qs.com" TargetMode="External" Id="rId17" /><Relationship Type="http://schemas.openxmlformats.org/officeDocument/2006/relationships/customXml" Target="../customXml/item2.xml" Id="rId2" /><Relationship Type="http://schemas.openxmlformats.org/officeDocument/2006/relationships/hyperlink" Target="https://www.linkedin.com/in/simona-bizzozero/"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comments" Target="comments.xml" Id="rId11" /><Relationship Type="http://schemas.openxmlformats.org/officeDocument/2006/relationships/settings" Target="settings.xml" Id="rId5" /><Relationship Type="http://schemas.openxmlformats.org/officeDocument/2006/relationships/hyperlink" Target="https://www.topuniversities.com/asia-university-rankings" TargetMode="External" Id="rId15" /><Relationship Type="http://schemas.openxmlformats.org/officeDocument/2006/relationships/hyperlink" Target="https://www.topuniversities.com/asia-rankings/methodology" TargetMode="External" Id="rId10" /><Relationship Type="http://schemas.microsoft.com/office/2011/relationships/people" Target="people.xml" Id="rId19" /><Relationship Type="http://schemas.openxmlformats.org/officeDocument/2006/relationships/styles" Target="styles.xml" Id="rId4" /><Relationship Type="http://schemas.openxmlformats.org/officeDocument/2006/relationships/hyperlink" Target="https://www.topuniversities.com/world-university-rankings" TargetMode="External" Id="rId9" /><Relationship Type="http://schemas.microsoft.com/office/2018/08/relationships/commentsExtensible" Target="commentsExtensi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0E7D80358B05498AAD86436FFF3841" ma:contentTypeVersion="18" ma:contentTypeDescription="Create a new document." ma:contentTypeScope="" ma:versionID="aeb23b0220247b39bb13556bfa61ed08">
  <xsd:schema xmlns:xsd="http://www.w3.org/2001/XMLSchema" xmlns:xs="http://www.w3.org/2001/XMLSchema" xmlns:p="http://schemas.microsoft.com/office/2006/metadata/properties" xmlns:ns2="0bfbcbea-6f95-4c61-b234-a6bbe804a9e6" xmlns:ns3="d1395174-bdeb-4ce1-892c-65ecf02aaaf8" targetNamespace="http://schemas.microsoft.com/office/2006/metadata/properties" ma:root="true" ma:fieldsID="443d749eda87b5f1d4b61f95be378174" ns2:_="" ns3:_="">
    <xsd:import namespace="0bfbcbea-6f95-4c61-b234-a6bbe804a9e6"/>
    <xsd:import namespace="d1395174-bdeb-4ce1-892c-65ecf02aaaf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bcbea-6f95-4c61-b234-a6bbe804a9e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a89a7e-35a0-4c85-9e66-9ece76e32d86}" ma:internalName="TaxCatchAll" ma:showField="CatchAllData" ma:web="0bfbcbea-6f95-4c61-b234-a6bbe804a9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395174-bdeb-4ce1-892c-65ecf02aaaf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c0a45ee-8771-4b9b-8262-76eb4a5fdb71"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bfbcbea-6f95-4c61-b234-a6bbe804a9e6" xsi:nil="true"/>
    <lcf76f155ced4ddcb4097134ff3c332f xmlns="d1395174-bdeb-4ce1-892c-65ecf02aaa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299902-324C-4C44-80F9-6E8B144C7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fbcbea-6f95-4c61-b234-a6bbe804a9e6"/>
    <ds:schemaRef ds:uri="d1395174-bdeb-4ce1-892c-65ecf02aaa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2A82B1-FF69-4035-A0DB-D212C06B438D}">
  <ds:schemaRefs>
    <ds:schemaRef ds:uri="http://schemas.microsoft.com/office/2006/metadata/properties"/>
    <ds:schemaRef ds:uri="http://schemas.microsoft.com/office/infopath/2007/PartnerControls"/>
    <ds:schemaRef ds:uri="0bfbcbea-6f95-4c61-b234-a6bbe804a9e6"/>
    <ds:schemaRef ds:uri="d1395174-bdeb-4ce1-892c-65ecf02aaaf8"/>
  </ds:schemaRefs>
</ds:datastoreItem>
</file>

<file path=customXml/itemProps3.xml><?xml version="1.0" encoding="utf-8"?>
<ds:datastoreItem xmlns:ds="http://schemas.openxmlformats.org/officeDocument/2006/customXml" ds:itemID="{2DAC1E35-3A6F-42DA-9249-AE469B91774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Quacquarelli-Symonds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William Barbieri</dc:creator>
  <keywords/>
  <dc:description/>
  <lastModifiedBy>William Barbieri</lastModifiedBy>
  <revision>3</revision>
  <dcterms:created xsi:type="dcterms:W3CDTF">2026-10-16T09:34:00.0000000Z</dcterms:created>
  <dcterms:modified xsi:type="dcterms:W3CDTF">2026-10-22T15:59:27.5387020Z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0x0101003E0E7D80358B05498AAD86436FFF3841</vt:lpwstr>
  </property>
  <property fmtid="{D5CDD505-2E9C-101B-9397-08002B2CF9AE}" pid="3" name="MediaServiceImageTags">
    <vt:lpwstr/>
  </property>
</Properties>
</file>