
<file path=[Content_Types].xml><?xml version="1.0" encoding="utf-8"?>
<Types xmlns="http://schemas.openxmlformats.org/package/2006/content-types">
  <Default Extension="rels" ContentType="application/vnd.openxmlformats-package.relationships+xml"/>
  <Default Extension="xml" ContentType="application/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6112" w:rsidRDefault="00000000" w14:paraId="21631BEF" w14:textId="65DA1F5A">
      <w:pPr>
        <w:spacing w:after="240" w:line="300" w:lineRule="auto"/>
        <w:jc w:val="center"/>
      </w:pPr>
      <w:r>
        <w:rPr>
          <w:b/>
          <w:bCs/>
          <w:color w:val="C00000"/>
        </w:rPr>
        <w:t>INFORMATION UNDER EMBARGO UNTIL 3</w:t>
      </w:r>
      <w:r>
        <w:rPr>
          <w:b/>
          <w:bCs/>
          <w:color w:val="C00000"/>
          <w:vertAlign w:val="superscript"/>
        </w:rPr>
        <w:t>RD</w:t>
      </w:r>
      <w:r>
        <w:rPr>
          <w:b/>
          <w:bCs/>
          <w:color w:val="C00000"/>
        </w:rPr>
        <w:t xml:space="preserve"> NOVEMBER AT 20:00 TAIWAN TIME</w:t>
      </w:r>
    </w:p>
    <w:p w:rsidR="00AF6112" w:rsidRDefault="00000000" w14:paraId="70CA2C13" w14:textId="77777777">
      <w:pPr>
        <w:spacing w:after="200" w:line="300" w:lineRule="auto"/>
        <w:jc w:val="center"/>
      </w:pPr>
      <w:r>
        <w:rPr>
          <w:b/>
          <w:bCs/>
          <w:sz w:val="24"/>
          <w:szCs w:val="24"/>
          <w:u w:val="single"/>
        </w:rPr>
        <w:t>QS World University Rankings: Asia 2027</w:t>
      </w:r>
    </w:p>
    <w:p w:rsidR="00AF6112" w:rsidP="00CE68B0" w:rsidRDefault="00000000" w14:paraId="101822BC" w14:textId="77777777">
      <w:pPr>
        <w:spacing w:after="160" w:line="300" w:lineRule="auto"/>
        <w:jc w:val="both"/>
      </w:pPr>
      <w:r>
        <w:rPr>
          <w:b/>
          <w:bCs/>
          <w:sz w:val="28"/>
          <w:szCs w:val="28"/>
        </w:rPr>
        <w:t>Taiwan’s leading universities hold firm and climb, with a ten-place rise for National Cheng Kung University</w:t>
      </w:r>
    </w:p>
    <w:p w:rsidR="00AF6112" w:rsidP="00CE68B0" w:rsidRDefault="00000000" w14:paraId="3E5445F3" w14:textId="77777777">
      <w:pPr>
        <w:spacing w:after="280" w:line="300" w:lineRule="auto"/>
        <w:jc w:val="both"/>
      </w:pPr>
      <w:r>
        <w:rPr>
          <w:i/>
          <w:iCs/>
        </w:rPr>
        <w:t xml:space="preserve">National Taiwan University stays in 23rd place and is ninth in Asia for Academic Reputation. National Cheng Kung University, National Tsing Hua University and National Yang Ming Chiao Tung University all move up. Across the wider system, 70% of Taiwan’s previously ranked universities decline. Births fell to a record low in 2025, and Taiwan’s universities are making slower progress than regional competitors on international faculty and students.</w:t>
      </w:r>
    </w:p>
    <w:p w:rsidRPr="00546557" w:rsidR="00546557" w:rsidP="00546557" w:rsidRDefault="00000000" w14:paraId="59E47B0B" w14:textId="30659A09">
      <w:pPr>
        <w:spacing w:after="180" w:line="300" w:lineRule="auto"/>
        <w:jc w:val="both"/>
        <w:rPr>
          <w:color w:val="C00000"/>
          <w:sz w:val="18"/>
          <w:szCs w:val="18"/>
          <w:lang w:val="en-GB"/>
        </w:rPr>
      </w:pPr>
      <w:r w:rsidRPr="5AD07FE2" w:rsidR="0C3CB3F2">
        <w:rPr>
          <w:b w:val="1"/>
          <w:bCs w:val="1"/>
          <w:i w:val="1"/>
          <w:iCs w:val="1"/>
        </w:rPr>
        <w:t xml:space="preserve">London, </w:t>
      </w:r>
      <w:r w:rsidRPr="5AD07FE2" w:rsidR="0C3CB3F2">
        <w:rPr>
          <w:b w:val="1"/>
          <w:bCs w:val="1"/>
          <w:i w:val="1"/>
          <w:iCs w:val="1"/>
        </w:rPr>
        <w:t>3</w:t>
      </w:r>
      <w:r w:rsidRPr="5AD07FE2" w:rsidR="0C3CB3F2">
        <w:rPr>
          <w:b w:val="1"/>
          <w:bCs w:val="1"/>
          <w:i w:val="1"/>
          <w:iCs w:val="1"/>
          <w:vertAlign w:val="superscript"/>
        </w:rPr>
        <w:t>rd</w:t>
      </w:r>
      <w:r w:rsidRPr="5AD07FE2" w:rsidR="0C3CB3F2">
        <w:rPr>
          <w:b w:val="1"/>
          <w:bCs w:val="1"/>
          <w:i w:val="1"/>
          <w:iCs w:val="1"/>
        </w:rPr>
        <w:t xml:space="preserve"> November</w:t>
      </w:r>
      <w:r w:rsidRPr="5AD07FE2" w:rsidR="0C3CB3F2">
        <w:rPr>
          <w:b w:val="1"/>
          <w:bCs w:val="1"/>
          <w:i w:val="1"/>
          <w:iCs w:val="1"/>
        </w:rPr>
        <w:t xml:space="preserve"> 2026: </w:t>
      </w:r>
      <w:r w:rsidR="0C3CB3F2">
        <w:rPr/>
        <w:t xml:space="preserve">Global higher education experts QS Quacquarelli Symonds has today released the 2027 edition of the </w:t>
      </w:r>
      <w:hyperlink r:id="Re68761ae19a24cb5">
        <w:r w:rsidRPr="5AD07FE2" w:rsidR="0C3CB3F2">
          <w:rPr>
            <w:color w:val="467886"/>
            <w:u w:val="single"/>
          </w:rPr>
          <w:t>QS World University Rankings: Asia</w:t>
        </w:r>
      </w:hyperlink>
      <w:r w:rsidRPr="5AD07FE2" w:rsidR="0C3CB3F2">
        <w:rPr>
          <w:color w:val="C00000"/>
        </w:rPr>
        <w:t>*</w:t>
      </w:r>
      <w:r w:rsidR="0C3CB3F2">
        <w:rPr/>
        <w:t xml:space="preserve">. </w:t>
      </w:r>
      <w:r w:rsidRPr="5AD07FE2" w:rsidR="0C3CB3F2">
        <w:rPr>
          <w:color w:val="C00000"/>
          <w:sz w:val="18"/>
          <w:szCs w:val="18"/>
        </w:rPr>
        <w:t xml:space="preserve">*The link will be updated with the latest results when the embargo lifts. </w:t>
      </w:r>
      <w:r w:rsidR="0C3CB3F2">
        <w:rPr/>
        <w:t>The 18</w:t>
      </w:r>
      <w:r w:rsidRPr="5AD07FE2" w:rsidR="0C3CB3F2">
        <w:rPr>
          <w:vertAlign w:val="superscript"/>
        </w:rPr>
        <w:t>th</w:t>
      </w:r>
      <w:r w:rsidR="0C3CB3F2">
        <w:rPr/>
        <w:t xml:space="preserve"> edition of the rankings </w:t>
      </w:r>
      <w:r w:rsidR="0C3CB3F2">
        <w:rPr/>
        <w:t xml:space="preserve">sees </w:t>
      </w:r>
      <w:r w:rsidRPr="5AD07FE2" w:rsidR="0C3CB3F2">
        <w:rPr>
          <w:b w:val="1"/>
          <w:bCs w:val="1"/>
        </w:rPr>
        <w:t>The</w:t>
      </w:r>
      <w:r w:rsidRPr="5AD07FE2" w:rsidR="0C3CB3F2">
        <w:rPr>
          <w:b w:val="1"/>
          <w:bCs w:val="1"/>
        </w:rPr>
        <w:t xml:space="preserve"> University of Hong Kong</w:t>
      </w:r>
      <w:r w:rsidR="0C3CB3F2">
        <w:rPr/>
        <w:t xml:space="preserve"> </w:t>
      </w:r>
      <w:r w:rsidR="0C3CB3F2">
        <w:rPr/>
        <w:t>retain</w:t>
      </w:r>
      <w:r w:rsidR="0C3CB3F2">
        <w:rPr/>
        <w:t xml:space="preserve"> the top spot for a second year while </w:t>
      </w:r>
      <w:r w:rsidRPr="5AD07FE2" w:rsidR="0C3CB3F2">
        <w:rPr>
          <w:b w:val="1"/>
          <w:bCs w:val="1"/>
        </w:rPr>
        <w:t>Peking University</w:t>
      </w:r>
      <w:r w:rsidR="0C3CB3F2">
        <w:rPr/>
        <w:t xml:space="preserve"> stays second. </w:t>
      </w:r>
      <w:r w:rsidRPr="5AD07FE2" w:rsidR="0C3CB3F2">
        <w:rPr>
          <w:b w:val="1"/>
          <w:bCs w:val="1"/>
        </w:rPr>
        <w:t>Tsinghua University</w:t>
      </w:r>
      <w:r w:rsidR="0C3CB3F2">
        <w:rPr/>
        <w:t xml:space="preserve"> climbs from ninth to third in this edition. Last year’s joint third place entries, National University of Singapore and Nanyang Technological University, Singapore, drop to joint sixth and </w:t>
      </w:r>
      <w:r w:rsidR="0C3CB3F2">
        <w:rPr/>
        <w:t>eighth</w:t>
      </w:r>
      <w:r w:rsidR="0C3CB3F2">
        <w:rPr/>
        <w:t xml:space="preserve"> respectively. Two Hong Kong universities break into the top five, with City University of Hong Kong (</w:t>
      </w:r>
      <w:r w:rsidR="0C3CB3F2">
        <w:rPr/>
        <w:t>CityUHK</w:t>
      </w:r>
      <w:r w:rsidR="0C3CB3F2">
        <w:rPr/>
        <w:t>) and The Chinese University of Hong Kong (CUHK) placing fourth and fifth.</w:t>
      </w:r>
    </w:p>
    <w:tbl>
      <w:tblPr>
        <w:tblW w:w="9067" w:type="dxa"/>
        <w:tblLook w:val="04A0" w:firstRow="1" w:lastRow="0" w:firstColumn="1" w:lastColumn="0" w:noHBand="0" w:noVBand="1"/>
      </w:tblPr>
      <w:tblGrid>
        <w:gridCol w:w="988"/>
        <w:gridCol w:w="992"/>
        <w:gridCol w:w="992"/>
        <w:gridCol w:w="4253"/>
        <w:gridCol w:w="1842"/>
      </w:tblGrid>
      <w:tr w:rsidRPr="00CA6AB1" w:rsidR="00CE68B0" w:rsidTr="004B4AE8" w14:paraId="446B2DEB" w14:textId="77777777">
        <w:trPr>
          <w:trHeight w:val="300"/>
        </w:trPr>
        <w:tc>
          <w:tcPr>
            <w:tcW w:w="9067" w:type="dxa"/>
            <w:gridSpan w:val="5"/>
            <w:tcBorders>
              <w:top w:val="single" w:color="auto" w:sz="4" w:space="0"/>
              <w:left w:val="single" w:color="auto" w:sz="4" w:space="0"/>
              <w:bottom w:val="single" w:color="auto" w:sz="4" w:space="0"/>
              <w:right w:val="single" w:color="auto" w:sz="4" w:space="0"/>
            </w:tcBorders>
            <w:noWrap/>
            <w:vAlign w:val="bottom"/>
            <w:hideMark/>
          </w:tcPr>
          <w:p w:rsidRPr="00CA6AB1" w:rsidR="00CE68B0" w:rsidP="004B4AE8" w:rsidRDefault="00CE68B0" w14:paraId="349EBDD3" w14:textId="77777777">
            <w:pPr>
              <w:jc w:val="center"/>
              <w:rPr>
                <w:rFonts w:eastAsia="Times New Roman"/>
                <w:b/>
                <w:bCs/>
                <w:sz w:val="20"/>
                <w:szCs w:val="20"/>
                <w:lang w:eastAsia="en-GB"/>
              </w:rPr>
            </w:pPr>
            <w:r>
              <w:rPr>
                <w:rFonts w:eastAsia="Times New Roman"/>
                <w:b/>
                <w:bCs/>
                <w:sz w:val="20"/>
                <w:szCs w:val="20"/>
                <w:lang w:eastAsia="en-GB"/>
              </w:rPr>
              <w:t>Table 1: Asia – Top 20</w:t>
            </w:r>
          </w:p>
        </w:tc>
      </w:tr>
      <w:tr w:rsidRPr="00CA6AB1" w:rsidR="00CE68B0" w:rsidTr="004B4AE8" w14:paraId="286BA3EA" w14:textId="77777777">
        <w:trPr>
          <w:trHeight w:val="300"/>
        </w:trPr>
        <w:tc>
          <w:tcPr>
            <w:tcW w:w="988" w:type="dxa"/>
            <w:tcBorders>
              <w:top w:val="nil"/>
              <w:left w:val="single" w:color="auto" w:sz="4" w:space="0"/>
              <w:bottom w:val="single" w:color="auto" w:sz="4" w:space="0"/>
              <w:right w:val="single" w:color="auto" w:sz="4" w:space="0"/>
            </w:tcBorders>
            <w:vAlign w:val="center"/>
            <w:hideMark/>
          </w:tcPr>
          <w:p w:rsidRPr="00CA6AB1" w:rsidR="00CE68B0" w:rsidP="004B4AE8" w:rsidRDefault="00CE68B0" w14:paraId="126DA523" w14:textId="77777777">
            <w:pPr>
              <w:jc w:val="center"/>
              <w:rPr>
                <w:rFonts w:eastAsia="Times New Roman"/>
                <w:b/>
                <w:bCs/>
                <w:sz w:val="16"/>
                <w:szCs w:val="16"/>
                <w:lang w:eastAsia="en-GB"/>
              </w:rPr>
            </w:pPr>
            <w:r>
              <w:rPr>
                <w:rFonts w:eastAsia="Times New Roman"/>
                <w:b/>
                <w:bCs/>
                <w:sz w:val="16"/>
                <w:szCs w:val="16"/>
                <w:lang w:eastAsia="en-GB"/>
              </w:rPr>
              <w:t>2027 Rank</w:t>
            </w:r>
          </w:p>
        </w:tc>
        <w:tc>
          <w:tcPr>
            <w:tcW w:w="992" w:type="dxa"/>
            <w:tcBorders>
              <w:top w:val="nil"/>
              <w:left w:val="nil"/>
              <w:bottom w:val="single" w:color="auto" w:sz="4" w:space="0"/>
              <w:right w:val="single" w:color="auto" w:sz="4" w:space="0"/>
            </w:tcBorders>
            <w:vAlign w:val="center"/>
            <w:hideMark/>
          </w:tcPr>
          <w:p w:rsidRPr="00CA6AB1" w:rsidR="00CE68B0" w:rsidP="004B4AE8" w:rsidRDefault="00CE68B0" w14:paraId="38FC61EF" w14:textId="77777777">
            <w:pPr>
              <w:jc w:val="center"/>
              <w:rPr>
                <w:rFonts w:eastAsia="Times New Roman"/>
                <w:b/>
                <w:bCs/>
                <w:sz w:val="16"/>
                <w:szCs w:val="16"/>
                <w:lang w:eastAsia="en-GB"/>
              </w:rPr>
            </w:pPr>
            <w:r>
              <w:rPr>
                <w:rFonts w:eastAsia="Times New Roman"/>
                <w:b/>
                <w:bCs/>
                <w:sz w:val="16"/>
                <w:szCs w:val="16"/>
                <w:lang w:eastAsia="en-GB"/>
              </w:rPr>
              <w:t>2026 Rank</w:t>
            </w:r>
          </w:p>
        </w:tc>
        <w:tc>
          <w:tcPr>
            <w:tcW w:w="992" w:type="dxa"/>
            <w:tcBorders>
              <w:top w:val="nil"/>
              <w:left w:val="nil"/>
              <w:bottom w:val="single" w:color="auto" w:sz="4" w:space="0"/>
              <w:right w:val="single" w:color="auto" w:sz="4" w:space="0"/>
            </w:tcBorders>
            <w:vAlign w:val="center"/>
            <w:hideMark/>
          </w:tcPr>
          <w:p w:rsidRPr="00CA6AB1" w:rsidR="00CE68B0" w:rsidP="004B4AE8" w:rsidRDefault="00CE68B0" w14:paraId="291123B7" w14:textId="77777777">
            <w:pPr>
              <w:jc w:val="center"/>
              <w:rPr>
                <w:rFonts w:eastAsia="Times New Roman"/>
                <w:b/>
                <w:bCs/>
                <w:sz w:val="16"/>
                <w:szCs w:val="16"/>
                <w:lang w:eastAsia="en-GB"/>
              </w:rPr>
            </w:pPr>
            <w:r>
              <w:rPr>
                <w:rFonts w:eastAsia="Times New Roman"/>
                <w:b/>
                <w:bCs/>
                <w:sz w:val="16"/>
                <w:szCs w:val="16"/>
                <w:lang w:eastAsia="en-GB"/>
              </w:rPr>
              <w:t>WUR Rank</w:t>
            </w:r>
          </w:p>
        </w:tc>
        <w:tc>
          <w:tcPr>
            <w:tcW w:w="4253" w:type="dxa"/>
            <w:tcBorders>
              <w:top w:val="nil"/>
              <w:left w:val="nil"/>
              <w:bottom w:val="single" w:color="auto" w:sz="4" w:space="0"/>
              <w:right w:val="single" w:color="auto" w:sz="4" w:space="0"/>
            </w:tcBorders>
            <w:vAlign w:val="center"/>
            <w:hideMark/>
          </w:tcPr>
          <w:p w:rsidRPr="00CA6AB1" w:rsidR="00CE68B0" w:rsidP="004B4AE8" w:rsidRDefault="00CE68B0" w14:paraId="49B90223" w14:textId="77777777">
            <w:pPr>
              <w:rPr>
                <w:rFonts w:eastAsia="Times New Roman"/>
                <w:b/>
                <w:bCs/>
                <w:sz w:val="16"/>
                <w:szCs w:val="16"/>
                <w:lang w:eastAsia="en-GB"/>
              </w:rPr>
            </w:pPr>
            <w:r>
              <w:rPr>
                <w:rFonts w:eastAsia="Times New Roman"/>
                <w:b/>
                <w:bCs/>
                <w:sz w:val="16"/>
                <w:szCs w:val="16"/>
                <w:lang w:eastAsia="en-GB"/>
              </w:rPr>
              <w:t>Institution</w:t>
            </w:r>
          </w:p>
        </w:tc>
        <w:tc>
          <w:tcPr>
            <w:tcW w:w="1842" w:type="dxa"/>
            <w:tcBorders>
              <w:top w:val="nil"/>
              <w:left w:val="nil"/>
              <w:bottom w:val="single" w:color="auto" w:sz="4" w:space="0"/>
              <w:right w:val="single" w:color="auto" w:sz="4" w:space="0"/>
            </w:tcBorders>
            <w:vAlign w:val="center"/>
            <w:hideMark/>
          </w:tcPr>
          <w:p w:rsidRPr="00CA6AB1" w:rsidR="00CE68B0" w:rsidP="004B4AE8" w:rsidRDefault="00CE68B0" w14:paraId="59A29493" w14:textId="77777777">
            <w:pPr>
              <w:rPr>
                <w:rFonts w:eastAsia="Times New Roman"/>
                <w:b/>
                <w:bCs/>
                <w:sz w:val="16"/>
                <w:szCs w:val="16"/>
                <w:lang w:eastAsia="en-GB"/>
              </w:rPr>
            </w:pPr>
            <w:r>
              <w:rPr>
                <w:rFonts w:eastAsia="Times New Roman"/>
                <w:b/>
                <w:bCs/>
                <w:sz w:val="16"/>
                <w:szCs w:val="16"/>
                <w:lang w:eastAsia="en-GB"/>
              </w:rPr>
              <w:t>Location</w:t>
            </w:r>
          </w:p>
        </w:tc>
      </w:tr>
      <w:tr w:rsidRPr="00CA6AB1" w:rsidR="00CE68B0" w:rsidTr="004B4AE8" w14:paraId="1123CF2D"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4A06437F" w14:textId="77777777">
            <w:pPr>
              <w:jc w:val="center"/>
              <w:rPr>
                <w:rFonts w:eastAsia="Times New Roman"/>
                <w:b/>
                <w:bCs/>
                <w:sz w:val="16"/>
                <w:szCs w:val="16"/>
                <w:lang w:eastAsia="en-GB"/>
              </w:rPr>
            </w:pPr>
            <w:r>
              <w:rPr>
                <w:rFonts w:eastAsia="Times New Roman"/>
                <w:b/>
                <w:bCs/>
                <w:sz w:val="16"/>
                <w:szCs w:val="16"/>
                <w:lang w:eastAsia="en-GB"/>
              </w:rPr>
              <w:t>1</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24088425" w14:textId="77777777">
            <w:pPr>
              <w:jc w:val="center"/>
              <w:rPr>
                <w:rFonts w:eastAsia="Times New Roman"/>
                <w:sz w:val="16"/>
                <w:szCs w:val="16"/>
                <w:lang w:eastAsia="en-GB"/>
              </w:rPr>
            </w:pPr>
            <w:r>
              <w:rPr>
                <w:rFonts w:eastAsia="Times New Roman"/>
                <w:sz w:val="16"/>
                <w:szCs w:val="16"/>
                <w:lang w:eastAsia="en-GB"/>
              </w:rPr>
              <w:t>1</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10352888" w14:textId="77777777">
            <w:pPr>
              <w:jc w:val="center"/>
              <w:rPr>
                <w:rFonts w:eastAsia="Times New Roman"/>
                <w:sz w:val="16"/>
                <w:szCs w:val="16"/>
                <w:lang w:eastAsia="en-GB"/>
              </w:rPr>
            </w:pPr>
            <w:r>
              <w:rPr>
                <w:rFonts w:eastAsia="Times New Roman"/>
                <w:sz w:val="16"/>
                <w:szCs w:val="16"/>
                <w:lang w:eastAsia="en-GB"/>
              </w:rPr>
              <w:t>11</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7DB5B2E7" w14:textId="77777777">
            <w:pPr>
              <w:rPr>
                <w:rFonts w:eastAsia="Times New Roman"/>
                <w:sz w:val="16"/>
                <w:szCs w:val="16"/>
                <w:lang w:eastAsia="en-GB"/>
              </w:rPr>
            </w:pPr>
            <w:r>
              <w:rPr>
                <w:rFonts w:eastAsia="Times New Roman"/>
                <w:sz w:val="16"/>
                <w:szCs w:val="16"/>
                <w:lang w:eastAsia="en-GB"/>
              </w:rPr>
              <w:t>The University of Hong Kong</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5E5D5A7E" w14:textId="77777777">
            <w:pPr>
              <w:rPr>
                <w:rFonts w:eastAsia="Times New Roman"/>
                <w:sz w:val="16"/>
                <w:szCs w:val="16"/>
                <w:lang w:eastAsia="en-GB"/>
              </w:rPr>
            </w:pPr>
            <w:r>
              <w:rPr>
                <w:rFonts w:eastAsia="Times New Roman"/>
                <w:sz w:val="16"/>
                <w:szCs w:val="16"/>
                <w:lang w:eastAsia="en-GB"/>
              </w:rPr>
              <w:t>Hong Kong SAR, China</w:t>
            </w:r>
          </w:p>
        </w:tc>
      </w:tr>
      <w:tr w:rsidRPr="00CA6AB1" w:rsidR="00CE68B0" w:rsidTr="004B4AE8" w14:paraId="4D8E253A"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3C576593" w14:textId="77777777">
            <w:pPr>
              <w:jc w:val="center"/>
              <w:rPr>
                <w:rFonts w:eastAsia="Times New Roman"/>
                <w:b/>
                <w:bCs/>
                <w:sz w:val="16"/>
                <w:szCs w:val="16"/>
                <w:lang w:eastAsia="en-GB"/>
              </w:rPr>
            </w:pPr>
            <w:r>
              <w:rPr>
                <w:rFonts w:eastAsia="Times New Roman"/>
                <w:b/>
                <w:bCs/>
                <w:sz w:val="16"/>
                <w:szCs w:val="16"/>
                <w:lang w:eastAsia="en-GB"/>
              </w:rPr>
              <w:t>2</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1D2B4A98" w14:textId="77777777">
            <w:pPr>
              <w:jc w:val="center"/>
              <w:rPr>
                <w:rFonts w:eastAsia="Times New Roman"/>
                <w:sz w:val="16"/>
                <w:szCs w:val="16"/>
                <w:lang w:eastAsia="en-GB"/>
              </w:rPr>
            </w:pPr>
            <w:r>
              <w:rPr>
                <w:rFonts w:eastAsia="Times New Roman"/>
                <w:sz w:val="16"/>
                <w:szCs w:val="16"/>
                <w:lang w:eastAsia="en-GB"/>
              </w:rPr>
              <w:t>2</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2C146DD9" w14:textId="77777777">
            <w:pPr>
              <w:jc w:val="center"/>
              <w:rPr>
                <w:rFonts w:eastAsia="Times New Roman"/>
                <w:sz w:val="16"/>
                <w:szCs w:val="16"/>
                <w:lang w:eastAsia="en-GB"/>
              </w:rPr>
            </w:pPr>
            <w:r>
              <w:rPr>
                <w:rFonts w:eastAsia="Times New Roman"/>
                <w:sz w:val="16"/>
                <w:szCs w:val="16"/>
                <w:lang w:eastAsia="en-GB"/>
              </w:rPr>
              <w:t>13</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6BFDFBAD" w14:textId="77777777">
            <w:pPr>
              <w:rPr>
                <w:rFonts w:eastAsia="Times New Roman"/>
                <w:sz w:val="16"/>
                <w:szCs w:val="16"/>
                <w:lang w:eastAsia="en-GB"/>
              </w:rPr>
            </w:pPr>
            <w:r>
              <w:rPr>
                <w:rFonts w:eastAsia="Times New Roman"/>
                <w:sz w:val="16"/>
                <w:szCs w:val="16"/>
                <w:lang w:eastAsia="en-GB"/>
              </w:rPr>
              <w:t>Peking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515170A2" w14:textId="77777777">
            <w:pPr>
              <w:rPr>
                <w:rFonts w:eastAsia="Times New Roman"/>
                <w:sz w:val="16"/>
                <w:szCs w:val="16"/>
                <w:lang w:eastAsia="en-GB"/>
              </w:rPr>
            </w:pPr>
            <w:r>
              <w:rPr>
                <w:rFonts w:eastAsia="Times New Roman"/>
                <w:sz w:val="16"/>
                <w:szCs w:val="16"/>
                <w:lang w:eastAsia="en-GB"/>
              </w:rPr>
              <w:t>China (Mainland)</w:t>
            </w:r>
          </w:p>
        </w:tc>
      </w:tr>
      <w:tr w:rsidRPr="00CA6AB1" w:rsidR="00CE68B0" w:rsidTr="004B4AE8" w14:paraId="4CBDF1C1"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17260AEA" w14:textId="77777777">
            <w:pPr>
              <w:jc w:val="center"/>
              <w:rPr>
                <w:rFonts w:eastAsia="Times New Roman"/>
                <w:b/>
                <w:bCs/>
                <w:sz w:val="16"/>
                <w:szCs w:val="16"/>
                <w:lang w:eastAsia="en-GB"/>
              </w:rPr>
            </w:pPr>
            <w:r>
              <w:rPr>
                <w:rFonts w:eastAsia="Times New Roman"/>
                <w:b/>
                <w:bCs/>
                <w:sz w:val="16"/>
                <w:szCs w:val="16"/>
                <w:lang w:eastAsia="en-GB"/>
              </w:rPr>
              <w:t>3</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49F89F0E" w14:textId="77777777">
            <w:pPr>
              <w:jc w:val="center"/>
              <w:rPr>
                <w:rFonts w:eastAsia="Times New Roman"/>
                <w:sz w:val="16"/>
                <w:szCs w:val="16"/>
                <w:lang w:eastAsia="en-GB"/>
              </w:rPr>
            </w:pPr>
            <w:r>
              <w:rPr>
                <w:rFonts w:eastAsia="Times New Roman"/>
                <w:sz w:val="16"/>
                <w:szCs w:val="16"/>
                <w:lang w:eastAsia="en-GB"/>
              </w:rPr>
              <w:t>9</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1E731C11" w14:textId="77777777">
            <w:pPr>
              <w:jc w:val="center"/>
              <w:rPr>
                <w:rFonts w:eastAsia="Times New Roman"/>
                <w:sz w:val="16"/>
                <w:szCs w:val="16"/>
                <w:lang w:eastAsia="en-GB"/>
              </w:rPr>
            </w:pPr>
            <w:r>
              <w:rPr>
                <w:rFonts w:eastAsia="Times New Roman"/>
                <w:sz w:val="16"/>
                <w:szCs w:val="16"/>
                <w:lang w:eastAsia="en-GB"/>
              </w:rPr>
              <w:t>14</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299E1742" w14:textId="77777777">
            <w:pPr>
              <w:rPr>
                <w:rFonts w:eastAsia="Times New Roman"/>
                <w:sz w:val="16"/>
                <w:szCs w:val="16"/>
                <w:lang w:eastAsia="en-GB"/>
              </w:rPr>
            </w:pPr>
            <w:r>
              <w:rPr>
                <w:rFonts w:eastAsia="Times New Roman"/>
                <w:sz w:val="16"/>
                <w:szCs w:val="16"/>
                <w:lang w:eastAsia="en-GB"/>
              </w:rPr>
              <w:t>Tsinghua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46AF1034" w14:textId="77777777">
            <w:pPr>
              <w:rPr>
                <w:rFonts w:eastAsia="Times New Roman"/>
                <w:sz w:val="16"/>
                <w:szCs w:val="16"/>
                <w:lang w:eastAsia="en-GB"/>
              </w:rPr>
            </w:pPr>
            <w:r>
              <w:rPr>
                <w:rFonts w:eastAsia="Times New Roman"/>
                <w:sz w:val="16"/>
                <w:szCs w:val="16"/>
                <w:lang w:eastAsia="en-GB"/>
              </w:rPr>
              <w:t>China (Mainland)</w:t>
            </w:r>
          </w:p>
        </w:tc>
      </w:tr>
      <w:tr w:rsidRPr="00CA6AB1" w:rsidR="00CE68B0" w:rsidTr="004B4AE8" w14:paraId="7FFBB7A5"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14EB4522" w14:textId="77777777">
            <w:pPr>
              <w:jc w:val="center"/>
              <w:rPr>
                <w:rFonts w:eastAsia="Times New Roman"/>
                <w:b/>
                <w:bCs/>
                <w:sz w:val="16"/>
                <w:szCs w:val="16"/>
                <w:lang w:eastAsia="en-GB"/>
              </w:rPr>
            </w:pPr>
            <w:r>
              <w:rPr>
                <w:rFonts w:eastAsia="Times New Roman"/>
                <w:b/>
                <w:bCs/>
                <w:sz w:val="16"/>
                <w:szCs w:val="16"/>
                <w:lang w:eastAsia="en-GB"/>
              </w:rPr>
              <w:t>4</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515E3339" w14:textId="77777777">
            <w:pPr>
              <w:jc w:val="center"/>
              <w:rPr>
                <w:rFonts w:eastAsia="Times New Roman"/>
                <w:sz w:val="16"/>
                <w:szCs w:val="16"/>
                <w:lang w:eastAsia="en-GB"/>
              </w:rPr>
            </w:pPr>
            <w:r>
              <w:rPr>
                <w:rFonts w:eastAsia="Times New Roman"/>
                <w:sz w:val="16"/>
                <w:szCs w:val="16"/>
                <w:lang w:eastAsia="en-GB"/>
              </w:rPr>
              <w:t>7</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190CADEE" w14:textId="77777777">
            <w:pPr>
              <w:jc w:val="center"/>
              <w:rPr>
                <w:rFonts w:eastAsia="Times New Roman"/>
                <w:sz w:val="16"/>
                <w:szCs w:val="16"/>
                <w:lang w:eastAsia="en-GB"/>
              </w:rPr>
            </w:pPr>
            <w:r>
              <w:rPr>
                <w:rFonts w:eastAsia="Times New Roman"/>
                <w:sz w:val="16"/>
                <w:szCs w:val="16"/>
                <w:lang w:eastAsia="en-GB"/>
              </w:rPr>
              <w:t>52</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76BA0CB3" w14:textId="77777777">
            <w:pPr>
              <w:rPr>
                <w:rFonts w:eastAsia="Times New Roman"/>
                <w:sz w:val="16"/>
                <w:szCs w:val="16"/>
                <w:lang w:eastAsia="en-GB"/>
              </w:rPr>
            </w:pPr>
            <w:r>
              <w:rPr>
                <w:rFonts w:eastAsia="Times New Roman"/>
                <w:sz w:val="16"/>
                <w:szCs w:val="16"/>
                <w:lang w:eastAsia="en-GB"/>
              </w:rPr>
              <w:t>City University of Hong Kong (CityUHK)</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38479FCF" w14:textId="77777777">
            <w:pPr>
              <w:rPr>
                <w:rFonts w:eastAsia="Times New Roman"/>
                <w:sz w:val="16"/>
                <w:szCs w:val="16"/>
                <w:lang w:eastAsia="en-GB"/>
              </w:rPr>
            </w:pPr>
            <w:r>
              <w:rPr>
                <w:rFonts w:eastAsia="Times New Roman"/>
                <w:sz w:val="16"/>
                <w:szCs w:val="16"/>
                <w:lang w:eastAsia="en-GB"/>
              </w:rPr>
              <w:t>Hong Kong SAR, China</w:t>
            </w:r>
          </w:p>
        </w:tc>
      </w:tr>
      <w:tr w:rsidRPr="00CA6AB1" w:rsidR="00CE68B0" w:rsidTr="004B4AE8" w14:paraId="552E6D4A"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3B7D11DF" w14:textId="77777777">
            <w:pPr>
              <w:jc w:val="center"/>
              <w:rPr>
                <w:rFonts w:eastAsia="Times New Roman"/>
                <w:b/>
                <w:bCs/>
                <w:sz w:val="16"/>
                <w:szCs w:val="16"/>
                <w:lang w:eastAsia="en-GB"/>
              </w:rPr>
            </w:pPr>
            <w:r>
              <w:rPr>
                <w:rFonts w:eastAsia="Times New Roman"/>
                <w:b/>
                <w:bCs/>
                <w:sz w:val="16"/>
                <w:szCs w:val="16"/>
                <w:lang w:eastAsia="en-GB"/>
              </w:rPr>
              <w:t>5</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1D5C70E6" w14:textId="77777777">
            <w:pPr>
              <w:jc w:val="center"/>
              <w:rPr>
                <w:rFonts w:eastAsia="Times New Roman"/>
                <w:sz w:val="16"/>
                <w:szCs w:val="16"/>
                <w:lang w:eastAsia="en-GB"/>
              </w:rPr>
            </w:pPr>
            <w:r>
              <w:rPr>
                <w:rFonts w:eastAsia="Times New Roman"/>
                <w:sz w:val="16"/>
                <w:szCs w:val="16"/>
                <w:lang w:eastAsia="en-GB"/>
              </w:rPr>
              <w:t>7</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6E710B34" w14:textId="77777777">
            <w:pPr>
              <w:jc w:val="center"/>
              <w:rPr>
                <w:rFonts w:eastAsia="Times New Roman"/>
                <w:sz w:val="16"/>
                <w:szCs w:val="16"/>
                <w:lang w:eastAsia="en-GB"/>
              </w:rPr>
            </w:pPr>
            <w:r>
              <w:rPr>
                <w:rFonts w:eastAsia="Times New Roman"/>
                <w:sz w:val="16"/>
                <w:szCs w:val="16"/>
                <w:lang w:eastAsia="en-GB"/>
              </w:rPr>
              <w:t>18</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3FB32E1A" w14:textId="77777777">
            <w:pPr>
              <w:rPr>
                <w:rFonts w:eastAsia="Times New Roman"/>
                <w:sz w:val="16"/>
                <w:szCs w:val="16"/>
                <w:lang w:eastAsia="en-GB"/>
              </w:rPr>
            </w:pPr>
            <w:r>
              <w:rPr>
                <w:rFonts w:eastAsia="Times New Roman"/>
                <w:sz w:val="16"/>
                <w:szCs w:val="16"/>
                <w:lang w:eastAsia="en-GB"/>
              </w:rPr>
              <w:t>The Chinese University of Hong Kong (CUHK)</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1ECEF611" w14:textId="77777777">
            <w:pPr>
              <w:rPr>
                <w:rFonts w:eastAsia="Times New Roman"/>
                <w:sz w:val="16"/>
                <w:szCs w:val="16"/>
                <w:lang w:eastAsia="en-GB"/>
              </w:rPr>
            </w:pPr>
            <w:r>
              <w:rPr>
                <w:rFonts w:eastAsia="Times New Roman"/>
                <w:sz w:val="16"/>
                <w:szCs w:val="16"/>
                <w:lang w:eastAsia="en-GB"/>
              </w:rPr>
              <w:t>Hong Kong SAR, China</w:t>
            </w:r>
          </w:p>
        </w:tc>
      </w:tr>
      <w:tr w:rsidRPr="00CA6AB1" w:rsidR="00CE68B0" w:rsidTr="004B4AE8" w14:paraId="74D24F4D"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29E3985F" w14:textId="77777777">
            <w:pPr>
              <w:jc w:val="center"/>
              <w:rPr>
                <w:rFonts w:eastAsia="Times New Roman"/>
                <w:b/>
                <w:bCs/>
                <w:sz w:val="16"/>
                <w:szCs w:val="16"/>
                <w:lang w:eastAsia="en-GB"/>
              </w:rPr>
            </w:pPr>
            <w:r>
              <w:rPr>
                <w:rFonts w:eastAsia="Times New Roman"/>
                <w:b/>
                <w:bCs/>
                <w:sz w:val="16"/>
                <w:szCs w:val="16"/>
                <w:lang w:eastAsia="en-GB"/>
              </w:rPr>
              <w:t>6</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63D8D8BB" w14:textId="77777777">
            <w:pPr>
              <w:jc w:val="center"/>
              <w:rPr>
                <w:rFonts w:eastAsia="Times New Roman"/>
                <w:sz w:val="16"/>
                <w:szCs w:val="16"/>
                <w:lang w:eastAsia="en-GB"/>
              </w:rPr>
            </w:pPr>
            <w:r>
              <w:rPr>
                <w:rFonts w:eastAsia="Times New Roman"/>
                <w:sz w:val="16"/>
                <w:szCs w:val="16"/>
                <w:lang w:eastAsia="en-GB"/>
              </w:rPr>
              <w:t>5</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4D343A00" w14:textId="77777777">
            <w:pPr>
              <w:jc w:val="center"/>
              <w:rPr>
                <w:rFonts w:eastAsia="Times New Roman"/>
                <w:sz w:val="16"/>
                <w:szCs w:val="16"/>
                <w:lang w:eastAsia="en-GB"/>
              </w:rPr>
            </w:pPr>
            <w:r>
              <w:rPr>
                <w:rFonts w:eastAsia="Times New Roman"/>
                <w:sz w:val="16"/>
                <w:szCs w:val="16"/>
                <w:lang w:eastAsia="en-GB"/>
              </w:rPr>
              <w:t>26</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596DC6C2" w14:textId="77777777">
            <w:pPr>
              <w:rPr>
                <w:rFonts w:eastAsia="Times New Roman"/>
                <w:sz w:val="16"/>
                <w:szCs w:val="16"/>
                <w:lang w:eastAsia="en-GB"/>
              </w:rPr>
            </w:pPr>
            <w:r>
              <w:rPr>
                <w:rFonts w:eastAsia="Times New Roman"/>
                <w:sz w:val="16"/>
                <w:szCs w:val="16"/>
                <w:lang w:eastAsia="en-GB"/>
              </w:rPr>
              <w:t>Fudan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4C28FDA4" w14:textId="77777777">
            <w:pPr>
              <w:rPr>
                <w:rFonts w:eastAsia="Times New Roman"/>
                <w:sz w:val="16"/>
                <w:szCs w:val="16"/>
                <w:lang w:eastAsia="en-GB"/>
              </w:rPr>
            </w:pPr>
            <w:r>
              <w:rPr>
                <w:rFonts w:eastAsia="Times New Roman"/>
                <w:sz w:val="16"/>
                <w:szCs w:val="16"/>
                <w:lang w:eastAsia="en-GB"/>
              </w:rPr>
              <w:t>China (Mainland)</w:t>
            </w:r>
          </w:p>
        </w:tc>
      </w:tr>
      <w:tr w:rsidRPr="00CA6AB1" w:rsidR="00CE68B0" w:rsidTr="004B4AE8" w14:paraId="2E7C1F96"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5B201790" w14:textId="77777777">
            <w:pPr>
              <w:jc w:val="center"/>
              <w:rPr>
                <w:rFonts w:eastAsia="Times New Roman"/>
                <w:b/>
                <w:bCs/>
                <w:sz w:val="16"/>
                <w:szCs w:val="16"/>
                <w:lang w:eastAsia="en-GB"/>
              </w:rPr>
            </w:pPr>
            <w:r>
              <w:rPr>
                <w:rFonts w:eastAsia="Times New Roman"/>
                <w:b/>
                <w:bCs/>
                <w:sz w:val="16"/>
                <w:szCs w:val="16"/>
                <w:lang w:eastAsia="en-GB"/>
              </w:rPr>
              <w:t>6</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313B7BAC" w14:textId="77777777">
            <w:pPr>
              <w:jc w:val="center"/>
              <w:rPr>
                <w:rFonts w:eastAsia="Times New Roman"/>
                <w:sz w:val="16"/>
                <w:szCs w:val="16"/>
                <w:lang w:eastAsia="en-GB"/>
              </w:rPr>
            </w:pPr>
            <w:r>
              <w:rPr>
                <w:rFonts w:eastAsia="Times New Roman"/>
                <w:sz w:val="16"/>
                <w:szCs w:val="16"/>
                <w:lang w:eastAsia="en-GB"/>
              </w:rPr>
              <w:t>3</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518FE448" w14:textId="77777777">
            <w:pPr>
              <w:jc w:val="center"/>
              <w:rPr>
                <w:rFonts w:eastAsia="Times New Roman"/>
                <w:sz w:val="16"/>
                <w:szCs w:val="16"/>
                <w:lang w:eastAsia="en-GB"/>
              </w:rPr>
            </w:pPr>
            <w:r>
              <w:rPr>
                <w:rFonts w:eastAsia="Times New Roman"/>
                <w:sz w:val="16"/>
                <w:szCs w:val="16"/>
                <w:lang w:eastAsia="en-GB"/>
              </w:rPr>
              <w:t>10</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132C3CC3" w14:textId="77777777">
            <w:pPr>
              <w:rPr>
                <w:rFonts w:eastAsia="Times New Roman"/>
                <w:sz w:val="16"/>
                <w:szCs w:val="16"/>
                <w:lang w:eastAsia="en-GB"/>
              </w:rPr>
            </w:pPr>
            <w:r>
              <w:rPr>
                <w:rFonts w:eastAsia="Times New Roman"/>
                <w:sz w:val="16"/>
                <w:szCs w:val="16"/>
                <w:lang w:eastAsia="en-GB"/>
              </w:rPr>
              <w:t>National University of Singapore (NUS)</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6FD7C2B5" w14:textId="77777777">
            <w:pPr>
              <w:rPr>
                <w:rFonts w:eastAsia="Times New Roman"/>
                <w:sz w:val="16"/>
                <w:szCs w:val="16"/>
                <w:lang w:eastAsia="en-GB"/>
              </w:rPr>
            </w:pPr>
            <w:r>
              <w:rPr>
                <w:rFonts w:eastAsia="Times New Roman"/>
                <w:sz w:val="16"/>
                <w:szCs w:val="16"/>
                <w:lang w:eastAsia="en-GB"/>
              </w:rPr>
              <w:t>Singapore</w:t>
            </w:r>
          </w:p>
        </w:tc>
      </w:tr>
      <w:tr w:rsidRPr="00CA6AB1" w:rsidR="00CE68B0" w:rsidTr="004B4AE8" w14:paraId="14E3E157"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76DE574C" w14:textId="77777777">
            <w:pPr>
              <w:jc w:val="center"/>
              <w:rPr>
                <w:rFonts w:eastAsia="Times New Roman"/>
                <w:b/>
                <w:bCs/>
                <w:sz w:val="16"/>
                <w:szCs w:val="16"/>
                <w:lang w:eastAsia="en-GB"/>
              </w:rPr>
            </w:pPr>
            <w:r>
              <w:rPr>
                <w:rFonts w:eastAsia="Times New Roman"/>
                <w:b/>
                <w:bCs/>
                <w:sz w:val="16"/>
                <w:szCs w:val="16"/>
                <w:lang w:eastAsia="en-GB"/>
              </w:rPr>
              <w:t>8</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485ECB74" w14:textId="77777777">
            <w:pPr>
              <w:jc w:val="center"/>
              <w:rPr>
                <w:rFonts w:eastAsia="Times New Roman"/>
                <w:sz w:val="16"/>
                <w:szCs w:val="16"/>
                <w:lang w:eastAsia="en-GB"/>
              </w:rPr>
            </w:pPr>
            <w:r>
              <w:rPr>
                <w:rFonts w:eastAsia="Times New Roman"/>
                <w:sz w:val="16"/>
                <w:szCs w:val="16"/>
                <w:lang w:eastAsia="en-GB"/>
              </w:rPr>
              <w:t>3</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282A7E70" w14:textId="77777777">
            <w:pPr>
              <w:jc w:val="center"/>
              <w:rPr>
                <w:rFonts w:eastAsia="Times New Roman"/>
                <w:sz w:val="16"/>
                <w:szCs w:val="16"/>
                <w:lang w:eastAsia="en-GB"/>
              </w:rPr>
            </w:pPr>
            <w:r>
              <w:rPr>
                <w:rFonts w:eastAsia="Times New Roman"/>
                <w:sz w:val="16"/>
                <w:szCs w:val="16"/>
                <w:lang w:eastAsia="en-GB"/>
              </w:rPr>
              <w:t>12</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7EF0905C" w14:textId="77777777">
            <w:pPr>
              <w:rPr>
                <w:rFonts w:eastAsia="Times New Roman"/>
                <w:sz w:val="16"/>
                <w:szCs w:val="16"/>
                <w:lang w:eastAsia="en-GB"/>
              </w:rPr>
            </w:pPr>
            <w:r>
              <w:rPr>
                <w:rFonts w:eastAsia="Times New Roman"/>
                <w:sz w:val="16"/>
                <w:szCs w:val="16"/>
                <w:lang w:eastAsia="en-GB"/>
              </w:rPr>
              <w:t>Nanyang Technological University, Singapore (NTU Singapore)</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623737F4" w14:textId="77777777">
            <w:pPr>
              <w:rPr>
                <w:rFonts w:eastAsia="Times New Roman"/>
                <w:sz w:val="16"/>
                <w:szCs w:val="16"/>
                <w:lang w:eastAsia="en-GB"/>
              </w:rPr>
            </w:pPr>
            <w:r>
              <w:rPr>
                <w:rFonts w:eastAsia="Times New Roman"/>
                <w:sz w:val="16"/>
                <w:szCs w:val="16"/>
                <w:lang w:eastAsia="en-GB"/>
              </w:rPr>
              <w:t>Singapore</w:t>
            </w:r>
          </w:p>
        </w:tc>
      </w:tr>
      <w:tr w:rsidRPr="00CA6AB1" w:rsidR="00CE68B0" w:rsidTr="004B4AE8" w14:paraId="20507A8D"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48B7CF18" w14:textId="77777777">
            <w:pPr>
              <w:jc w:val="center"/>
              <w:rPr>
                <w:rFonts w:eastAsia="Times New Roman"/>
                <w:b/>
                <w:bCs/>
                <w:sz w:val="16"/>
                <w:szCs w:val="16"/>
                <w:lang w:eastAsia="en-GB"/>
              </w:rPr>
            </w:pPr>
            <w:r>
              <w:rPr>
                <w:rFonts w:eastAsia="Times New Roman"/>
                <w:b/>
                <w:bCs/>
                <w:sz w:val="16"/>
                <w:szCs w:val="16"/>
                <w:lang w:eastAsia="en-GB"/>
              </w:rPr>
              <w:t>9</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15BE4757" w14:textId="77777777">
            <w:pPr>
              <w:jc w:val="center"/>
              <w:rPr>
                <w:rFonts w:eastAsia="Times New Roman"/>
                <w:sz w:val="16"/>
                <w:szCs w:val="16"/>
                <w:lang w:eastAsia="en-GB"/>
              </w:rPr>
            </w:pPr>
            <w:r>
              <w:rPr>
                <w:rFonts w:eastAsia="Times New Roman"/>
                <w:sz w:val="16"/>
                <w:szCs w:val="16"/>
                <w:lang w:eastAsia="en-GB"/>
              </w:rPr>
              <w:t>10</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56EC9752" w14:textId="77777777">
            <w:pPr>
              <w:jc w:val="center"/>
              <w:rPr>
                <w:rFonts w:eastAsia="Times New Roman"/>
                <w:sz w:val="16"/>
                <w:szCs w:val="16"/>
                <w:lang w:eastAsia="en-GB"/>
              </w:rPr>
            </w:pPr>
            <w:r>
              <w:rPr>
                <w:rFonts w:eastAsia="Times New Roman"/>
                <w:sz w:val="16"/>
                <w:szCs w:val="16"/>
                <w:lang w:eastAsia="en-GB"/>
              </w:rPr>
              <w:t>50</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577BDD55" w14:textId="77777777">
            <w:pPr>
              <w:rPr>
                <w:rFonts w:eastAsia="Times New Roman"/>
                <w:sz w:val="16"/>
                <w:szCs w:val="16"/>
                <w:lang w:eastAsia="en-GB"/>
              </w:rPr>
            </w:pPr>
            <w:r>
              <w:rPr>
                <w:rFonts w:eastAsia="Times New Roman"/>
                <w:sz w:val="16"/>
                <w:szCs w:val="16"/>
                <w:lang w:eastAsia="en-GB"/>
              </w:rPr>
              <w:t>The Hong Kong Polytechnic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42A99733" w14:textId="77777777">
            <w:pPr>
              <w:rPr>
                <w:rFonts w:eastAsia="Times New Roman"/>
                <w:sz w:val="16"/>
                <w:szCs w:val="16"/>
                <w:lang w:eastAsia="en-GB"/>
              </w:rPr>
            </w:pPr>
            <w:r>
              <w:rPr>
                <w:rFonts w:eastAsia="Times New Roman"/>
                <w:sz w:val="16"/>
                <w:szCs w:val="16"/>
                <w:lang w:eastAsia="en-GB"/>
              </w:rPr>
              <w:t>Hong Kong SAR, China</w:t>
            </w:r>
          </w:p>
        </w:tc>
      </w:tr>
      <w:tr w:rsidRPr="00CA6AB1" w:rsidR="00CE68B0" w:rsidTr="004B4AE8" w14:paraId="3EA6C27C"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380DBB2D" w14:textId="77777777">
            <w:pPr>
              <w:jc w:val="center"/>
              <w:rPr>
                <w:rFonts w:eastAsia="Times New Roman"/>
                <w:b/>
                <w:bCs/>
                <w:sz w:val="16"/>
                <w:szCs w:val="16"/>
                <w:lang w:eastAsia="en-GB"/>
              </w:rPr>
            </w:pPr>
            <w:r>
              <w:rPr>
                <w:rFonts w:eastAsia="Times New Roman"/>
                <w:b/>
                <w:bCs/>
                <w:sz w:val="16"/>
                <w:szCs w:val="16"/>
                <w:lang w:eastAsia="en-GB"/>
              </w:rPr>
              <w:t>9</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15A150D6" w14:textId="77777777">
            <w:pPr>
              <w:jc w:val="center"/>
              <w:rPr>
                <w:rFonts w:eastAsia="Times New Roman"/>
                <w:sz w:val="16"/>
                <w:szCs w:val="16"/>
                <w:lang w:eastAsia="en-GB"/>
              </w:rPr>
            </w:pPr>
            <w:r>
              <w:rPr>
                <w:rFonts w:eastAsia="Times New Roman"/>
                <w:sz w:val="16"/>
                <w:szCs w:val="16"/>
                <w:lang w:eastAsia="en-GB"/>
              </w:rPr>
              <w:t>6</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6BCCE34E" w14:textId="77777777">
            <w:pPr>
              <w:jc w:val="center"/>
              <w:rPr>
                <w:rFonts w:eastAsia="Times New Roman"/>
                <w:sz w:val="16"/>
                <w:szCs w:val="16"/>
                <w:lang w:eastAsia="en-GB"/>
              </w:rPr>
            </w:pPr>
            <w:r>
              <w:rPr>
                <w:rFonts w:eastAsia="Times New Roman"/>
                <w:sz w:val="16"/>
                <w:szCs w:val="16"/>
                <w:lang w:eastAsia="en-GB"/>
              </w:rPr>
              <w:t>33</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73AAFABD" w14:textId="77777777">
            <w:pPr>
              <w:rPr>
                <w:rFonts w:eastAsia="Times New Roman"/>
                <w:sz w:val="16"/>
                <w:szCs w:val="16"/>
                <w:lang w:eastAsia="en-GB"/>
              </w:rPr>
            </w:pPr>
            <w:r>
              <w:rPr>
                <w:rFonts w:eastAsia="Times New Roman"/>
                <w:sz w:val="16"/>
                <w:szCs w:val="16"/>
                <w:lang w:eastAsia="en-GB"/>
              </w:rPr>
              <w:t>The Hong Kong University of Science and Technology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15A8F74C" w14:textId="77777777">
            <w:pPr>
              <w:rPr>
                <w:rFonts w:eastAsia="Times New Roman"/>
                <w:sz w:val="16"/>
                <w:szCs w:val="16"/>
                <w:lang w:eastAsia="en-GB"/>
              </w:rPr>
            </w:pPr>
            <w:r>
              <w:rPr>
                <w:rFonts w:eastAsia="Times New Roman"/>
                <w:sz w:val="16"/>
                <w:szCs w:val="16"/>
                <w:lang w:eastAsia="en-GB"/>
              </w:rPr>
              <w:t>Hong Kong SAR, China</w:t>
            </w:r>
          </w:p>
        </w:tc>
      </w:tr>
      <w:tr w:rsidRPr="00CA6AB1" w:rsidR="00CE68B0" w:rsidTr="004B4AE8" w14:paraId="72E1F0B7"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1FF6AF26" w14:textId="77777777">
            <w:pPr>
              <w:jc w:val="center"/>
              <w:rPr>
                <w:rFonts w:eastAsia="Times New Roman"/>
                <w:b/>
                <w:bCs/>
                <w:sz w:val="16"/>
                <w:szCs w:val="16"/>
                <w:lang w:eastAsia="en-GB"/>
              </w:rPr>
            </w:pPr>
            <w:r>
              <w:rPr>
                <w:rFonts w:eastAsia="Times New Roman"/>
                <w:b/>
                <w:bCs/>
                <w:sz w:val="16"/>
                <w:szCs w:val="16"/>
                <w:lang w:eastAsia="en-GB"/>
              </w:rPr>
              <w:t>11</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5DF4F8D6" w14:textId="77777777">
            <w:pPr>
              <w:jc w:val="center"/>
              <w:rPr>
                <w:rFonts w:eastAsia="Times New Roman"/>
                <w:sz w:val="16"/>
                <w:szCs w:val="16"/>
                <w:lang w:eastAsia="en-GB"/>
              </w:rPr>
            </w:pPr>
            <w:r>
              <w:rPr>
                <w:rFonts w:eastAsia="Times New Roman"/>
                <w:sz w:val="16"/>
                <w:szCs w:val="16"/>
                <w:lang w:eastAsia="en-GB"/>
              </w:rPr>
              <w:t>11</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7B9CB3BC" w14:textId="77777777">
            <w:pPr>
              <w:jc w:val="center"/>
              <w:rPr>
                <w:rFonts w:eastAsia="Times New Roman"/>
                <w:sz w:val="16"/>
                <w:szCs w:val="16"/>
                <w:lang w:eastAsia="en-GB"/>
              </w:rPr>
            </w:pPr>
            <w:r>
              <w:rPr>
                <w:rFonts w:eastAsia="Times New Roman"/>
                <w:sz w:val="16"/>
                <w:szCs w:val="16"/>
                <w:lang w:eastAsia="en-GB"/>
              </w:rPr>
              <w:t>42</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27B5C276" w14:textId="77777777">
            <w:pPr>
              <w:rPr>
                <w:rFonts w:eastAsia="Times New Roman"/>
                <w:sz w:val="16"/>
                <w:szCs w:val="16"/>
                <w:lang w:eastAsia="en-GB"/>
              </w:rPr>
            </w:pPr>
            <w:r>
              <w:rPr>
                <w:rFonts w:eastAsia="Times New Roman"/>
                <w:sz w:val="16"/>
                <w:szCs w:val="16"/>
                <w:lang w:eastAsia="en-GB"/>
              </w:rPr>
              <w:t>Yonsei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64842337" w14:textId="77777777">
            <w:pPr>
              <w:rPr>
                <w:rFonts w:eastAsia="Times New Roman"/>
                <w:sz w:val="16"/>
                <w:szCs w:val="16"/>
                <w:lang w:eastAsia="en-GB"/>
              </w:rPr>
            </w:pPr>
            <w:r>
              <w:rPr>
                <w:rFonts w:eastAsia="Times New Roman"/>
                <w:sz w:val="16"/>
                <w:szCs w:val="16"/>
                <w:lang w:eastAsia="en-GB"/>
              </w:rPr>
              <w:t>Republic of Korea</w:t>
            </w:r>
          </w:p>
        </w:tc>
      </w:tr>
      <w:tr w:rsidRPr="00CA6AB1" w:rsidR="00CE68B0" w:rsidTr="004B4AE8" w14:paraId="1777A5D6"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4259B4DD" w14:textId="77777777">
            <w:pPr>
              <w:jc w:val="center"/>
              <w:rPr>
                <w:rFonts w:eastAsia="Times New Roman"/>
                <w:b/>
                <w:bCs/>
                <w:sz w:val="16"/>
                <w:szCs w:val="16"/>
                <w:lang w:eastAsia="en-GB"/>
              </w:rPr>
            </w:pPr>
            <w:r>
              <w:rPr>
                <w:rFonts w:eastAsia="Times New Roman"/>
                <w:b/>
                <w:bCs/>
                <w:sz w:val="16"/>
                <w:szCs w:val="16"/>
                <w:lang w:eastAsia="en-GB"/>
              </w:rPr>
              <w:t>12</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2DB874F8" w14:textId="77777777">
            <w:pPr>
              <w:jc w:val="center"/>
              <w:rPr>
                <w:rFonts w:eastAsia="Times New Roman"/>
                <w:sz w:val="16"/>
                <w:szCs w:val="16"/>
                <w:lang w:eastAsia="en-GB"/>
              </w:rPr>
            </w:pPr>
            <w:r>
              <w:rPr>
                <w:rFonts w:eastAsia="Times New Roman"/>
                <w:sz w:val="16"/>
                <w:szCs w:val="16"/>
                <w:lang w:eastAsia="en-GB"/>
              </w:rPr>
              <w:t>12</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38281945" w14:textId="77777777">
            <w:pPr>
              <w:jc w:val="center"/>
              <w:rPr>
                <w:rFonts w:eastAsia="Times New Roman"/>
                <w:sz w:val="16"/>
                <w:szCs w:val="16"/>
                <w:lang w:eastAsia="en-GB"/>
              </w:rPr>
            </w:pPr>
            <w:r>
              <w:rPr>
                <w:rFonts w:eastAsia="Times New Roman"/>
                <w:sz w:val="16"/>
                <w:szCs w:val="16"/>
                <w:lang w:eastAsia="en-GB"/>
              </w:rPr>
              <w:t>52</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1D5AE2CC" w14:textId="77777777">
            <w:pPr>
              <w:rPr>
                <w:rFonts w:eastAsia="Times New Roman"/>
                <w:sz w:val="16"/>
                <w:szCs w:val="16"/>
                <w:lang w:eastAsia="en-GB"/>
              </w:rPr>
            </w:pPr>
            <w:r>
              <w:rPr>
                <w:rFonts w:eastAsia="Times New Roman"/>
                <w:sz w:val="16"/>
                <w:szCs w:val="16"/>
                <w:lang w:eastAsia="en-GB"/>
              </w:rPr>
              <w:t>Korea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70657551" w14:textId="77777777">
            <w:pPr>
              <w:rPr>
                <w:rFonts w:eastAsia="Times New Roman"/>
                <w:sz w:val="16"/>
                <w:szCs w:val="16"/>
                <w:lang w:eastAsia="en-GB"/>
              </w:rPr>
            </w:pPr>
            <w:r>
              <w:rPr>
                <w:rFonts w:eastAsia="Times New Roman"/>
                <w:sz w:val="16"/>
                <w:szCs w:val="16"/>
                <w:lang w:eastAsia="en-GB"/>
              </w:rPr>
              <w:t>Republic of Korea</w:t>
            </w:r>
          </w:p>
        </w:tc>
      </w:tr>
      <w:tr w:rsidRPr="00CA6AB1" w:rsidR="00CE68B0" w:rsidTr="004B4AE8" w14:paraId="70A9F9E1"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6E677414" w14:textId="77777777">
            <w:pPr>
              <w:jc w:val="center"/>
              <w:rPr>
                <w:rFonts w:eastAsia="Times New Roman"/>
                <w:b/>
                <w:bCs/>
                <w:sz w:val="16"/>
                <w:szCs w:val="16"/>
                <w:lang w:eastAsia="en-GB"/>
              </w:rPr>
            </w:pPr>
            <w:r>
              <w:rPr>
                <w:rFonts w:eastAsia="Times New Roman"/>
                <w:b/>
                <w:bCs/>
                <w:sz w:val="16"/>
                <w:szCs w:val="16"/>
                <w:lang w:eastAsia="en-GB"/>
              </w:rPr>
              <w:t>13</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2C76E058" w14:textId="77777777">
            <w:pPr>
              <w:jc w:val="center"/>
              <w:rPr>
                <w:rFonts w:eastAsia="Times New Roman"/>
                <w:sz w:val="16"/>
                <w:szCs w:val="16"/>
                <w:lang w:eastAsia="en-GB"/>
              </w:rPr>
            </w:pPr>
            <w:r>
              <w:rPr>
                <w:rFonts w:eastAsia="Times New Roman"/>
                <w:sz w:val="16"/>
                <w:szCs w:val="16"/>
                <w:lang w:eastAsia="en-GB"/>
              </w:rPr>
              <w:t>13</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399EBC47" w14:textId="77777777">
            <w:pPr>
              <w:jc w:val="center"/>
              <w:rPr>
                <w:rFonts w:eastAsia="Times New Roman"/>
                <w:sz w:val="16"/>
                <w:szCs w:val="16"/>
                <w:lang w:eastAsia="en-GB"/>
              </w:rPr>
            </w:pPr>
            <w:r>
              <w:rPr>
                <w:rFonts w:eastAsia="Times New Roman"/>
                <w:sz w:val="16"/>
                <w:szCs w:val="16"/>
                <w:lang w:eastAsia="en-GB"/>
              </w:rPr>
              <w:t>36</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2B8B4EE0" w14:textId="77777777">
            <w:pPr>
              <w:rPr>
                <w:rFonts w:eastAsia="Times New Roman"/>
                <w:sz w:val="16"/>
                <w:szCs w:val="16"/>
                <w:lang w:eastAsia="en-GB"/>
              </w:rPr>
            </w:pPr>
            <w:r>
              <w:rPr>
                <w:rFonts w:eastAsia="Times New Roman"/>
                <w:sz w:val="16"/>
                <w:szCs w:val="16"/>
                <w:lang w:eastAsia="en-GB"/>
              </w:rPr>
              <w:t>Shanghai Jiao Tong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5CC45D0A" w14:textId="77777777">
            <w:pPr>
              <w:rPr>
                <w:rFonts w:eastAsia="Times New Roman"/>
                <w:sz w:val="16"/>
                <w:szCs w:val="16"/>
                <w:lang w:eastAsia="en-GB"/>
              </w:rPr>
            </w:pPr>
            <w:r>
              <w:rPr>
                <w:rFonts w:eastAsia="Times New Roman"/>
                <w:sz w:val="16"/>
                <w:szCs w:val="16"/>
                <w:lang w:eastAsia="en-GB"/>
              </w:rPr>
              <w:t>China (Mainland)</w:t>
            </w:r>
          </w:p>
        </w:tc>
      </w:tr>
      <w:tr w:rsidRPr="00CA6AB1" w:rsidR="00CE68B0" w:rsidTr="004B4AE8" w14:paraId="5FB6B9BB"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59606DE0" w14:textId="77777777">
            <w:pPr>
              <w:jc w:val="center"/>
              <w:rPr>
                <w:rFonts w:eastAsia="Times New Roman"/>
                <w:b/>
                <w:bCs/>
                <w:sz w:val="16"/>
                <w:szCs w:val="16"/>
                <w:lang w:eastAsia="en-GB"/>
              </w:rPr>
            </w:pPr>
            <w:r>
              <w:rPr>
                <w:rFonts w:eastAsia="Times New Roman"/>
                <w:b/>
                <w:bCs/>
                <w:sz w:val="16"/>
                <w:szCs w:val="16"/>
                <w:lang w:eastAsia="en-GB"/>
              </w:rPr>
              <w:t>14</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59B53B27" w14:textId="77777777">
            <w:pPr>
              <w:jc w:val="center"/>
              <w:rPr>
                <w:rFonts w:eastAsia="Times New Roman"/>
                <w:sz w:val="16"/>
                <w:szCs w:val="16"/>
                <w:lang w:eastAsia="en-GB"/>
              </w:rPr>
            </w:pPr>
            <w:r>
              <w:rPr>
                <w:rFonts w:eastAsia="Times New Roman"/>
                <w:sz w:val="16"/>
                <w:szCs w:val="16"/>
                <w:lang w:eastAsia="en-GB"/>
              </w:rPr>
              <w:t>14</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4AF9E5A2" w14:textId="77777777">
            <w:pPr>
              <w:jc w:val="center"/>
              <w:rPr>
                <w:rFonts w:eastAsia="Times New Roman"/>
                <w:sz w:val="16"/>
                <w:szCs w:val="16"/>
                <w:lang w:eastAsia="en-GB"/>
              </w:rPr>
            </w:pPr>
            <w:r>
              <w:rPr>
                <w:rFonts w:eastAsia="Times New Roman"/>
                <w:sz w:val="16"/>
                <w:szCs w:val="16"/>
                <w:lang w:eastAsia="en-GB"/>
              </w:rPr>
              <w:t>47</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73FB4B61" w14:textId="77777777">
            <w:pPr>
              <w:rPr>
                <w:rFonts w:eastAsia="Times New Roman"/>
                <w:sz w:val="16"/>
                <w:szCs w:val="16"/>
                <w:lang w:eastAsia="en-GB"/>
              </w:rPr>
            </w:pPr>
            <w:r>
              <w:rPr>
                <w:rFonts w:eastAsia="Times New Roman"/>
                <w:sz w:val="16"/>
                <w:szCs w:val="16"/>
                <w:lang w:eastAsia="en-GB"/>
              </w:rPr>
              <w:t>Zhejiang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239C081A" w14:textId="77777777">
            <w:pPr>
              <w:rPr>
                <w:rFonts w:eastAsia="Times New Roman"/>
                <w:sz w:val="16"/>
                <w:szCs w:val="16"/>
                <w:lang w:eastAsia="en-GB"/>
              </w:rPr>
            </w:pPr>
            <w:r>
              <w:rPr>
                <w:rFonts w:eastAsia="Times New Roman"/>
                <w:sz w:val="16"/>
                <w:szCs w:val="16"/>
                <w:lang w:eastAsia="en-GB"/>
              </w:rPr>
              <w:t>China (Mainland)</w:t>
            </w:r>
          </w:p>
        </w:tc>
      </w:tr>
      <w:tr w:rsidRPr="00CA6AB1" w:rsidR="00CE68B0" w:rsidTr="004B4AE8" w14:paraId="1EF3F026"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1E01955D" w14:textId="77777777">
            <w:pPr>
              <w:jc w:val="center"/>
              <w:rPr>
                <w:rFonts w:eastAsia="Times New Roman"/>
                <w:b/>
                <w:bCs/>
                <w:sz w:val="16"/>
                <w:szCs w:val="16"/>
                <w:lang w:eastAsia="en-GB"/>
              </w:rPr>
            </w:pPr>
            <w:r>
              <w:rPr>
                <w:rFonts w:eastAsia="Times New Roman"/>
                <w:b/>
                <w:bCs/>
                <w:sz w:val="16"/>
                <w:szCs w:val="16"/>
                <w:lang w:eastAsia="en-GB"/>
              </w:rPr>
              <w:t>15</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78E87C86" w14:textId="77777777">
            <w:pPr>
              <w:jc w:val="center"/>
              <w:rPr>
                <w:rFonts w:eastAsia="Times New Roman"/>
                <w:sz w:val="16"/>
                <w:szCs w:val="16"/>
                <w:lang w:eastAsia="en-GB"/>
              </w:rPr>
            </w:pPr>
            <w:r>
              <w:rPr>
                <w:rFonts w:eastAsia="Times New Roman"/>
                <w:sz w:val="16"/>
                <w:szCs w:val="16"/>
                <w:lang w:eastAsia="en-GB"/>
              </w:rPr>
              <w:t> //</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4E589350" w14:textId="77777777">
            <w:pPr>
              <w:jc w:val="center"/>
              <w:rPr>
                <w:rFonts w:eastAsia="Times New Roman"/>
                <w:sz w:val="16"/>
                <w:szCs w:val="16"/>
                <w:lang w:eastAsia="en-GB"/>
              </w:rPr>
            </w:pPr>
            <w:r>
              <w:rPr>
                <w:rFonts w:eastAsia="Times New Roman"/>
                <w:sz w:val="16"/>
                <w:szCs w:val="16"/>
                <w:lang w:eastAsia="en-GB"/>
              </w:rPr>
              <w:t>65</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277A5070" w14:textId="77777777">
            <w:pPr>
              <w:rPr>
                <w:rFonts w:eastAsia="Times New Roman"/>
                <w:sz w:val="16"/>
                <w:szCs w:val="16"/>
                <w:lang w:eastAsia="en-GB"/>
              </w:rPr>
            </w:pPr>
            <w:r>
              <w:rPr>
                <w:rFonts w:eastAsia="Times New Roman"/>
                <w:sz w:val="16"/>
                <w:szCs w:val="16"/>
                <w:lang w:eastAsia="en-GB"/>
              </w:rPr>
              <w:t>KAIST</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43ADE454" w14:textId="77777777">
            <w:pPr>
              <w:rPr>
                <w:rFonts w:eastAsia="Times New Roman"/>
                <w:sz w:val="16"/>
                <w:szCs w:val="16"/>
                <w:lang w:eastAsia="en-GB"/>
              </w:rPr>
            </w:pPr>
            <w:r>
              <w:rPr>
                <w:rFonts w:eastAsia="Times New Roman"/>
                <w:sz w:val="16"/>
                <w:szCs w:val="16"/>
                <w:lang w:eastAsia="en-GB"/>
              </w:rPr>
              <w:t>Republic of Korea</w:t>
            </w:r>
          </w:p>
        </w:tc>
      </w:tr>
      <w:tr w:rsidRPr="00CA6AB1" w:rsidR="00CE68B0" w:rsidTr="004B4AE8" w14:paraId="194E4C51"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18BFD48D" w14:textId="77777777">
            <w:pPr>
              <w:jc w:val="center"/>
              <w:rPr>
                <w:rFonts w:eastAsia="Times New Roman"/>
                <w:b/>
                <w:bCs/>
                <w:sz w:val="16"/>
                <w:szCs w:val="16"/>
                <w:lang w:eastAsia="en-GB"/>
              </w:rPr>
            </w:pPr>
            <w:r>
              <w:rPr>
                <w:rFonts w:eastAsia="Times New Roman"/>
                <w:b/>
                <w:bCs/>
                <w:sz w:val="16"/>
                <w:szCs w:val="16"/>
                <w:lang w:eastAsia="en-GB"/>
              </w:rPr>
              <w:t>15</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34B69940" w14:textId="77777777">
            <w:pPr>
              <w:jc w:val="center"/>
              <w:rPr>
                <w:rFonts w:eastAsia="Times New Roman"/>
                <w:sz w:val="16"/>
                <w:szCs w:val="16"/>
                <w:lang w:eastAsia="en-GB"/>
              </w:rPr>
            </w:pPr>
            <w:r>
              <w:rPr>
                <w:rFonts w:eastAsia="Times New Roman"/>
                <w:sz w:val="16"/>
                <w:szCs w:val="16"/>
                <w:lang w:eastAsia="en-GB"/>
              </w:rPr>
              <w:t>16</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7FA6AA81" w14:textId="77777777">
            <w:pPr>
              <w:jc w:val="center"/>
              <w:rPr>
                <w:rFonts w:eastAsia="Times New Roman"/>
                <w:sz w:val="16"/>
                <w:szCs w:val="16"/>
                <w:lang w:eastAsia="en-GB"/>
              </w:rPr>
            </w:pPr>
            <w:r>
              <w:rPr>
                <w:rFonts w:eastAsia="Times New Roman"/>
                <w:sz w:val="16"/>
                <w:szCs w:val="16"/>
                <w:lang w:eastAsia="en-GB"/>
              </w:rPr>
              <w:t>108</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481A9B01" w14:textId="77777777">
            <w:pPr>
              <w:rPr>
                <w:rFonts w:eastAsia="Times New Roman"/>
                <w:sz w:val="16"/>
                <w:szCs w:val="16"/>
                <w:lang w:eastAsia="en-GB"/>
              </w:rPr>
            </w:pPr>
            <w:r>
              <w:rPr>
                <w:rFonts w:eastAsia="Times New Roman"/>
                <w:sz w:val="16"/>
                <w:szCs w:val="16"/>
                <w:lang w:eastAsia="en-GB"/>
              </w:rPr>
              <w:t>Sungkyunkwan University (SKKU)</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62D9B425" w14:textId="77777777">
            <w:pPr>
              <w:rPr>
                <w:rFonts w:eastAsia="Times New Roman"/>
                <w:sz w:val="16"/>
                <w:szCs w:val="16"/>
                <w:lang w:eastAsia="en-GB"/>
              </w:rPr>
            </w:pPr>
            <w:r>
              <w:rPr>
                <w:rFonts w:eastAsia="Times New Roman"/>
                <w:sz w:val="16"/>
                <w:szCs w:val="16"/>
                <w:lang w:eastAsia="en-GB"/>
              </w:rPr>
              <w:t>Republic of Korea</w:t>
            </w:r>
          </w:p>
        </w:tc>
      </w:tr>
      <w:tr w:rsidRPr="00CA6AB1" w:rsidR="00CE68B0" w:rsidTr="004B4AE8" w14:paraId="55A3C9E8"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2C55EA87" w14:textId="77777777">
            <w:pPr>
              <w:jc w:val="center"/>
              <w:rPr>
                <w:rFonts w:eastAsia="Times New Roman"/>
                <w:b/>
                <w:bCs/>
                <w:sz w:val="16"/>
                <w:szCs w:val="16"/>
                <w:lang w:eastAsia="en-GB"/>
              </w:rPr>
            </w:pPr>
            <w:r>
              <w:rPr>
                <w:rFonts w:eastAsia="Times New Roman"/>
                <w:b/>
                <w:bCs/>
                <w:sz w:val="16"/>
                <w:szCs w:val="16"/>
                <w:lang w:eastAsia="en-GB"/>
              </w:rPr>
              <w:t>16</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29B8121D" w14:textId="77777777">
            <w:pPr>
              <w:jc w:val="center"/>
              <w:rPr>
                <w:rFonts w:eastAsia="Times New Roman"/>
                <w:sz w:val="16"/>
                <w:szCs w:val="16"/>
                <w:lang w:eastAsia="en-GB"/>
              </w:rPr>
            </w:pPr>
            <w:r>
              <w:rPr>
                <w:rFonts w:eastAsia="Times New Roman"/>
                <w:sz w:val="16"/>
                <w:szCs w:val="16"/>
                <w:lang w:eastAsia="en-GB"/>
              </w:rPr>
              <w:t>17</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3DDCD5F4" w14:textId="77777777">
            <w:pPr>
              <w:jc w:val="center"/>
              <w:rPr>
                <w:rFonts w:eastAsia="Times New Roman"/>
                <w:sz w:val="16"/>
                <w:szCs w:val="16"/>
                <w:lang w:eastAsia="en-GB"/>
              </w:rPr>
            </w:pPr>
            <w:r>
              <w:rPr>
                <w:rFonts w:eastAsia="Times New Roman"/>
                <w:sz w:val="16"/>
                <w:szCs w:val="16"/>
                <w:lang w:eastAsia="en-GB"/>
              </w:rPr>
              <w:t>38</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365F0BEB" w14:textId="77777777">
            <w:pPr>
              <w:rPr>
                <w:rFonts w:eastAsia="Times New Roman"/>
                <w:sz w:val="16"/>
                <w:szCs w:val="16"/>
                <w:lang w:eastAsia="en-GB"/>
              </w:rPr>
            </w:pPr>
            <w:r>
              <w:rPr>
                <w:rFonts w:eastAsia="Times New Roman"/>
                <w:sz w:val="16"/>
                <w:szCs w:val="16"/>
                <w:lang w:eastAsia="en-GB"/>
              </w:rPr>
              <w:t>Seoul National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218D1215" w14:textId="77777777">
            <w:pPr>
              <w:rPr>
                <w:rFonts w:eastAsia="Times New Roman"/>
                <w:sz w:val="16"/>
                <w:szCs w:val="16"/>
                <w:lang w:eastAsia="en-GB"/>
              </w:rPr>
            </w:pPr>
            <w:r>
              <w:rPr>
                <w:rFonts w:eastAsia="Times New Roman"/>
                <w:sz w:val="16"/>
                <w:szCs w:val="16"/>
                <w:lang w:eastAsia="en-GB"/>
              </w:rPr>
              <w:t>Republic of Korea</w:t>
            </w:r>
          </w:p>
        </w:tc>
      </w:tr>
      <w:tr w:rsidRPr="00CA6AB1" w:rsidR="00CE68B0" w:rsidTr="004B4AE8" w14:paraId="35039EAB"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43422C2D" w14:textId="77777777">
            <w:pPr>
              <w:jc w:val="center"/>
              <w:rPr>
                <w:rFonts w:eastAsia="Times New Roman"/>
                <w:b/>
                <w:bCs/>
                <w:sz w:val="16"/>
                <w:szCs w:val="16"/>
                <w:lang w:eastAsia="en-GB"/>
              </w:rPr>
            </w:pPr>
            <w:r>
              <w:rPr>
                <w:rFonts w:eastAsia="Times New Roman"/>
                <w:b/>
                <w:bCs/>
                <w:sz w:val="16"/>
                <w:szCs w:val="16"/>
                <w:lang w:eastAsia="en-GB"/>
              </w:rPr>
              <w:t>17</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3203E6C6" w14:textId="77777777">
            <w:pPr>
              <w:jc w:val="center"/>
              <w:rPr>
                <w:rFonts w:eastAsia="Times New Roman"/>
                <w:sz w:val="16"/>
                <w:szCs w:val="16"/>
                <w:lang w:eastAsia="en-GB"/>
              </w:rPr>
            </w:pPr>
            <w:r>
              <w:rPr>
                <w:rFonts w:eastAsia="Times New Roman"/>
                <w:sz w:val="16"/>
                <w:szCs w:val="16"/>
                <w:lang w:eastAsia="en-GB"/>
              </w:rPr>
              <w:t>19</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2BB9EE9A" w14:textId="77777777">
            <w:pPr>
              <w:jc w:val="center"/>
              <w:rPr>
                <w:rFonts w:eastAsia="Times New Roman"/>
                <w:sz w:val="16"/>
                <w:szCs w:val="16"/>
                <w:lang w:eastAsia="en-GB"/>
              </w:rPr>
            </w:pPr>
            <w:r>
              <w:rPr>
                <w:rFonts w:eastAsia="Times New Roman"/>
                <w:sz w:val="16"/>
                <w:szCs w:val="16"/>
                <w:lang w:eastAsia="en-GB"/>
              </w:rPr>
              <w:t>90</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55EF8876" w14:textId="77777777">
            <w:pPr>
              <w:rPr>
                <w:rFonts w:eastAsia="Times New Roman"/>
                <w:sz w:val="16"/>
                <w:szCs w:val="16"/>
                <w:lang w:eastAsia="en-GB"/>
              </w:rPr>
            </w:pPr>
            <w:r>
              <w:rPr>
                <w:rFonts w:eastAsia="Times New Roman"/>
                <w:sz w:val="16"/>
                <w:szCs w:val="16"/>
                <w:lang w:eastAsia="en-GB"/>
              </w:rPr>
              <w:t>Nanjing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6D64E4A4" w14:textId="77777777">
            <w:pPr>
              <w:rPr>
                <w:rFonts w:eastAsia="Times New Roman"/>
                <w:sz w:val="16"/>
                <w:szCs w:val="16"/>
                <w:lang w:eastAsia="en-GB"/>
              </w:rPr>
            </w:pPr>
            <w:r>
              <w:rPr>
                <w:rFonts w:eastAsia="Times New Roman"/>
                <w:sz w:val="16"/>
                <w:szCs w:val="16"/>
                <w:lang w:eastAsia="en-GB"/>
              </w:rPr>
              <w:t>China (Mainland)</w:t>
            </w:r>
          </w:p>
        </w:tc>
      </w:tr>
      <w:tr w:rsidRPr="00CA6AB1" w:rsidR="00CE68B0" w:rsidTr="004B4AE8" w14:paraId="64607477"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6C73C50B" w14:textId="77777777">
            <w:pPr>
              <w:jc w:val="center"/>
              <w:rPr>
                <w:rFonts w:eastAsia="Times New Roman"/>
                <w:b/>
                <w:bCs/>
                <w:sz w:val="16"/>
                <w:szCs w:val="16"/>
                <w:lang w:eastAsia="en-GB"/>
              </w:rPr>
            </w:pPr>
            <w:r>
              <w:rPr>
                <w:rFonts w:eastAsia="Times New Roman"/>
                <w:b/>
                <w:bCs/>
                <w:sz w:val="16"/>
                <w:szCs w:val="16"/>
                <w:lang w:eastAsia="en-GB"/>
              </w:rPr>
              <w:t>17</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5CBD5B19" w14:textId="77777777">
            <w:pPr>
              <w:jc w:val="center"/>
              <w:rPr>
                <w:rFonts w:eastAsia="Times New Roman"/>
                <w:sz w:val="16"/>
                <w:szCs w:val="16"/>
                <w:lang w:eastAsia="en-GB"/>
              </w:rPr>
            </w:pPr>
            <w:r>
              <w:rPr>
                <w:rFonts w:eastAsia="Times New Roman"/>
                <w:sz w:val="16"/>
                <w:szCs w:val="16"/>
                <w:lang w:eastAsia="en-GB"/>
              </w:rPr>
              <w:t>15</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6BF92135" w14:textId="77777777">
            <w:pPr>
              <w:jc w:val="center"/>
              <w:rPr>
                <w:rFonts w:eastAsia="Times New Roman"/>
                <w:sz w:val="16"/>
                <w:szCs w:val="16"/>
                <w:lang w:eastAsia="en-GB"/>
              </w:rPr>
            </w:pPr>
            <w:r>
              <w:rPr>
                <w:rFonts w:eastAsia="Times New Roman"/>
                <w:sz w:val="16"/>
                <w:szCs w:val="16"/>
                <w:lang w:eastAsia="en-GB"/>
              </w:rPr>
              <w:t>56</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2FD45445" w14:textId="77777777">
            <w:pPr>
              <w:rPr>
                <w:rFonts w:eastAsia="Times New Roman"/>
                <w:sz w:val="16"/>
                <w:szCs w:val="16"/>
                <w:lang w:eastAsia="en-GB"/>
              </w:rPr>
            </w:pPr>
            <w:r>
              <w:rPr>
                <w:rFonts w:eastAsia="Times New Roman"/>
                <w:sz w:val="16"/>
                <w:szCs w:val="16"/>
                <w:lang w:eastAsia="en-GB"/>
              </w:rPr>
              <w:t>Universiti Malaya (UM)</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3A40DA71" w14:textId="77777777">
            <w:pPr>
              <w:rPr>
                <w:rFonts w:eastAsia="Times New Roman"/>
                <w:sz w:val="16"/>
                <w:szCs w:val="16"/>
                <w:lang w:eastAsia="en-GB"/>
              </w:rPr>
            </w:pPr>
            <w:r>
              <w:rPr>
                <w:rFonts w:eastAsia="Times New Roman"/>
                <w:sz w:val="16"/>
                <w:szCs w:val="16"/>
                <w:lang w:eastAsia="en-GB"/>
              </w:rPr>
              <w:t>Malaysia</w:t>
            </w:r>
          </w:p>
        </w:tc>
      </w:tr>
      <w:tr w:rsidRPr="00CA6AB1" w:rsidR="00CE68B0" w:rsidTr="004B4AE8" w14:paraId="18131310"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5814DBE4" w14:textId="77777777">
            <w:pPr>
              <w:jc w:val="center"/>
              <w:rPr>
                <w:rFonts w:eastAsia="Times New Roman"/>
                <w:b/>
                <w:bCs/>
                <w:sz w:val="16"/>
                <w:szCs w:val="16"/>
                <w:lang w:eastAsia="en-GB"/>
              </w:rPr>
            </w:pPr>
            <w:r>
              <w:rPr>
                <w:rFonts w:eastAsia="Times New Roman"/>
                <w:b/>
                <w:bCs/>
                <w:sz w:val="16"/>
                <w:szCs w:val="16"/>
                <w:lang w:eastAsia="en-GB"/>
              </w:rPr>
              <w:t>19</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1F606C45" w14:textId="77777777">
            <w:pPr>
              <w:jc w:val="center"/>
              <w:rPr>
                <w:rFonts w:eastAsia="Times New Roman"/>
                <w:sz w:val="16"/>
                <w:szCs w:val="16"/>
                <w:lang w:eastAsia="en-GB"/>
              </w:rPr>
            </w:pPr>
            <w:r>
              <w:rPr>
                <w:rFonts w:eastAsia="Times New Roman"/>
                <w:sz w:val="16"/>
                <w:szCs w:val="16"/>
                <w:lang w:eastAsia="en-GB"/>
              </w:rPr>
              <w:t>20</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7AAB372D" w14:textId="77777777">
            <w:pPr>
              <w:jc w:val="center"/>
              <w:rPr>
                <w:rFonts w:eastAsia="Times New Roman"/>
                <w:sz w:val="16"/>
                <w:szCs w:val="16"/>
                <w:lang w:eastAsia="en-GB"/>
              </w:rPr>
            </w:pPr>
            <w:r>
              <w:rPr>
                <w:rFonts w:eastAsia="Times New Roman"/>
                <w:sz w:val="16"/>
                <w:szCs w:val="16"/>
                <w:lang w:eastAsia="en-GB"/>
              </w:rPr>
              <w:t>155</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564ED7F7" w14:textId="77777777">
            <w:pPr>
              <w:rPr>
                <w:rFonts w:eastAsia="Times New Roman"/>
                <w:sz w:val="16"/>
                <w:szCs w:val="16"/>
                <w:lang w:eastAsia="en-GB"/>
              </w:rPr>
            </w:pPr>
            <w:r>
              <w:rPr>
                <w:rFonts w:eastAsia="Times New Roman"/>
                <w:sz w:val="16"/>
                <w:szCs w:val="16"/>
                <w:lang w:eastAsia="en-GB"/>
              </w:rPr>
              <w:t>Hanyang University</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62EC86D6" w14:textId="77777777">
            <w:pPr>
              <w:rPr>
                <w:rFonts w:eastAsia="Times New Roman"/>
                <w:sz w:val="16"/>
                <w:szCs w:val="16"/>
                <w:lang w:eastAsia="en-GB"/>
              </w:rPr>
            </w:pPr>
            <w:r>
              <w:rPr>
                <w:rFonts w:eastAsia="Times New Roman"/>
                <w:sz w:val="16"/>
                <w:szCs w:val="16"/>
                <w:lang w:eastAsia="en-GB"/>
              </w:rPr>
              <w:t>Republic of Korea</w:t>
            </w:r>
          </w:p>
        </w:tc>
      </w:tr>
      <w:tr w:rsidRPr="00CA6AB1" w:rsidR="00CE68B0" w:rsidTr="004B4AE8" w14:paraId="14265943"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5BC2AD85" w14:textId="77777777">
            <w:pPr>
              <w:jc w:val="center"/>
              <w:rPr>
                <w:rFonts w:eastAsia="Times New Roman"/>
                <w:b/>
                <w:bCs/>
                <w:sz w:val="16"/>
                <w:szCs w:val="16"/>
                <w:lang w:eastAsia="en-GB"/>
              </w:rPr>
            </w:pPr>
            <w:r>
              <w:rPr>
                <w:rFonts w:eastAsia="Times New Roman"/>
                <w:b/>
                <w:bCs/>
                <w:sz w:val="16"/>
                <w:szCs w:val="16"/>
                <w:lang w:eastAsia="en-GB"/>
              </w:rPr>
              <w:t>20</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3B596B43" w14:textId="77777777">
            <w:pPr>
              <w:jc w:val="center"/>
              <w:rPr>
                <w:rFonts w:eastAsia="Times New Roman"/>
                <w:sz w:val="16"/>
                <w:szCs w:val="16"/>
                <w:lang w:eastAsia="en-GB"/>
              </w:rPr>
            </w:pPr>
            <w:r>
              <w:rPr>
                <w:rFonts w:eastAsia="Times New Roman"/>
                <w:sz w:val="16"/>
                <w:szCs w:val="16"/>
                <w:lang w:eastAsia="en-GB"/>
              </w:rPr>
              <w:t>24</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54FA9160" w14:textId="77777777">
            <w:pPr>
              <w:jc w:val="center"/>
              <w:rPr>
                <w:rFonts w:eastAsia="Times New Roman"/>
                <w:sz w:val="16"/>
                <w:szCs w:val="16"/>
                <w:lang w:eastAsia="en-GB"/>
              </w:rPr>
            </w:pPr>
            <w:r>
              <w:rPr>
                <w:rFonts w:eastAsia="Times New Roman"/>
                <w:sz w:val="16"/>
                <w:szCs w:val="16"/>
                <w:lang w:eastAsia="en-GB"/>
              </w:rPr>
              <w:t>130</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11D43618" w14:textId="77777777">
            <w:pPr>
              <w:rPr>
                <w:rFonts w:eastAsia="Times New Roman"/>
                <w:sz w:val="16"/>
                <w:szCs w:val="16"/>
                <w:lang w:eastAsia="en-GB"/>
              </w:rPr>
            </w:pPr>
            <w:r>
              <w:rPr>
                <w:rFonts w:eastAsia="Times New Roman"/>
                <w:sz w:val="16"/>
                <w:szCs w:val="16"/>
                <w:lang w:eastAsia="en-GB"/>
              </w:rPr>
              <w:t>Universiti Kebangsaan Malaysia (UKM)</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18315867" w14:textId="77777777">
            <w:pPr>
              <w:rPr>
                <w:rFonts w:eastAsia="Times New Roman"/>
                <w:sz w:val="16"/>
                <w:szCs w:val="16"/>
                <w:lang w:eastAsia="en-GB"/>
              </w:rPr>
            </w:pPr>
            <w:r>
              <w:rPr>
                <w:rFonts w:eastAsia="Times New Roman"/>
                <w:sz w:val="16"/>
                <w:szCs w:val="16"/>
                <w:lang w:eastAsia="en-GB"/>
              </w:rPr>
              <w:t>Malaysia</w:t>
            </w:r>
          </w:p>
        </w:tc>
      </w:tr>
      <w:tr w:rsidRPr="00CA6AB1" w:rsidR="00CE68B0" w:rsidTr="00CE68B0" w14:paraId="5AE908B4"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E68B0" w:rsidP="004B4AE8" w:rsidRDefault="00CE68B0" w14:paraId="36430C0E" w14:textId="77777777">
            <w:pPr>
              <w:jc w:val="center"/>
              <w:rPr>
                <w:rFonts w:eastAsia="Times New Roman"/>
                <w:b/>
                <w:bCs/>
                <w:sz w:val="16"/>
                <w:szCs w:val="16"/>
                <w:lang w:eastAsia="en-GB"/>
              </w:rPr>
            </w:pPr>
            <w:r>
              <w:rPr>
                <w:rFonts w:eastAsia="Times New Roman"/>
                <w:b/>
                <w:bCs/>
                <w:sz w:val="16"/>
                <w:szCs w:val="16"/>
                <w:lang w:eastAsia="en-GB"/>
              </w:rPr>
              <w:t>20</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22B249FC" w14:textId="77777777">
            <w:pPr>
              <w:jc w:val="center"/>
              <w:rPr>
                <w:rFonts w:eastAsia="Times New Roman"/>
                <w:sz w:val="16"/>
                <w:szCs w:val="16"/>
                <w:lang w:eastAsia="en-GB"/>
              </w:rPr>
            </w:pPr>
            <w:r>
              <w:rPr>
                <w:rFonts w:eastAsia="Times New Roman"/>
                <w:sz w:val="16"/>
                <w:szCs w:val="16"/>
                <w:lang w:eastAsia="en-GB"/>
              </w:rPr>
              <w:t>21</w:t>
            </w:r>
          </w:p>
        </w:tc>
        <w:tc>
          <w:tcPr>
            <w:tcW w:w="992" w:type="dxa"/>
            <w:tcBorders>
              <w:top w:val="nil"/>
              <w:left w:val="nil"/>
              <w:bottom w:val="single" w:color="auto" w:sz="4" w:space="0"/>
              <w:right w:val="single" w:color="auto" w:sz="4" w:space="0"/>
            </w:tcBorders>
            <w:noWrap/>
            <w:vAlign w:val="center"/>
            <w:hideMark/>
          </w:tcPr>
          <w:p w:rsidRPr="00CA6AB1" w:rsidR="00CE68B0" w:rsidP="004B4AE8" w:rsidRDefault="00CE68B0" w14:paraId="772EFB78" w14:textId="77777777">
            <w:pPr>
              <w:jc w:val="center"/>
              <w:rPr>
                <w:rFonts w:eastAsia="Times New Roman"/>
                <w:sz w:val="16"/>
                <w:szCs w:val="16"/>
                <w:lang w:eastAsia="en-GB"/>
              </w:rPr>
            </w:pPr>
            <w:r>
              <w:rPr>
                <w:rFonts w:eastAsia="Times New Roman"/>
                <w:sz w:val="16"/>
                <w:szCs w:val="16"/>
                <w:lang w:eastAsia="en-GB"/>
              </w:rPr>
              <w:t>134</w:t>
            </w:r>
          </w:p>
        </w:tc>
        <w:tc>
          <w:tcPr>
            <w:tcW w:w="4253" w:type="dxa"/>
            <w:tcBorders>
              <w:top w:val="nil"/>
              <w:left w:val="nil"/>
              <w:bottom w:val="single" w:color="auto" w:sz="4" w:space="0"/>
              <w:right w:val="single" w:color="auto" w:sz="4" w:space="0"/>
            </w:tcBorders>
            <w:noWrap/>
            <w:vAlign w:val="bottom"/>
            <w:hideMark/>
          </w:tcPr>
          <w:p w:rsidRPr="00CA6AB1" w:rsidR="00CE68B0" w:rsidP="004B4AE8" w:rsidRDefault="00CE68B0" w14:paraId="35E04135" w14:textId="77777777">
            <w:pPr>
              <w:rPr>
                <w:rFonts w:eastAsia="Times New Roman"/>
                <w:sz w:val="16"/>
                <w:szCs w:val="16"/>
                <w:lang w:eastAsia="en-GB"/>
              </w:rPr>
            </w:pPr>
            <w:r>
              <w:rPr>
                <w:rFonts w:eastAsia="Times New Roman"/>
                <w:sz w:val="16"/>
                <w:szCs w:val="16"/>
                <w:lang w:eastAsia="en-GB"/>
              </w:rPr>
              <w:t>University of Science and Technology of China</w:t>
            </w:r>
          </w:p>
        </w:tc>
        <w:tc>
          <w:tcPr>
            <w:tcW w:w="1842" w:type="dxa"/>
            <w:tcBorders>
              <w:top w:val="nil"/>
              <w:left w:val="nil"/>
              <w:bottom w:val="single" w:color="auto" w:sz="4" w:space="0"/>
              <w:right w:val="single" w:color="auto" w:sz="4" w:space="0"/>
            </w:tcBorders>
            <w:noWrap/>
            <w:vAlign w:val="bottom"/>
            <w:hideMark/>
          </w:tcPr>
          <w:p w:rsidRPr="00CA6AB1" w:rsidR="00CE68B0" w:rsidP="004B4AE8" w:rsidRDefault="00CE68B0" w14:paraId="259687DD" w14:textId="77777777">
            <w:pPr>
              <w:rPr>
                <w:rFonts w:eastAsia="Times New Roman"/>
                <w:sz w:val="16"/>
                <w:szCs w:val="16"/>
                <w:lang w:eastAsia="en-GB"/>
              </w:rPr>
            </w:pPr>
            <w:r>
              <w:rPr>
                <w:rFonts w:eastAsia="Times New Roman"/>
                <w:sz w:val="16"/>
                <w:szCs w:val="16"/>
                <w:lang w:eastAsia="en-GB"/>
              </w:rPr>
              <w:t>China (Mainland)</w:t>
            </w:r>
          </w:p>
        </w:tc>
      </w:tr>
      <w:tr w:rsidRPr="00CA6AB1" w:rsidR="00CE68B0" w:rsidTr="00BA65E6" w14:paraId="3E5FCFBD" w14:textId="77777777">
        <w:trPr>
          <w:trHeight w:val="300"/>
        </w:trPr>
        <w:tc>
          <w:tcPr>
            <w:tcW w:w="9067" w:type="dxa"/>
            <w:gridSpan w:val="5"/>
            <w:tcBorders>
              <w:top w:val="single" w:color="auto" w:sz="4" w:space="0"/>
              <w:left w:val="single" w:color="auto" w:sz="4" w:space="0"/>
              <w:bottom w:val="single" w:color="auto" w:sz="4" w:space="0"/>
              <w:right w:val="single" w:color="auto" w:sz="4" w:space="0"/>
            </w:tcBorders>
            <w:noWrap/>
            <w:vAlign w:val="center"/>
          </w:tcPr>
          <w:p w:rsidR="00CE68B0" w:rsidP="00CE68B0" w:rsidRDefault="00CE68B0" w14:paraId="42E05BC6" w14:textId="52CCF1DA">
            <w:pPr>
              <w:jc w:val="center"/>
              <w:rPr>
                <w:rFonts w:eastAsia="Times New Roman"/>
                <w:sz w:val="16"/>
                <w:szCs w:val="16"/>
                <w:lang w:eastAsia="en-GB"/>
              </w:rPr>
            </w:pPr>
            <w:r>
              <w:rPr>
                <w:rFonts w:eastAsia="Times New Roman"/>
                <w:sz w:val="16"/>
                <w:szCs w:val="16"/>
                <w:lang w:eastAsia="en-GB"/>
              </w:rPr>
              <w:t xml:space="preserve">© QS Quacquarelli Symonds 2004-2026 www.TopUniversities.com</w:t>
            </w:r>
          </w:p>
        </w:tc>
      </w:tr>
    </w:tbl>
    <w:p w:rsidR="00AF6112" w:rsidRDefault="00000000" w14:paraId="53CA4C28" w14:textId="644475E6">
      <w:pPr>
        <w:spacing w:after="180" w:line="300" w:lineRule="auto"/>
        <w:jc w:val="both"/>
      </w:pPr>
      <w:r w:rsidR="39A7F629">
        <w:rPr/>
        <w:t xml:space="preserve">Taiwan has 59 universities in this edition, including two new entrants: </w:t>
      </w:r>
      <w:r w:rsidRPr="39D341FB" w:rsidR="39A7F629">
        <w:rPr>
          <w:b w:val="1"/>
          <w:bCs w:val="1"/>
        </w:rPr>
        <w:t>Ming Chi University of Technology</w:t>
      </w:r>
      <w:r w:rsidR="39A7F629">
        <w:rPr/>
        <w:t xml:space="preserve"> and </w:t>
      </w:r>
      <w:r w:rsidRPr="39D341FB" w:rsidR="39A7F629">
        <w:rPr>
          <w:b w:val="1"/>
          <w:bCs w:val="1"/>
        </w:rPr>
        <w:t xml:space="preserve">Chung Shan Medical University </w:t>
      </w:r>
      <w:r w:rsidR="39A7F629">
        <w:rPr/>
        <w:t xml:space="preserve">(CSMU). </w:t>
      </w:r>
      <w:r w:rsidRPr="39D341FB" w:rsidR="39A7F629">
        <w:rPr>
          <w:b w:val="1"/>
          <w:bCs w:val="1"/>
        </w:rPr>
        <w:t>National Taiwan University</w:t>
      </w:r>
      <w:r w:rsidR="39A7F629">
        <w:rPr/>
        <w:t xml:space="preserve"> (NTU) is Taiwan’s highest ranked institution, in 23rd place for the second year running.</w:t>
      </w:r>
    </w:p>
    <w:p w:rsidR="00AF6112" w:rsidP="5AD07FE2" w:rsidRDefault="00000000" w14:paraId="62401AA4" w14:textId="2EFBB876">
      <w:pPr>
        <w:pStyle w:val="Normal"/>
        <w:suppressLineNumbers w:val="0"/>
        <w:bidi w:val="0"/>
        <w:spacing w:before="0" w:beforeAutospacing="off" w:after="180" w:afterAutospacing="off" w:line="300" w:lineRule="auto"/>
        <w:ind w:left="0" w:right="0"/>
        <w:jc w:val="both"/>
      </w:pPr>
      <w:r w:rsidR="67039384">
        <w:rPr/>
        <w:t xml:space="preserve">The biggest gains are near the top. </w:t>
      </w:r>
      <w:r w:rsidRPr="5AD07FE2" w:rsidR="67039384">
        <w:rPr>
          <w:b w:val="1"/>
          <w:bCs w:val="1"/>
        </w:rPr>
        <w:t xml:space="preserve">National Cheng Kung University </w:t>
      </w:r>
      <w:r w:rsidR="67039384">
        <w:rPr/>
        <w:t xml:space="preserve">(NCKU) in Tainan rises </w:t>
      </w:r>
      <w:r w:rsidR="43FBF12B">
        <w:rPr/>
        <w:t xml:space="preserve">10 </w:t>
      </w:r>
      <w:r w:rsidR="67039384">
        <w:rPr/>
        <w:t xml:space="preserve">places to 33rd, the largest gain among Taiwan’s leading universities. National Tsing Hua University (NTHU) climbs to 35th from 37th and </w:t>
      </w:r>
      <w:r w:rsidRPr="5AD07FE2" w:rsidR="67039384">
        <w:rPr>
          <w:b w:val="1"/>
          <w:bCs w:val="1"/>
        </w:rPr>
        <w:t>National Yang Ming Chiao Tung University</w:t>
      </w:r>
      <w:r w:rsidR="67039384">
        <w:rPr/>
        <w:t xml:space="preserve"> (NYCU) to 36th from 41st. Both are in Hsinchu, the </w:t>
      </w:r>
      <w:r w:rsidR="67039384">
        <w:rPr/>
        <w:t>centre</w:t>
      </w:r>
      <w:r w:rsidR="67039384">
        <w:rPr/>
        <w:t xml:space="preserve"> of Taiwan’s semiconductor industry, which now has two universities in Asia’s top 40. </w:t>
      </w:r>
      <w:r w:rsidRPr="5AD07FE2" w:rsidR="67039384">
        <w:rPr>
          <w:b w:val="1"/>
          <w:bCs w:val="1"/>
        </w:rPr>
        <w:t>National Taiwan Normal University</w:t>
      </w:r>
      <w:r w:rsidR="67039384">
        <w:rPr/>
        <w:t xml:space="preserve"> (NTNU) also rises, to 74th from 80th.</w:t>
      </w:r>
    </w:p>
    <w:p w:rsidR="00AF6112" w:rsidRDefault="00000000" w14:paraId="66430CF6" w14:textId="644475E6">
      <w:pPr>
        <w:spacing w:after="180" w:line="300" w:lineRule="auto"/>
        <w:jc w:val="both"/>
      </w:pPr>
      <w:r>
        <w:rPr/>
        <w:t>Taiwan has four universities in the top 50 and seven in the top 100.</w:t>
      </w:r>
      <w:r w:rsidRPr="6984B6AB">
        <w:rPr>
          <w:b w:val="1"/>
          <w:bCs w:val="1"/>
        </w:rPr>
        <w:t xml:space="preserve"> National Taiwan University of Science and Technology</w:t>
      </w:r>
      <w:r>
        <w:rPr/>
        <w:t xml:space="preserve"> (Taiwan Tech) slips to 54th from 46th, and </w:t>
      </w:r>
      <w:r w:rsidRPr="6984B6AB">
        <w:rPr>
          <w:b w:val="1"/>
          <w:bCs w:val="1"/>
        </w:rPr>
        <w:t>National Taipei University of Technology</w:t>
      </w:r>
      <w:r>
        <w:rPr/>
        <w:t xml:space="preserve"> drops out of the top 100, to 110th from 88th. Thirteen Taiwanese universities are in the top 200, one fewer than last year, and 31 are in the top 500, the same as last year.</w:t>
      </w:r>
    </w:p>
    <w:tbl>
      <w:tblPr>
        <w:tblW w:w="7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000"/>
        <w:gridCol w:w="900"/>
        <w:gridCol w:w="900"/>
        <w:gridCol w:w="4638"/>
      </w:tblGrid>
      <w:tr w:rsidRPr="00CE68B0" w:rsidR="00CE68B0" w:rsidTr="00CE68B0" w14:paraId="29684A7E" w14:textId="77777777">
        <w:tblPrEx>
          <w:tblCellMar>
            <w:top w:w="0" w:type="dxa"/>
            <w:bottom w:w="0" w:type="dxa"/>
          </w:tblCellMar>
        </w:tblPrEx>
        <w:trPr>
          <w:tblHeader/>
          <w:jc w:val="center"/>
        </w:trPr>
        <w:tc>
          <w:tcPr>
            <w:tcW w:w="7438" w:type="dxa"/>
            <w:gridSpan w:val="4"/>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CD66099" w14:textId="545C2FD2">
            <w:pPr>
              <w:jc w:val="center"/>
              <w:rPr>
                <w:sz w:val="20"/>
                <w:szCs w:val="20"/>
              </w:rPr>
            </w:pPr>
            <w:r>
              <w:rPr>
                <w:b/>
                <w:bCs/>
                <w:rFonts w:eastAsia="Times New Roman"/>
                <w:sz w:val="20"/>
                <w:szCs w:val="20"/>
                <w:lang w:eastAsia="en-GB"/>
              </w:rPr>
              <w:t>Table 2: Taiwan – Top 20</w:t>
            </w:r>
          </w:p>
        </w:tc>
      </w:tr>
      <w:tr w:rsidRPr="00CE68B0" w:rsidR="00CE68B0" w:rsidTr="00CE68B0" w14:paraId="3420A9B5" w14:textId="77777777">
        <w:tblPrEx>
          <w:tblCellMar>
            <w:top w:w="0" w:type="dxa"/>
            <w:bottom w:w="0" w:type="dxa"/>
          </w:tblCellMar>
        </w:tblPrEx>
        <w:trPr>
          <w:tblHeader/>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62FCBFFF" w14:textId="77777777">
            <w:pPr>
              <w:rPr>
                <w:sz w:val="20"/>
                <w:szCs w:val="20"/>
              </w:rPr>
            </w:pPr>
            <w:r>
              <w:rPr>
                <w:b/>
                <w:bCs/>
                <w:sz w:val="20"/>
                <w:szCs w:val="20"/>
              </w:rPr>
              <w:t>Taiwan Rank</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3B91751B" w14:textId="77777777">
            <w:pPr>
              <w:jc w:val="center"/>
              <w:rPr>
                <w:sz w:val="20"/>
                <w:szCs w:val="20"/>
              </w:rPr>
            </w:pPr>
            <w:r>
              <w:rPr>
                <w:b/>
                <w:bCs/>
                <w:sz w:val="20"/>
                <w:szCs w:val="20"/>
              </w:rPr>
              <w:t>2027 Rank</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8923BB5" w14:textId="77777777">
            <w:pPr>
              <w:jc w:val="center"/>
              <w:rPr>
                <w:sz w:val="20"/>
                <w:szCs w:val="20"/>
              </w:rPr>
            </w:pPr>
            <w:r>
              <w:rPr>
                <w:b/>
                <w:bCs/>
                <w:sz w:val="20"/>
                <w:szCs w:val="20"/>
              </w:rPr>
              <w:t>2026 Rank</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1ACA8025" w14:textId="77777777">
            <w:pPr>
              <w:rPr>
                <w:sz w:val="20"/>
                <w:szCs w:val="20"/>
              </w:rPr>
            </w:pPr>
            <w:r>
              <w:rPr>
                <w:b/>
                <w:bCs/>
                <w:sz w:val="20"/>
                <w:szCs w:val="20"/>
              </w:rPr>
              <w:t>Institution</w:t>
            </w:r>
          </w:p>
        </w:tc>
      </w:tr>
      <w:tr w:rsidRPr="00CE68B0" w:rsidR="00CE68B0" w:rsidTr="00CE68B0" w14:paraId="1C3D48E1"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0427B76" w14:textId="77777777">
            <w:pPr>
              <w:jc w:val="center"/>
              <w:rPr>
                <w:sz w:val="20"/>
                <w:szCs w:val="20"/>
              </w:rPr>
            </w:pPr>
            <w:r>
              <w:rPr>
                <w:sz w:val="20"/>
                <w:szCs w:val="20"/>
              </w:rPr>
              <w:t xml:space="preserve">1</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57EFF804" w14:textId="77777777">
            <w:pPr>
              <w:jc w:val="center"/>
              <w:rPr>
                <w:sz w:val="20"/>
                <w:szCs w:val="20"/>
              </w:rPr>
            </w:pPr>
            <w:r>
              <w:rPr>
                <w:sz w:val="20"/>
                <w:szCs w:val="20"/>
              </w:rPr>
              <w:t xml:space="preserve">23</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5BB7EE5A" w14:textId="77777777">
            <w:pPr>
              <w:jc w:val="center"/>
              <w:rPr>
                <w:sz w:val="20"/>
                <w:szCs w:val="20"/>
              </w:rPr>
            </w:pPr>
            <w:r>
              <w:rPr>
                <w:sz w:val="20"/>
                <w:szCs w:val="20"/>
              </w:rPr>
              <w:t xml:space="preserve">23</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6DCC0F3D" w14:textId="77777777">
            <w:pPr>
              <w:rPr>
                <w:sz w:val="20"/>
                <w:szCs w:val="20"/>
              </w:rPr>
            </w:pPr>
            <w:r>
              <w:rPr>
                <w:sz w:val="20"/>
                <w:szCs w:val="20"/>
              </w:rPr>
              <w:t xml:space="preserve">National Taiwan University (NTU)</w:t>
            </w:r>
          </w:p>
        </w:tc>
      </w:tr>
      <w:tr w:rsidRPr="00CE68B0" w:rsidR="00CE68B0" w:rsidTr="00CE68B0" w14:paraId="7A0F6755"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D9A95DB" w14:textId="77777777">
            <w:pPr>
              <w:jc w:val="center"/>
              <w:rPr>
                <w:sz w:val="20"/>
                <w:szCs w:val="20"/>
              </w:rPr>
            </w:pPr>
            <w:r>
              <w:rPr>
                <w:sz w:val="20"/>
                <w:szCs w:val="20"/>
              </w:rPr>
              <w:t xml:space="preserve">2</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128CB865" w14:textId="77777777">
            <w:pPr>
              <w:jc w:val="center"/>
              <w:rPr>
                <w:sz w:val="20"/>
                <w:szCs w:val="20"/>
              </w:rPr>
            </w:pPr>
            <w:r>
              <w:rPr>
                <w:sz w:val="20"/>
                <w:szCs w:val="20"/>
              </w:rPr>
              <w:t xml:space="preserve">33</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13B18018" w14:textId="77777777">
            <w:pPr>
              <w:jc w:val="center"/>
              <w:rPr>
                <w:sz w:val="20"/>
                <w:szCs w:val="20"/>
              </w:rPr>
            </w:pPr>
            <w:r>
              <w:rPr>
                <w:sz w:val="20"/>
                <w:szCs w:val="20"/>
              </w:rPr>
              <w:t xml:space="preserve">43</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4AC9758B" w14:textId="77777777">
            <w:pPr>
              <w:rPr>
                <w:sz w:val="20"/>
                <w:szCs w:val="20"/>
              </w:rPr>
            </w:pPr>
            <w:r>
              <w:rPr>
                <w:sz w:val="20"/>
                <w:szCs w:val="20"/>
              </w:rPr>
              <w:t xml:space="preserve">National Cheng Kung University (NCKU)</w:t>
            </w:r>
          </w:p>
        </w:tc>
      </w:tr>
      <w:tr w:rsidRPr="00CE68B0" w:rsidR="00CE68B0" w:rsidTr="00CE68B0" w14:paraId="112188B5"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24BC00D" w14:textId="77777777">
            <w:pPr>
              <w:jc w:val="center"/>
              <w:rPr>
                <w:sz w:val="20"/>
                <w:szCs w:val="20"/>
              </w:rPr>
            </w:pPr>
            <w:r>
              <w:rPr>
                <w:sz w:val="20"/>
                <w:szCs w:val="20"/>
              </w:rPr>
              <w:t xml:space="preserve">3</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1F0AA5CE" w14:textId="77777777">
            <w:pPr>
              <w:jc w:val="center"/>
              <w:rPr>
                <w:sz w:val="20"/>
                <w:szCs w:val="20"/>
              </w:rPr>
            </w:pPr>
            <w:r>
              <w:rPr>
                <w:sz w:val="20"/>
                <w:szCs w:val="20"/>
              </w:rPr>
              <w:t xml:space="preserve">35</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3D2A32C6" w14:textId="77777777">
            <w:pPr>
              <w:jc w:val="center"/>
              <w:rPr>
                <w:sz w:val="20"/>
                <w:szCs w:val="20"/>
              </w:rPr>
            </w:pPr>
            <w:r>
              <w:rPr>
                <w:sz w:val="20"/>
                <w:szCs w:val="20"/>
              </w:rPr>
              <w:t xml:space="preserve">37</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48010157" w14:textId="77777777">
            <w:pPr>
              <w:rPr>
                <w:sz w:val="20"/>
                <w:szCs w:val="20"/>
              </w:rPr>
            </w:pPr>
            <w:r>
              <w:rPr>
                <w:sz w:val="20"/>
                <w:szCs w:val="20"/>
              </w:rPr>
              <w:t xml:space="preserve">National Tsing Hua University (NTHU)</w:t>
            </w:r>
          </w:p>
        </w:tc>
      </w:tr>
      <w:tr w:rsidRPr="00CE68B0" w:rsidR="00CE68B0" w:rsidTr="00CE68B0" w14:paraId="299DDD2F"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D4A29E5" w14:textId="77777777">
            <w:pPr>
              <w:jc w:val="center"/>
              <w:rPr>
                <w:sz w:val="20"/>
                <w:szCs w:val="20"/>
              </w:rPr>
            </w:pPr>
            <w:r>
              <w:rPr>
                <w:sz w:val="20"/>
                <w:szCs w:val="20"/>
              </w:rPr>
              <w:t xml:space="preserve">4</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470C7B3B" w14:textId="77777777">
            <w:pPr>
              <w:jc w:val="center"/>
              <w:rPr>
                <w:sz w:val="20"/>
                <w:szCs w:val="20"/>
              </w:rPr>
            </w:pPr>
            <w:r>
              <w:rPr>
                <w:sz w:val="20"/>
                <w:szCs w:val="20"/>
              </w:rPr>
              <w:t xml:space="preserve">36</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ECA5589" w14:textId="77777777">
            <w:pPr>
              <w:jc w:val="center"/>
              <w:rPr>
                <w:sz w:val="20"/>
                <w:szCs w:val="20"/>
              </w:rPr>
            </w:pPr>
            <w:r>
              <w:rPr>
                <w:sz w:val="20"/>
                <w:szCs w:val="20"/>
              </w:rPr>
              <w:t xml:space="preserve">41</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503CFADE" w14:textId="77777777">
            <w:pPr>
              <w:rPr>
                <w:sz w:val="20"/>
                <w:szCs w:val="20"/>
              </w:rPr>
            </w:pPr>
            <w:r>
              <w:rPr>
                <w:sz w:val="20"/>
                <w:szCs w:val="20"/>
              </w:rPr>
              <w:t xml:space="preserve">National Yang Ming Chiao Tung University (NYCU)</w:t>
            </w:r>
          </w:p>
        </w:tc>
      </w:tr>
      <w:tr w:rsidRPr="00CE68B0" w:rsidR="00CE68B0" w:rsidTr="00CE68B0" w14:paraId="4DE73BEB"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45D1AA87" w14:textId="77777777">
            <w:pPr>
              <w:jc w:val="center"/>
              <w:rPr>
                <w:sz w:val="20"/>
                <w:szCs w:val="20"/>
              </w:rPr>
            </w:pPr>
            <w:r>
              <w:rPr>
                <w:sz w:val="20"/>
                <w:szCs w:val="20"/>
              </w:rPr>
              <w:t xml:space="preserve">5</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3BF0B827" w14:textId="77777777">
            <w:pPr>
              <w:jc w:val="center"/>
              <w:rPr>
                <w:sz w:val="20"/>
                <w:szCs w:val="20"/>
              </w:rPr>
            </w:pPr>
            <w:r>
              <w:rPr>
                <w:sz w:val="20"/>
                <w:szCs w:val="20"/>
              </w:rPr>
              <w:t xml:space="preserve">54</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816E262" w14:textId="77777777">
            <w:pPr>
              <w:jc w:val="center"/>
              <w:rPr>
                <w:sz w:val="20"/>
                <w:szCs w:val="20"/>
              </w:rPr>
            </w:pPr>
            <w:r>
              <w:rPr>
                <w:sz w:val="20"/>
                <w:szCs w:val="20"/>
              </w:rPr>
              <w:t xml:space="preserve">46</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7F17D94" w14:textId="77777777">
            <w:pPr>
              <w:rPr>
                <w:sz w:val="20"/>
                <w:szCs w:val="20"/>
              </w:rPr>
            </w:pPr>
            <w:r>
              <w:rPr>
                <w:sz w:val="20"/>
                <w:szCs w:val="20"/>
              </w:rPr>
              <w:t xml:space="preserve">National Taiwan University of Science and Technology (Taiwan Tech)</w:t>
            </w:r>
          </w:p>
        </w:tc>
      </w:tr>
      <w:tr w:rsidRPr="00CE68B0" w:rsidR="00CE68B0" w:rsidTr="00CE68B0" w14:paraId="1C04BA18"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3EED6D14" w14:textId="77777777">
            <w:pPr>
              <w:jc w:val="center"/>
              <w:rPr>
                <w:sz w:val="20"/>
                <w:szCs w:val="20"/>
              </w:rPr>
            </w:pPr>
            <w:r>
              <w:rPr>
                <w:sz w:val="20"/>
                <w:szCs w:val="20"/>
              </w:rPr>
              <w:t xml:space="preserve">6</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51F4C26F" w14:textId="77777777">
            <w:pPr>
              <w:jc w:val="center"/>
              <w:rPr>
                <w:sz w:val="20"/>
                <w:szCs w:val="20"/>
              </w:rPr>
            </w:pPr>
            <w:r>
              <w:rPr>
                <w:sz w:val="20"/>
                <w:szCs w:val="20"/>
              </w:rPr>
              <w:t xml:space="preserve">74</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3ED6926F" w14:textId="77777777">
            <w:pPr>
              <w:jc w:val="center"/>
              <w:rPr>
                <w:sz w:val="20"/>
                <w:szCs w:val="20"/>
              </w:rPr>
            </w:pPr>
            <w:r>
              <w:rPr>
                <w:sz w:val="20"/>
                <w:szCs w:val="20"/>
              </w:rPr>
              <w:t xml:space="preserve">80</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6C6A0416" w14:textId="77777777">
            <w:pPr>
              <w:rPr>
                <w:sz w:val="20"/>
                <w:szCs w:val="20"/>
              </w:rPr>
            </w:pPr>
            <w:r>
              <w:rPr>
                <w:sz w:val="20"/>
                <w:szCs w:val="20"/>
              </w:rPr>
              <w:t xml:space="preserve">National Taiwan Normal University (NTNU)</w:t>
            </w:r>
          </w:p>
        </w:tc>
      </w:tr>
      <w:tr w:rsidRPr="00CE68B0" w:rsidR="00CE68B0" w:rsidTr="00CE68B0" w14:paraId="2AF6AE9D"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5174EAB2" w14:textId="77777777">
            <w:pPr>
              <w:jc w:val="center"/>
              <w:rPr>
                <w:sz w:val="20"/>
                <w:szCs w:val="20"/>
              </w:rPr>
            </w:pPr>
            <w:r>
              <w:rPr>
                <w:sz w:val="20"/>
                <w:szCs w:val="20"/>
              </w:rPr>
              <w:t xml:space="preserve">7</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D12D8B3" w14:textId="77777777">
            <w:pPr>
              <w:jc w:val="center"/>
              <w:rPr>
                <w:sz w:val="20"/>
                <w:szCs w:val="20"/>
              </w:rPr>
            </w:pPr>
            <w:r>
              <w:rPr>
                <w:sz w:val="20"/>
                <w:szCs w:val="20"/>
              </w:rPr>
              <w:t xml:space="preserve">76</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4625CDC7" w14:textId="77777777">
            <w:pPr>
              <w:jc w:val="center"/>
              <w:rPr>
                <w:sz w:val="20"/>
                <w:szCs w:val="20"/>
              </w:rPr>
            </w:pPr>
            <w:r>
              <w:rPr>
                <w:sz w:val="20"/>
                <w:szCs w:val="20"/>
              </w:rPr>
              <w:t xml:space="preserve">72</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E7CD37B" w14:textId="77777777">
            <w:pPr>
              <w:rPr>
                <w:sz w:val="20"/>
                <w:szCs w:val="20"/>
              </w:rPr>
            </w:pPr>
            <w:r>
              <w:rPr>
                <w:sz w:val="20"/>
                <w:szCs w:val="20"/>
              </w:rPr>
              <w:t xml:space="preserve">National Sun Yat-sen University (NSYSU)</w:t>
            </w:r>
          </w:p>
        </w:tc>
      </w:tr>
      <w:tr w:rsidRPr="00CE68B0" w:rsidR="00CE68B0" w:rsidTr="00CE68B0" w14:paraId="262C2BD5"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745518A" w14:textId="77777777">
            <w:pPr>
              <w:jc w:val="center"/>
              <w:rPr>
                <w:sz w:val="20"/>
                <w:szCs w:val="20"/>
              </w:rPr>
            </w:pPr>
            <w:r>
              <w:rPr>
                <w:sz w:val="20"/>
                <w:szCs w:val="20"/>
              </w:rPr>
              <w:t xml:space="preserve">8</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7D11FCF" w14:textId="77777777">
            <w:pPr>
              <w:jc w:val="center"/>
              <w:rPr>
                <w:sz w:val="20"/>
                <w:szCs w:val="20"/>
              </w:rPr>
            </w:pPr>
            <w:r>
              <w:rPr>
                <w:sz w:val="20"/>
                <w:szCs w:val="20"/>
              </w:rPr>
              <w:t xml:space="preserve">110</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696FF2C" w14:textId="77777777">
            <w:pPr>
              <w:jc w:val="center"/>
              <w:rPr>
                <w:sz w:val="20"/>
                <w:szCs w:val="20"/>
              </w:rPr>
            </w:pPr>
            <w:r>
              <w:rPr>
                <w:sz w:val="20"/>
                <w:szCs w:val="20"/>
              </w:rPr>
              <w:t xml:space="preserve">88</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6FA2736B" w14:textId="77777777">
            <w:pPr>
              <w:rPr>
                <w:sz w:val="20"/>
                <w:szCs w:val="20"/>
              </w:rPr>
            </w:pPr>
            <w:r>
              <w:rPr>
                <w:sz w:val="20"/>
                <w:szCs w:val="20"/>
              </w:rPr>
              <w:t xml:space="preserve">National Taipei University of Technology</w:t>
            </w:r>
          </w:p>
        </w:tc>
      </w:tr>
      <w:tr w:rsidRPr="00CE68B0" w:rsidR="00CE68B0" w:rsidTr="00CE68B0" w14:paraId="4A89A7BD"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3B76B8E" w14:textId="77777777">
            <w:pPr>
              <w:jc w:val="center"/>
              <w:rPr>
                <w:sz w:val="20"/>
                <w:szCs w:val="20"/>
              </w:rPr>
            </w:pPr>
            <w:r>
              <w:rPr>
                <w:sz w:val="20"/>
                <w:szCs w:val="20"/>
              </w:rPr>
              <w:t xml:space="preserve">9</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6F2E58C" w14:textId="77777777">
            <w:pPr>
              <w:jc w:val="center"/>
              <w:rPr>
                <w:sz w:val="20"/>
                <w:szCs w:val="20"/>
              </w:rPr>
            </w:pPr>
            <w:r>
              <w:rPr>
                <w:sz w:val="20"/>
                <w:szCs w:val="20"/>
              </w:rPr>
              <w:t xml:space="preserve">118</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2EA551D" w14:textId="77777777">
            <w:pPr>
              <w:jc w:val="center"/>
              <w:rPr>
                <w:sz w:val="20"/>
                <w:szCs w:val="20"/>
              </w:rPr>
            </w:pPr>
            <w:r>
              <w:rPr>
                <w:sz w:val="20"/>
                <w:szCs w:val="20"/>
              </w:rPr>
              <w:t xml:space="preserve">108</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8E1C3F2" w14:textId="77777777">
            <w:pPr>
              <w:rPr>
                <w:sz w:val="20"/>
                <w:szCs w:val="20"/>
              </w:rPr>
            </w:pPr>
            <w:r>
              <w:rPr>
                <w:sz w:val="20"/>
                <w:szCs w:val="20"/>
              </w:rPr>
              <w:t xml:space="preserve">National Central University</w:t>
            </w:r>
          </w:p>
        </w:tc>
      </w:tr>
      <w:tr w:rsidRPr="00CE68B0" w:rsidR="00CE68B0" w:rsidTr="00CE68B0" w14:paraId="76CD7D28"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A6830F1" w14:textId="77777777">
            <w:pPr>
              <w:jc w:val="center"/>
              <w:rPr>
                <w:sz w:val="20"/>
                <w:szCs w:val="20"/>
              </w:rPr>
            </w:pPr>
            <w:r>
              <w:rPr>
                <w:sz w:val="20"/>
                <w:szCs w:val="20"/>
              </w:rPr>
              <w:t xml:space="preserve">10</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31BD4B93" w14:textId="77777777">
            <w:pPr>
              <w:jc w:val="center"/>
              <w:rPr>
                <w:sz w:val="20"/>
                <w:szCs w:val="20"/>
              </w:rPr>
            </w:pPr>
            <w:r>
              <w:rPr>
                <w:sz w:val="20"/>
                <w:szCs w:val="20"/>
              </w:rPr>
              <w:t xml:space="preserve">128</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50890EB4" w14:textId="77777777">
            <w:pPr>
              <w:jc w:val="center"/>
              <w:rPr>
                <w:sz w:val="20"/>
                <w:szCs w:val="20"/>
              </w:rPr>
            </w:pPr>
            <w:r>
              <w:rPr>
                <w:sz w:val="20"/>
                <w:szCs w:val="20"/>
              </w:rPr>
              <w:t xml:space="preserve">128</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C2DE1D4" w14:textId="77777777">
            <w:pPr>
              <w:rPr>
                <w:sz w:val="20"/>
                <w:szCs w:val="20"/>
              </w:rPr>
            </w:pPr>
            <w:r>
              <w:rPr>
                <w:sz w:val="20"/>
                <w:szCs w:val="20"/>
              </w:rPr>
              <w:t xml:space="preserve">National Chung Hsing University</w:t>
            </w:r>
          </w:p>
        </w:tc>
      </w:tr>
      <w:tr w:rsidRPr="00CE68B0" w:rsidR="00CE68B0" w:rsidTr="00CE68B0" w14:paraId="2D63A753"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52B71EE6" w14:textId="77777777">
            <w:pPr>
              <w:jc w:val="center"/>
              <w:rPr>
                <w:sz w:val="20"/>
                <w:szCs w:val="20"/>
              </w:rPr>
            </w:pPr>
            <w:r>
              <w:rPr>
                <w:sz w:val="20"/>
                <w:szCs w:val="20"/>
              </w:rPr>
              <w:t xml:space="preserve">11</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7951717" w14:textId="77777777">
            <w:pPr>
              <w:jc w:val="center"/>
              <w:rPr>
                <w:sz w:val="20"/>
                <w:szCs w:val="20"/>
              </w:rPr>
            </w:pPr>
            <w:r>
              <w:rPr>
                <w:sz w:val="20"/>
                <w:szCs w:val="20"/>
              </w:rPr>
              <w:t xml:space="preserve">134</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111A7E35" w14:textId="77777777">
            <w:pPr>
              <w:jc w:val="center"/>
              <w:rPr>
                <w:sz w:val="20"/>
                <w:szCs w:val="20"/>
              </w:rPr>
            </w:pPr>
            <w:r>
              <w:rPr>
                <w:sz w:val="20"/>
                <w:szCs w:val="20"/>
              </w:rPr>
              <w:t xml:space="preserve">132</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E604EC3" w14:textId="77777777">
            <w:pPr>
              <w:rPr>
                <w:sz w:val="20"/>
                <w:szCs w:val="20"/>
              </w:rPr>
            </w:pPr>
            <w:r>
              <w:rPr>
                <w:sz w:val="20"/>
                <w:szCs w:val="20"/>
              </w:rPr>
              <w:t xml:space="preserve">National Chengchi University</w:t>
            </w:r>
          </w:p>
        </w:tc>
      </w:tr>
      <w:tr w:rsidRPr="00CE68B0" w:rsidR="00CE68B0" w:rsidTr="00CE68B0" w14:paraId="3637766B"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AB5E46A" w14:textId="77777777">
            <w:pPr>
              <w:jc w:val="center"/>
              <w:rPr>
                <w:sz w:val="20"/>
                <w:szCs w:val="20"/>
              </w:rPr>
            </w:pPr>
            <w:r>
              <w:rPr>
                <w:sz w:val="20"/>
                <w:szCs w:val="20"/>
              </w:rPr>
              <w:t xml:space="preserve">12</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5F96B95D" w14:textId="77777777">
            <w:pPr>
              <w:jc w:val="center"/>
              <w:rPr>
                <w:sz w:val="20"/>
                <w:szCs w:val="20"/>
              </w:rPr>
            </w:pPr>
            <w:r>
              <w:rPr>
                <w:sz w:val="20"/>
                <w:szCs w:val="20"/>
              </w:rPr>
              <w:t xml:space="preserve">157</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BFF9E72" w14:textId="77777777">
            <w:pPr>
              <w:jc w:val="center"/>
              <w:rPr>
                <w:sz w:val="20"/>
                <w:szCs w:val="20"/>
              </w:rPr>
            </w:pPr>
            <w:r>
              <w:rPr>
                <w:sz w:val="20"/>
                <w:szCs w:val="20"/>
              </w:rPr>
              <w:t xml:space="preserve">131</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4A96F678" w14:textId="77777777">
            <w:pPr>
              <w:rPr>
                <w:sz w:val="20"/>
                <w:szCs w:val="20"/>
              </w:rPr>
            </w:pPr>
            <w:r>
              <w:rPr>
                <w:sz w:val="20"/>
                <w:szCs w:val="20"/>
              </w:rPr>
              <w:t xml:space="preserve">Taipei Medical University (TMU)</w:t>
            </w:r>
          </w:p>
        </w:tc>
      </w:tr>
      <w:tr w:rsidRPr="00CE68B0" w:rsidR="00CE68B0" w:rsidTr="00CE68B0" w14:paraId="5D170D67"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582B80A2" w14:textId="77777777">
            <w:pPr>
              <w:jc w:val="center"/>
              <w:rPr>
                <w:sz w:val="20"/>
                <w:szCs w:val="20"/>
              </w:rPr>
            </w:pPr>
            <w:r>
              <w:rPr>
                <w:sz w:val="20"/>
                <w:szCs w:val="20"/>
              </w:rPr>
              <w:t xml:space="preserve">13</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C87AF93" w14:textId="77777777">
            <w:pPr>
              <w:jc w:val="center"/>
              <w:rPr>
                <w:sz w:val="20"/>
                <w:szCs w:val="20"/>
              </w:rPr>
            </w:pPr>
            <w:r>
              <w:rPr>
                <w:sz w:val="20"/>
                <w:szCs w:val="20"/>
              </w:rPr>
              <w:t xml:space="preserve">200</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BB53EF4" w14:textId="77777777">
            <w:pPr>
              <w:jc w:val="center"/>
              <w:rPr>
                <w:sz w:val="20"/>
                <w:szCs w:val="20"/>
              </w:rPr>
            </w:pPr>
            <w:r>
              <w:rPr>
                <w:sz w:val="20"/>
                <w:szCs w:val="20"/>
              </w:rPr>
              <w:t xml:space="preserve">186</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524D5829" w14:textId="77777777">
            <w:pPr>
              <w:rPr>
                <w:sz w:val="20"/>
                <w:szCs w:val="20"/>
              </w:rPr>
            </w:pPr>
            <w:r>
              <w:rPr>
                <w:sz w:val="20"/>
                <w:szCs w:val="20"/>
              </w:rPr>
              <w:t xml:space="preserve">China Medical University</w:t>
            </w:r>
          </w:p>
        </w:tc>
      </w:tr>
      <w:tr w:rsidRPr="00CE68B0" w:rsidR="00CE68B0" w:rsidTr="00CE68B0" w14:paraId="2ABB0EE6"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4ADDDFE4" w14:textId="77777777">
            <w:pPr>
              <w:jc w:val="center"/>
              <w:rPr>
                <w:sz w:val="20"/>
                <w:szCs w:val="20"/>
              </w:rPr>
            </w:pPr>
            <w:r>
              <w:rPr>
                <w:sz w:val="20"/>
                <w:szCs w:val="20"/>
              </w:rPr>
              <w:t xml:space="preserve">14</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A63F7BE" w14:textId="77777777">
            <w:pPr>
              <w:jc w:val="center"/>
              <w:rPr>
                <w:sz w:val="20"/>
                <w:szCs w:val="20"/>
              </w:rPr>
            </w:pPr>
            <w:r>
              <w:rPr>
                <w:sz w:val="20"/>
                <w:szCs w:val="20"/>
              </w:rPr>
              <w:t xml:space="preserve">217</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DA529FB" w14:textId="77777777">
            <w:pPr>
              <w:jc w:val="center"/>
              <w:rPr>
                <w:sz w:val="20"/>
                <w:szCs w:val="20"/>
              </w:rPr>
            </w:pPr>
            <w:r>
              <w:rPr>
                <w:sz w:val="20"/>
                <w:szCs w:val="20"/>
              </w:rPr>
              <w:t xml:space="preserve">183</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54AEAD72" w14:textId="77777777">
            <w:pPr>
              <w:rPr>
                <w:sz w:val="20"/>
                <w:szCs w:val="20"/>
              </w:rPr>
            </w:pPr>
            <w:r>
              <w:rPr>
                <w:sz w:val="20"/>
                <w:szCs w:val="20"/>
              </w:rPr>
              <w:t xml:space="preserve">National Chung Cheng University</w:t>
            </w:r>
          </w:p>
        </w:tc>
      </w:tr>
      <w:tr w:rsidRPr="00CE68B0" w:rsidR="00CE68B0" w:rsidTr="00CE68B0" w14:paraId="5C43EF62"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1AE9AB6E" w14:textId="77777777">
            <w:pPr>
              <w:jc w:val="center"/>
              <w:rPr>
                <w:sz w:val="20"/>
                <w:szCs w:val="20"/>
              </w:rPr>
            </w:pPr>
            <w:r>
              <w:rPr>
                <w:sz w:val="20"/>
                <w:szCs w:val="20"/>
              </w:rPr>
              <w:t xml:space="preserve">15</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A656BF0" w14:textId="77777777">
            <w:pPr>
              <w:jc w:val="center"/>
              <w:rPr>
                <w:sz w:val="20"/>
                <w:szCs w:val="20"/>
              </w:rPr>
            </w:pPr>
            <w:r>
              <w:rPr>
                <w:sz w:val="20"/>
                <w:szCs w:val="20"/>
              </w:rPr>
              <w:t xml:space="preserve">235</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306177CF" w14:textId="77777777">
            <w:pPr>
              <w:jc w:val="center"/>
              <w:rPr>
                <w:sz w:val="20"/>
                <w:szCs w:val="20"/>
              </w:rPr>
            </w:pPr>
            <w:r>
              <w:rPr>
                <w:sz w:val="20"/>
                <w:szCs w:val="20"/>
              </w:rPr>
              <w:t xml:space="preserve">235</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299DB664" w14:textId="77777777">
            <w:pPr>
              <w:rPr>
                <w:sz w:val="20"/>
                <w:szCs w:val="20"/>
              </w:rPr>
            </w:pPr>
            <w:r>
              <w:rPr>
                <w:sz w:val="20"/>
                <w:szCs w:val="20"/>
              </w:rPr>
              <w:t xml:space="preserve">Chang Gung University</w:t>
            </w:r>
          </w:p>
        </w:tc>
      </w:tr>
      <w:tr w:rsidRPr="00CE68B0" w:rsidR="00CE68B0" w:rsidTr="00CE68B0" w14:paraId="29D37210"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40F43D84" w14:textId="77777777">
            <w:pPr>
              <w:jc w:val="center"/>
              <w:rPr>
                <w:sz w:val="20"/>
                <w:szCs w:val="20"/>
              </w:rPr>
            </w:pPr>
            <w:r>
              <w:rPr>
                <w:sz w:val="20"/>
                <w:szCs w:val="20"/>
              </w:rPr>
              <w:t xml:space="preserve">16</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1BE06CC3" w14:textId="77777777">
            <w:pPr>
              <w:jc w:val="center"/>
              <w:rPr>
                <w:sz w:val="20"/>
                <w:szCs w:val="20"/>
              </w:rPr>
            </w:pPr>
            <w:r>
              <w:rPr>
                <w:sz w:val="20"/>
                <w:szCs w:val="20"/>
              </w:rPr>
              <w:t xml:space="preserve">247</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84580EA" w14:textId="77777777">
            <w:pPr>
              <w:jc w:val="center"/>
              <w:rPr>
                <w:sz w:val="20"/>
                <w:szCs w:val="20"/>
              </w:rPr>
            </w:pPr>
            <w:r>
              <w:rPr>
                <w:sz w:val="20"/>
                <w:szCs w:val="20"/>
              </w:rPr>
              <w:t xml:space="preserve">236</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46555F46" w14:textId="77777777">
            <w:pPr>
              <w:rPr>
                <w:sz w:val="20"/>
                <w:szCs w:val="20"/>
              </w:rPr>
            </w:pPr>
            <w:r>
              <w:rPr>
                <w:sz w:val="20"/>
                <w:szCs w:val="20"/>
              </w:rPr>
              <w:t xml:space="preserve">Yuan Ze University</w:t>
            </w:r>
          </w:p>
        </w:tc>
      </w:tr>
      <w:tr w:rsidRPr="00CE68B0" w:rsidR="00CE68B0" w:rsidTr="00CE68B0" w14:paraId="549DFB2D"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4930C2D4" w14:textId="77777777">
            <w:pPr>
              <w:jc w:val="center"/>
              <w:rPr>
                <w:sz w:val="20"/>
                <w:szCs w:val="20"/>
              </w:rPr>
            </w:pPr>
            <w:r>
              <w:rPr>
                <w:sz w:val="20"/>
                <w:szCs w:val="20"/>
              </w:rPr>
              <w:t xml:space="preserve">17</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4668634" w14:textId="77777777">
            <w:pPr>
              <w:jc w:val="center"/>
              <w:rPr>
                <w:sz w:val="20"/>
                <w:szCs w:val="20"/>
              </w:rPr>
            </w:pPr>
            <w:r>
              <w:rPr>
                <w:sz w:val="20"/>
                <w:szCs w:val="20"/>
              </w:rPr>
              <w:t xml:space="preserve">256</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5639CE70" w14:textId="77777777">
            <w:pPr>
              <w:jc w:val="center"/>
              <w:rPr>
                <w:sz w:val="20"/>
                <w:szCs w:val="20"/>
              </w:rPr>
            </w:pPr>
            <w:r>
              <w:rPr>
                <w:sz w:val="20"/>
                <w:szCs w:val="20"/>
              </w:rPr>
              <w:t xml:space="preserve">228</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1B0B5CF1" w14:textId="77777777">
            <w:pPr>
              <w:rPr>
                <w:sz w:val="20"/>
                <w:szCs w:val="20"/>
              </w:rPr>
            </w:pPr>
            <w:r>
              <w:rPr>
                <w:sz w:val="20"/>
                <w:szCs w:val="20"/>
              </w:rPr>
              <w:t xml:space="preserve">Tunghai University</w:t>
            </w:r>
          </w:p>
        </w:tc>
      </w:tr>
      <w:tr w:rsidRPr="00CE68B0" w:rsidR="00CE68B0" w:rsidTr="00CE68B0" w14:paraId="5599B07F"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88CA5DE" w14:textId="77777777">
            <w:pPr>
              <w:jc w:val="center"/>
              <w:rPr>
                <w:sz w:val="20"/>
                <w:szCs w:val="20"/>
              </w:rPr>
            </w:pPr>
            <w:r>
              <w:rPr>
                <w:sz w:val="20"/>
                <w:szCs w:val="20"/>
              </w:rPr>
              <w:t xml:space="preserve">18</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64843B8D" w14:textId="77777777">
            <w:pPr>
              <w:jc w:val="center"/>
              <w:rPr>
                <w:sz w:val="20"/>
                <w:szCs w:val="20"/>
              </w:rPr>
            </w:pPr>
            <w:r>
              <w:rPr>
                <w:sz w:val="20"/>
                <w:szCs w:val="20"/>
              </w:rPr>
              <w:t xml:space="preserve">263</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406E8C45" w14:textId="77777777">
            <w:pPr>
              <w:jc w:val="center"/>
              <w:rPr>
                <w:sz w:val="20"/>
                <w:szCs w:val="20"/>
              </w:rPr>
            </w:pPr>
            <w:r>
              <w:rPr>
                <w:sz w:val="20"/>
                <w:szCs w:val="20"/>
              </w:rPr>
              <w:t xml:space="preserve">253</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1C21AF3A" w14:textId="77777777">
            <w:pPr>
              <w:rPr>
                <w:sz w:val="20"/>
                <w:szCs w:val="20"/>
              </w:rPr>
            </w:pPr>
            <w:r>
              <w:rPr>
                <w:sz w:val="20"/>
                <w:szCs w:val="20"/>
              </w:rPr>
              <w:t xml:space="preserve">Asia University</w:t>
            </w:r>
          </w:p>
        </w:tc>
      </w:tr>
      <w:tr w:rsidRPr="00CE68B0" w:rsidR="00CE68B0" w:rsidTr="00CE68B0" w14:paraId="6FF4CF15"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1AA61898" w14:textId="77777777">
            <w:pPr>
              <w:jc w:val="center"/>
              <w:rPr>
                <w:sz w:val="20"/>
                <w:szCs w:val="20"/>
              </w:rPr>
            </w:pPr>
            <w:r>
              <w:rPr>
                <w:sz w:val="20"/>
                <w:szCs w:val="20"/>
              </w:rPr>
              <w:t xml:space="preserve">19</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1228C77B" w14:textId="77777777">
            <w:pPr>
              <w:jc w:val="center"/>
              <w:rPr>
                <w:sz w:val="20"/>
                <w:szCs w:val="20"/>
              </w:rPr>
            </w:pPr>
            <w:r>
              <w:rPr>
                <w:sz w:val="20"/>
                <w:szCs w:val="20"/>
              </w:rPr>
              <w:t xml:space="preserve">281</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6B8E45B2" w14:textId="77777777">
            <w:pPr>
              <w:jc w:val="center"/>
              <w:rPr>
                <w:sz w:val="20"/>
                <w:szCs w:val="20"/>
              </w:rPr>
            </w:pPr>
            <w:r>
              <w:rPr>
                <w:sz w:val="20"/>
                <w:szCs w:val="20"/>
              </w:rPr>
              <w:t xml:space="preserve">243</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14ED90B1" w14:textId="77777777">
            <w:pPr>
              <w:rPr>
                <w:sz w:val="20"/>
                <w:szCs w:val="20"/>
              </w:rPr>
            </w:pPr>
            <w:r>
              <w:rPr>
                <w:sz w:val="20"/>
                <w:szCs w:val="20"/>
              </w:rPr>
              <w:t xml:space="preserve">Kaohsiung Medical University</w:t>
            </w:r>
          </w:p>
        </w:tc>
      </w:tr>
      <w:tr w:rsidRPr="00CE68B0" w:rsidR="00CE68B0" w:rsidTr="00CE68B0" w14:paraId="452DCCDA" w14:textId="77777777">
        <w:tblPrEx>
          <w:tblCellMar>
            <w:top w:w="0" w:type="dxa"/>
            <w:bottom w:w="0" w:type="dxa"/>
          </w:tblCellMar>
        </w:tblPrEx>
        <w:trPr>
          <w:cantSplit/>
          <w:jc w:val="center"/>
        </w:trPr>
        <w:tc>
          <w:tcPr>
            <w:tcW w:w="10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B3B647C" w14:textId="77777777">
            <w:pPr>
              <w:jc w:val="center"/>
              <w:rPr>
                <w:sz w:val="20"/>
                <w:szCs w:val="20"/>
              </w:rPr>
            </w:pPr>
            <w:r>
              <w:rPr>
                <w:sz w:val="20"/>
                <w:szCs w:val="20"/>
              </w:rPr>
              <w:t xml:space="preserve">20</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4028DD66" w14:textId="77777777">
            <w:pPr>
              <w:jc w:val="center"/>
              <w:rPr>
                <w:sz w:val="20"/>
                <w:szCs w:val="20"/>
              </w:rPr>
            </w:pPr>
            <w:r>
              <w:rPr>
                <w:sz w:val="20"/>
                <w:szCs w:val="20"/>
              </w:rPr>
              <w:t xml:space="preserve">322</w:t>
            </w:r>
          </w:p>
        </w:tc>
        <w:tc>
          <w:tcPr>
            <w:tcW w:w="900"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54134CD4" w14:textId="77777777">
            <w:pPr>
              <w:jc w:val="center"/>
              <w:rPr>
                <w:sz w:val="20"/>
                <w:szCs w:val="20"/>
              </w:rPr>
            </w:pPr>
            <w:r>
              <w:rPr>
                <w:sz w:val="20"/>
                <w:szCs w:val="20"/>
              </w:rPr>
              <w:t xml:space="preserve">295</w:t>
            </w:r>
          </w:p>
        </w:tc>
        <w:tc>
          <w:tcPr>
            <w:tcW w:w="4638" w:type="dxa"/>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7E69D4CC" w14:textId="77777777">
            <w:pPr>
              <w:rPr>
                <w:sz w:val="20"/>
                <w:szCs w:val="20"/>
              </w:rPr>
            </w:pPr>
            <w:r>
              <w:rPr>
                <w:sz w:val="20"/>
                <w:szCs w:val="20"/>
              </w:rPr>
              <w:t xml:space="preserve">Tamkang University</w:t>
            </w:r>
          </w:p>
        </w:tc>
      </w:tr>
      <w:tr w:rsidRPr="00CE68B0" w:rsidR="00CE68B0" w:rsidTr="00CE68B0" w14:paraId="4FF4C30A" w14:textId="77777777">
        <w:tblPrEx>
          <w:tblCellMar>
            <w:top w:w="0" w:type="dxa"/>
            <w:bottom w:w="0" w:type="dxa"/>
          </w:tblCellMar>
        </w:tblPrEx>
        <w:trPr>
          <w:cantSplit/>
          <w:jc w:val="center"/>
        </w:trPr>
        <w:tc>
          <w:tcPr>
            <w:tcW w:w="7438" w:type="dxa"/>
            <w:gridSpan w:val="4"/>
            <w:tcBorders>
              <w:top w:val="single" w:color="BFBFBF" w:sz="4" w:space="0"/>
              <w:left w:val="single" w:color="BFBFBF" w:sz="4" w:space="0"/>
              <w:bottom w:val="single" w:color="BFBFBF" w:sz="4" w:space="0"/>
              <w:right w:val="single" w:color="BFBFBF" w:sz="4" w:space="0"/>
            </w:tcBorders>
            <w:tcMar>
              <w:top w:w="50" w:type="dxa"/>
              <w:left w:w="90" w:type="dxa"/>
              <w:bottom w:w="50" w:type="dxa"/>
              <w:right w:w="90" w:type="dxa"/>
            </w:tcMar>
            <w:vAlign w:val="center"/>
          </w:tcPr>
          <w:p w:rsidRPr="00CE68B0" w:rsidR="00CE68B0" w:rsidRDefault="00CE68B0" w14:paraId="69E0AA03" w14:textId="545C2FD2">
            <w:pPr>
              <w:rPr>
                <w:sz w:val="20"/>
                <w:szCs w:val="20"/>
              </w:rPr>
            </w:pPr>
            <w:r>
              <w:rPr>
                <w:rFonts w:eastAsia="Times New Roman"/>
                <w:sz w:val="20"/>
                <w:szCs w:val="20"/>
                <w:lang w:eastAsia="en-GB"/>
              </w:rPr>
              <w:t>© QS Quacquarelli Symonds 2004-2026 www.TopUniversities.com</w:t>
            </w:r>
          </w:p>
        </w:tc>
      </w:tr>
    </w:tbl>
    <w:p w:rsidR="00CE68B0" w:rsidRDefault="00CE68B0" w14:paraId="2AE8E761" w14:textId="77777777">
      <w:pPr>
        <w:spacing w:after="180" w:line="300" w:lineRule="auto"/>
        <w:jc w:val="both"/>
      </w:pPr>
    </w:p>
    <w:p w:rsidR="00AF6112" w:rsidRDefault="00000000" w14:paraId="57C19893" w14:textId="644475E6">
      <w:pPr>
        <w:spacing w:after="180" w:line="300" w:lineRule="auto"/>
        <w:jc w:val="both"/>
      </w:pPr>
      <w:r>
        <w:rPr>
          <w:b/>
          <w:bCs/>
        </w:rPr>
        <w:t xml:space="preserve">National Taiwan University</w:t>
      </w:r>
      <w:r>
        <w:t xml:space="preserve"> is ninth in Asia for </w:t>
      </w:r>
      <w:r>
        <w:rPr>
          <w:i/>
          <w:iCs/>
        </w:rPr>
        <w:t xml:space="preserve">Academic Reputation</w:t>
      </w:r>
      <w:r>
        <w:t xml:space="preserve"> and 19th for </w:t>
      </w:r>
      <w:r>
        <w:rPr>
          <w:i/>
          <w:iCs/>
        </w:rPr>
        <w:t xml:space="preserve">Employer Reputation</w:t>
      </w:r>
      <w:r>
        <w:t xml:space="preserve">, Taiwan’s best result on both. It also climbs 21 places to 44th for </w:t>
      </w:r>
      <w:r>
        <w:rPr>
          <w:i/>
          <w:iCs/>
        </w:rPr>
        <w:t xml:space="preserve">Inbound Exchange Students</w:t>
      </w:r>
      <w:r>
        <w:t xml:space="preserve"> and 33 places to 85th for </w:t>
      </w:r>
      <w:r>
        <w:rPr>
          <w:i/>
          <w:iCs/>
        </w:rPr>
        <w:t xml:space="preserve">Outbound Exchange</w:t>
      </w:r>
      <w:r>
        <w:t xml:space="preserve">. </w:t>
      </w:r>
      <w:r>
        <w:rPr>
          <w:b/>
          <w:bCs/>
        </w:rPr>
        <w:t xml:space="preserve">NCKU</w:t>
      </w:r>
      <w:r>
        <w:t xml:space="preserve">, </w:t>
      </w:r>
      <w:r>
        <w:rPr>
          <w:b/>
          <w:bCs/>
        </w:rPr>
        <w:t xml:space="preserve">NTHU</w:t>
      </w:r>
      <w:r>
        <w:t xml:space="preserve"> and </w:t>
      </w:r>
      <w:r>
        <w:rPr>
          <w:b/>
          <w:bCs/>
        </w:rPr>
        <w:t xml:space="preserve">NYCU</w:t>
      </w:r>
      <w:r>
        <w:t xml:space="preserve"> all improve their </w:t>
      </w:r>
      <w:r>
        <w:rPr>
          <w:i/>
          <w:iCs/>
        </w:rPr>
        <w:t xml:space="preserve">Employer Reputation</w:t>
      </w:r>
      <w:r>
        <w:t xml:space="preserve"> rank, to 32nd, 35th and 47th.</w:t>
      </w:r>
    </w:p>
    <w:p w:rsidR="00AF6112" w:rsidRDefault="00000000" w14:paraId="57042592" w14:textId="644475E6">
      <w:pPr>
        <w:spacing w:after="180" w:line="300" w:lineRule="auto"/>
        <w:jc w:val="both"/>
      </w:pPr>
      <w:r>
        <w:t xml:space="preserve">Research impact holds up better in Taiwan than in some neighbouring systems. </w:t>
      </w:r>
      <w:r>
        <w:rPr>
          <w:i/>
          <w:iCs/>
        </w:rPr>
        <w:t xml:space="preserve">Citations per Paper</w:t>
      </w:r>
      <w:r>
        <w:t xml:space="preserve"> improves at 20 of the 57 Taiwanese universities assessed; in Japan, by comparison, it falls at 134 of 138. </w:t>
      </w:r>
      <w:r>
        <w:rPr>
          <w:b/>
          <w:bCs/>
        </w:rPr>
        <w:t xml:space="preserve">Shih Chien University</w:t>
      </w:r>
      <w:r>
        <w:t xml:space="preserve"> rises 124 places to 19th in Asia on this measure and </w:t>
      </w:r>
      <w:r>
        <w:rPr>
          <w:b/>
          <w:bCs/>
        </w:rPr>
        <w:t xml:space="preserve">Tunghai University</w:t>
      </w:r>
      <w:r>
        <w:t xml:space="preserve"> 43 places to 47th. </w:t>
      </w:r>
      <w:r>
        <w:rPr>
          <w:b/>
          <w:bCs/>
        </w:rPr>
        <w:t xml:space="preserve">China Medical University</w:t>
      </w:r>
      <w:r>
        <w:t xml:space="preserve"> is 15th in Asia for </w:t>
      </w:r>
      <w:r>
        <w:rPr>
          <w:i/>
          <w:iCs/>
        </w:rPr>
        <w:t xml:space="preserve">Papers per Faculty</w:t>
      </w:r>
      <w:r>
        <w:t xml:space="preserve"> and 51st for </w:t>
      </w:r>
      <w:r>
        <w:rPr>
          <w:i/>
          <w:iCs/>
        </w:rPr>
        <w:t xml:space="preserve">International Research Network</w:t>
      </w:r>
      <w:r>
        <w:t xml:space="preserve">, and </w:t>
      </w:r>
      <w:r>
        <w:rPr>
          <w:b/>
          <w:bCs/>
        </w:rPr>
        <w:t xml:space="preserve">National Taipei University of Technology</w:t>
      </w:r>
      <w:r>
        <w:t xml:space="preserve"> and </w:t>
      </w:r>
      <w:r>
        <w:rPr>
          <w:b/>
          <w:bCs/>
        </w:rPr>
        <w:t xml:space="preserve">National Chiayi University</w:t>
      </w:r>
      <w:r>
        <w:t xml:space="preserve"> are among the institutions tied in first place for </w:t>
      </w:r>
      <w:r>
        <w:rPr>
          <w:i/>
          <w:iCs/>
        </w:rPr>
        <w:t xml:space="preserve">Staff with a PhD</w:t>
      </w:r>
      <w:r>
        <w:t xml:space="preserve">.</w:t>
      </w:r>
    </w:p>
    <w:p w:rsidR="00AF6112" w:rsidRDefault="00000000" w14:paraId="7D531EC9" w14:textId="644475E6">
      <w:pPr>
        <w:spacing w:after="180" w:line="300" w:lineRule="auto"/>
        <w:jc w:val="both"/>
      </w:pPr>
      <w:r>
        <w:t xml:space="preserve">Further down the table, Providence University in Taichung makes Taiwan’s biggest improvement, from 951–1000 to 701–710. Soochow University climbs 55 places to 493rd and National Taipei University 33 places to 349th.</w:t>
      </w:r>
    </w:p>
    <w:p w:rsidR="00AF6112" w:rsidRDefault="00000000" w14:paraId="539ED467" w14:textId="13B355C3">
      <w:pPr>
        <w:spacing w:after="180" w:line="300" w:lineRule="auto"/>
        <w:jc w:val="both"/>
      </w:pPr>
      <w:r>
        <w:rPr/>
        <w:t>Overall, 21% of Taiwan’s previously ranked universities improve, 9% are unchanged and 70% decline, a net change of –49%. That is better than Japan (–78%) but behind South Korea (–21%) and Malaysia (–10%)</w:t>
      </w:r>
      <w:r w:rsidR="4F840FF5">
        <w:rPr/>
        <w:t>.</w:t>
      </w:r>
    </w:p>
    <w:p w:rsidR="00AF6112" w:rsidRDefault="00000000" w14:paraId="604BECEB" w14:textId="644475E6">
      <w:pPr>
        <w:spacing w:after="180" w:line="300" w:lineRule="auto"/>
        <w:jc w:val="both"/>
      </w:pPr>
      <w:r>
        <w:t xml:space="preserve">Internationalisation is the weakest area. </w:t>
      </w:r>
      <w:r>
        <w:rPr>
          <w:i/>
          <w:iCs/>
        </w:rPr>
        <w:t xml:space="preserve">International Faculty Ratio</w:t>
      </w:r>
      <w:r>
        <w:t xml:space="preserve"> falls at 47 of the 51 Taiwanese universities assessed, and </w:t>
      </w:r>
      <w:r>
        <w:rPr>
          <w:i/>
          <w:iCs/>
        </w:rPr>
        <w:t xml:space="preserve">International Student Ratio</w:t>
      </w:r>
      <w:r>
        <w:t xml:space="preserve"> at 46 of 51. That is in spite of record numbers: Taiwan enrolled 140,420 international students in 2025/26, 17% more than the year before, and is aiming for 320,000 by 2030. The higher totals are not yet improving Taiwan’s position in QS’ international indicators, and universities elsewhere in the region are moving faster. Reputation results are mixed too. </w:t>
      </w:r>
      <w:r>
        <w:rPr>
          <w:i/>
          <w:iCs/>
        </w:rPr>
        <w:t xml:space="preserve">Academic Reputation</w:t>
      </w:r>
      <w:r>
        <w:t xml:space="preserve"> falls at 43 of 57 universities and </w:t>
      </w:r>
      <w:r>
        <w:rPr>
          <w:i/>
          <w:iCs/>
        </w:rPr>
        <w:t xml:space="preserve">Employer Reputation</w:t>
      </w:r>
      <w:r>
        <w:t xml:space="preserve"> at 44 of 55.</w:t>
      </w:r>
    </w:p>
    <w:p w:rsidR="00AF6112" w:rsidRDefault="00000000" w14:paraId="7EF75103" w14:textId="644475E6">
      <w:pPr>
        <w:spacing w:after="180" w:line="300" w:lineRule="auto"/>
        <w:jc w:val="both"/>
      </w:pPr>
      <w:r>
        <w:t xml:space="preserve">Taiwan’s demographic decline is among the steepest in the region. The Ministry of the Interior recorded 107,812 births in 2025, a record low and 27,044 fewer than in 2024. The crude birth rate fell to 4.62 per 1,000 people, now below South Korea’s. University intake has already dropped from 270,000 first-year students in 2015/16 to 205,000 in 2025/26, and the Ministry of Education expects it to fall to 151,000 by 2041/42. Seventeen private universities and colleges have closed since 2014. The Ministry continues to adjust admission quotas and encourages institutions to reduce enrolment voluntarily.</w:t>
      </w:r>
    </w:p>
    <w:p w:rsidR="00AF6112" w:rsidRDefault="00000000" w14:paraId="31387073" w14:textId="644475E6">
      <w:pPr>
        <w:spacing w:after="180" w:line="300" w:lineRule="auto"/>
        <w:jc w:val="both"/>
      </w:pPr>
      <w:r>
        <w:t xml:space="preserve">Taiwan’s leading universities are also working more closely with industry. NTU, NTHU, NYCU, NCKU and NSYSU have each set up a semiconductor research college under the National Key Fields Industry-University Cooperation programme, to train specialists for Taiwan’s chip industry.</w:t>
      </w:r>
    </w:p>
    <w:tbl>
      <w:tblPr>
        <w:tblW w:w="9638" w:type="dxa"/>
        <w:tblBorders>
          <w:top w:val="single" w:color="auto" w:sz="4"/>
          <w:left w:val="single" w:color="auto" w:sz="4"/>
          <w:bottom w:val="single" w:color="auto" w:sz="4"/>
          <w:right w:val="single" w:color="auto" w:sz="4"/>
          <w:insideH w:val="single" w:color="auto" w:sz="4"/>
          <w:insideV w:val="single" w:color="auto" w:sz="4"/>
        </w:tblBorders>
      </w:tblPr>
      <w:tblGrid>
        <w:gridCol w:w="1700"/>
        <w:gridCol w:w="800"/>
        <w:gridCol w:w="750"/>
        <w:gridCol w:w="800"/>
        <w:gridCol w:w="850"/>
        <w:gridCol w:w="800"/>
        <w:gridCol w:w="900"/>
        <w:gridCol w:w="3038"/>
      </w:tblGrid>
      <w:tr xmlns:wp14="http://schemas.microsoft.com/office/word/2010/wordml" w14:paraId="27626FD4" wp14:textId="77777777">
        <w:tc>
          <w:tcPr>
            <w:tcW w:w="9638" w:type="dxa"/>
            <w:gridSpan w:val="8"/>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5D34C1D7" wp14:textId="77777777">
            <w:pPr>
              <w:spacing w:after="0"/>
              <w:jc w:val="center"/>
            </w:pPr>
            <w:r>
              <w:rPr>
                <w:rFonts w:ascii="Calibri" w:hAnsi="Calibri" w:eastAsia="Calibri" w:cs="Calibri"/>
                <w:b/>
                <w:bCs/>
                <w:color w:val="1D1D1B"/>
                <w:sz w:val="21"/>
                <w:szCs w:val="21"/>
              </w:rPr>
              <w:t xml:space="preserve">Table 3: Taiwan and its regional peers</w:t>
            </w:r>
          </w:p>
        </w:tc>
      </w:tr>
      <w:tr xmlns:wp14="http://schemas.microsoft.com/office/word/2010/wordml" w14:paraId="5537A30E" wp14:textId="77777777">
        <w:trPr>
          <w:tblHeader/>
        </w:trPr>
        <w:tc>
          <w:tcPr>
            <w:tcW w:w="1700" w:type="dxa"/>
            <w:tcBorders>
              <w:top w:val="single" w:color="BFBFBF" w:sz="4"/>
              <w:left w:val="single" w:color="BFBFBF" w:sz="4"/>
              <w:bottom w:val="single" w:color="BFBFBF" w:sz="4"/>
              <w:right w:val="single" w:color="BFBFBF" w:sz="4"/>
            </w:tcBorders>
            <w:shd w:val="clear" w:color="auto" w:fill="E9E9E7"/>
            <w:tcMar>
              <w:top w:w="50" w:type="dxa"/>
              <w:left w:w="90" w:type="dxa"/>
              <w:bottom w:w="50" w:type="dxa"/>
              <w:right w:w="90" w:type="dxa"/>
            </w:tcMar>
            <w:vAlign w:val="center"/>
          </w:tcPr>
          <w:p w14:paraId="62304FCD" wp14:textId="77777777">
            <w:pPr>
              <w:spacing w:after="0"/>
              <w:jc w:val="left"/>
            </w:pPr>
            <w:r>
              <w:rPr>
                <w:rFonts w:ascii="Calibri" w:hAnsi="Calibri" w:eastAsia="Calibri" w:cs="Calibri"/>
                <w:b/>
                <w:bCs/>
                <w:color w:val="1D1D1B"/>
                <w:sz w:val="19"/>
                <w:szCs w:val="19"/>
              </w:rPr>
              <w:t xml:space="preserve">HE system</w:t>
            </w:r>
          </w:p>
        </w:tc>
        <w:tc>
          <w:tcPr>
            <w:tcW w:w="800" w:type="dxa"/>
            <w:tcBorders>
              <w:top w:val="single" w:color="BFBFBF" w:sz="4"/>
              <w:left w:val="single" w:color="BFBFBF" w:sz="4"/>
              <w:bottom w:val="single" w:color="BFBFBF" w:sz="4"/>
              <w:right w:val="single" w:color="BFBFBF" w:sz="4"/>
            </w:tcBorders>
            <w:shd w:val="clear" w:color="auto" w:fill="E9E9E7"/>
            <w:tcMar>
              <w:top w:w="50" w:type="dxa"/>
              <w:left w:w="90" w:type="dxa"/>
              <w:bottom w:w="50" w:type="dxa"/>
              <w:right w:w="90" w:type="dxa"/>
            </w:tcMar>
            <w:vAlign w:val="center"/>
          </w:tcPr>
          <w:p w14:paraId="46FE0C09" wp14:textId="77777777">
            <w:pPr>
              <w:spacing w:after="0"/>
              <w:jc w:val="center"/>
            </w:pPr>
            <w:r>
              <w:rPr>
                <w:rFonts w:ascii="Calibri" w:hAnsi="Calibri" w:eastAsia="Calibri" w:cs="Calibri"/>
                <w:b/>
                <w:bCs/>
                <w:color w:val="1D1D1B"/>
                <w:sz w:val="19"/>
                <w:szCs w:val="19"/>
              </w:rPr>
              <w:t xml:space="preserve">Total</w:t>
            </w:r>
          </w:p>
        </w:tc>
        <w:tc>
          <w:tcPr>
            <w:tcW w:w="750" w:type="dxa"/>
            <w:tcBorders>
              <w:top w:val="single" w:color="BFBFBF" w:sz="4"/>
              <w:left w:val="single" w:color="BFBFBF" w:sz="4"/>
              <w:bottom w:val="single" w:color="BFBFBF" w:sz="4"/>
              <w:right w:val="single" w:color="BFBFBF" w:sz="4"/>
            </w:tcBorders>
            <w:shd w:val="clear" w:color="auto" w:fill="E9E9E7"/>
            <w:tcMar>
              <w:top w:w="50" w:type="dxa"/>
              <w:left w:w="90" w:type="dxa"/>
              <w:bottom w:w="50" w:type="dxa"/>
              <w:right w:w="90" w:type="dxa"/>
            </w:tcMar>
            <w:vAlign w:val="center"/>
          </w:tcPr>
          <w:p w14:paraId="1F4BBBF3" wp14:textId="77777777">
            <w:pPr>
              <w:spacing w:after="0"/>
              <w:jc w:val="center"/>
            </w:pPr>
            <w:r>
              <w:rPr>
                <w:rFonts w:ascii="Calibri" w:hAnsi="Calibri" w:eastAsia="Calibri" w:cs="Calibri"/>
                <w:b/>
                <w:bCs/>
                <w:color w:val="1D1D1B"/>
                <w:sz w:val="19"/>
                <w:szCs w:val="19"/>
              </w:rPr>
              <w:t xml:space="preserve">Up</w:t>
            </w:r>
          </w:p>
        </w:tc>
        <w:tc>
          <w:tcPr>
            <w:tcW w:w="800" w:type="dxa"/>
            <w:tcBorders>
              <w:top w:val="single" w:color="BFBFBF" w:sz="4"/>
              <w:left w:val="single" w:color="BFBFBF" w:sz="4"/>
              <w:bottom w:val="single" w:color="BFBFBF" w:sz="4"/>
              <w:right w:val="single" w:color="BFBFBF" w:sz="4"/>
            </w:tcBorders>
            <w:shd w:val="clear" w:color="auto" w:fill="E9E9E7"/>
            <w:tcMar>
              <w:top w:w="50" w:type="dxa"/>
              <w:left w:w="90" w:type="dxa"/>
              <w:bottom w:w="50" w:type="dxa"/>
              <w:right w:w="90" w:type="dxa"/>
            </w:tcMar>
            <w:vAlign w:val="center"/>
          </w:tcPr>
          <w:p w14:paraId="588E5BFB" wp14:textId="77777777">
            <w:pPr>
              <w:spacing w:after="0"/>
              <w:jc w:val="center"/>
            </w:pPr>
            <w:r>
              <w:rPr>
                <w:rFonts w:ascii="Calibri" w:hAnsi="Calibri" w:eastAsia="Calibri" w:cs="Calibri"/>
                <w:b/>
                <w:bCs/>
                <w:color w:val="1D1D1B"/>
                <w:sz w:val="19"/>
                <w:szCs w:val="19"/>
              </w:rPr>
              <w:t xml:space="preserve">Down</w:t>
            </w:r>
          </w:p>
        </w:tc>
        <w:tc>
          <w:tcPr>
            <w:tcW w:w="850" w:type="dxa"/>
            <w:tcBorders>
              <w:top w:val="single" w:color="BFBFBF" w:sz="4"/>
              <w:left w:val="single" w:color="BFBFBF" w:sz="4"/>
              <w:bottom w:val="single" w:color="BFBFBF" w:sz="4"/>
              <w:right w:val="single" w:color="BFBFBF" w:sz="4"/>
            </w:tcBorders>
            <w:shd w:val="clear" w:color="auto" w:fill="E9E9E7"/>
            <w:tcMar>
              <w:top w:w="50" w:type="dxa"/>
              <w:left w:w="90" w:type="dxa"/>
              <w:bottom w:w="50" w:type="dxa"/>
              <w:right w:w="90" w:type="dxa"/>
            </w:tcMar>
            <w:vAlign w:val="center"/>
          </w:tcPr>
          <w:p w14:paraId="74984090" wp14:textId="77777777">
            <w:pPr>
              <w:spacing w:after="0"/>
              <w:jc w:val="center"/>
            </w:pPr>
            <w:r>
              <w:rPr>
                <w:rFonts w:ascii="Calibri" w:hAnsi="Calibri" w:eastAsia="Calibri" w:cs="Calibri"/>
                <w:b/>
                <w:bCs/>
                <w:color w:val="1D1D1B"/>
                <w:sz w:val="19"/>
                <w:szCs w:val="19"/>
              </w:rPr>
              <w:t xml:space="preserve">Net change</w:t>
            </w:r>
          </w:p>
        </w:tc>
        <w:tc>
          <w:tcPr>
            <w:tcW w:w="800" w:type="dxa"/>
            <w:tcBorders>
              <w:top w:val="single" w:color="BFBFBF" w:sz="4"/>
              <w:left w:val="single" w:color="BFBFBF" w:sz="4"/>
              <w:bottom w:val="single" w:color="BFBFBF" w:sz="4"/>
              <w:right w:val="single" w:color="BFBFBF" w:sz="4"/>
            </w:tcBorders>
            <w:shd w:val="clear" w:color="auto" w:fill="E9E9E7"/>
            <w:tcMar>
              <w:top w:w="50" w:type="dxa"/>
              <w:left w:w="90" w:type="dxa"/>
              <w:bottom w:w="50" w:type="dxa"/>
              <w:right w:w="90" w:type="dxa"/>
            </w:tcMar>
            <w:vAlign w:val="center"/>
          </w:tcPr>
          <w:p w14:paraId="54ABEA68" wp14:textId="77777777">
            <w:pPr>
              <w:spacing w:after="0"/>
              <w:jc w:val="center"/>
            </w:pPr>
            <w:r>
              <w:rPr>
                <w:rFonts w:ascii="Calibri" w:hAnsi="Calibri" w:eastAsia="Calibri" w:cs="Calibri"/>
                <w:b/>
                <w:bCs/>
                <w:color w:val="1D1D1B"/>
                <w:sz w:val="19"/>
                <w:szCs w:val="19"/>
              </w:rPr>
              <w:t xml:space="preserve">Top 20</w:t>
            </w:r>
          </w:p>
        </w:tc>
        <w:tc>
          <w:tcPr>
            <w:tcW w:w="900" w:type="dxa"/>
            <w:tcBorders>
              <w:top w:val="single" w:color="BFBFBF" w:sz="4"/>
              <w:left w:val="single" w:color="BFBFBF" w:sz="4"/>
              <w:bottom w:val="single" w:color="BFBFBF" w:sz="4"/>
              <w:right w:val="single" w:color="BFBFBF" w:sz="4"/>
            </w:tcBorders>
            <w:shd w:val="clear" w:color="auto" w:fill="E9E9E7"/>
            <w:tcMar>
              <w:top w:w="50" w:type="dxa"/>
              <w:left w:w="90" w:type="dxa"/>
              <w:bottom w:w="50" w:type="dxa"/>
              <w:right w:w="90" w:type="dxa"/>
            </w:tcMar>
            <w:vAlign w:val="center"/>
          </w:tcPr>
          <w:p w14:paraId="69A4512A" wp14:textId="77777777">
            <w:pPr>
              <w:spacing w:after="0"/>
              <w:jc w:val="center"/>
            </w:pPr>
            <w:r>
              <w:rPr>
                <w:rFonts w:ascii="Calibri" w:hAnsi="Calibri" w:eastAsia="Calibri" w:cs="Calibri"/>
                <w:b/>
                <w:bCs/>
                <w:color w:val="1D1D1B"/>
                <w:sz w:val="19"/>
                <w:szCs w:val="19"/>
              </w:rPr>
              <w:t xml:space="preserve">Top 100</w:t>
            </w:r>
          </w:p>
        </w:tc>
        <w:tc>
          <w:tcPr>
            <w:tcW w:w="3038" w:type="dxa"/>
            <w:tcBorders>
              <w:top w:val="single" w:color="BFBFBF" w:sz="4"/>
              <w:left w:val="single" w:color="BFBFBF" w:sz="4"/>
              <w:bottom w:val="single" w:color="BFBFBF" w:sz="4"/>
              <w:right w:val="single" w:color="BFBFBF" w:sz="4"/>
            </w:tcBorders>
            <w:shd w:val="clear" w:color="auto" w:fill="E9E9E7"/>
            <w:tcMar>
              <w:top w:w="50" w:type="dxa"/>
              <w:left w:w="90" w:type="dxa"/>
              <w:bottom w:w="50" w:type="dxa"/>
              <w:right w:w="90" w:type="dxa"/>
            </w:tcMar>
            <w:vAlign w:val="center"/>
          </w:tcPr>
          <w:p w14:paraId="7BFAA99F" wp14:textId="77777777">
            <w:pPr>
              <w:spacing w:after="0"/>
              <w:jc w:val="left"/>
            </w:pPr>
            <w:r>
              <w:rPr>
                <w:rFonts w:ascii="Calibri" w:hAnsi="Calibri" w:eastAsia="Calibri" w:cs="Calibri"/>
                <w:b/>
                <w:bCs/>
                <w:color w:val="1D1D1B"/>
                <w:sz w:val="19"/>
                <w:szCs w:val="19"/>
              </w:rPr>
              <w:t xml:space="preserve">Highest ranked</w:t>
            </w:r>
          </w:p>
        </w:tc>
      </w:tr>
      <w:tr xmlns:wp14="http://schemas.microsoft.com/office/word/2010/wordml" w14:paraId="1FA91100" wp14:textId="77777777">
        <w:trPr>
          <w:cantSplit/>
        </w:trPr>
        <w:tc>
          <w:tcPr>
            <w:tcW w:w="170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6AFCE4AF" wp14:textId="77777777">
            <w:pPr>
              <w:spacing w:after="0"/>
              <w:jc w:val="left"/>
            </w:pPr>
            <w:r>
              <w:rPr>
                <w:rFonts w:ascii="Calibri" w:hAnsi="Calibri" w:eastAsia="Calibri" w:cs="Calibri"/>
                <w:color w:val="1D1D1B"/>
                <w:sz w:val="19"/>
                <w:szCs w:val="19"/>
              </w:rPr>
              <w:t xml:space="preserve">Japan</w:t>
            </w:r>
          </w:p>
        </w:tc>
        <w:tc>
          <w:tcPr>
            <w:tcW w:w="80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484EB49F" wp14:textId="77777777">
            <w:pPr>
              <w:spacing w:after="0"/>
              <w:jc w:val="center"/>
            </w:pPr>
            <w:r>
              <w:rPr>
                <w:rFonts w:ascii="Calibri" w:hAnsi="Calibri" w:eastAsia="Calibri" w:cs="Calibri"/>
                <w:color w:val="1D1D1B"/>
                <w:sz w:val="19"/>
                <w:szCs w:val="19"/>
              </w:rPr>
              <w:t xml:space="preserve">153</w:t>
            </w:r>
          </w:p>
        </w:tc>
        <w:tc>
          <w:tcPr>
            <w:tcW w:w="75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2A22563F" wp14:textId="77777777">
            <w:pPr>
              <w:spacing w:after="0"/>
              <w:jc w:val="center"/>
            </w:pPr>
            <w:r>
              <w:rPr>
                <w:rFonts w:ascii="Calibri" w:hAnsi="Calibri" w:eastAsia="Calibri" w:cs="Calibri"/>
                <w:color w:val="00B050"/>
                <w:sz w:val="19"/>
                <w:szCs w:val="19"/>
              </w:rPr>
              <w:t xml:space="preserve">7%</w:t>
            </w:r>
          </w:p>
        </w:tc>
        <w:tc>
          <w:tcPr>
            <w:tcW w:w="80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70E5E123" wp14:textId="77777777">
            <w:pPr>
              <w:spacing w:after="0"/>
              <w:jc w:val="center"/>
            </w:pPr>
            <w:r>
              <w:rPr>
                <w:rFonts w:ascii="Calibri" w:hAnsi="Calibri" w:eastAsia="Calibri" w:cs="Calibri"/>
                <w:color w:val="C00000"/>
                <w:sz w:val="19"/>
                <w:szCs w:val="19"/>
              </w:rPr>
              <w:t xml:space="preserve">85%</w:t>
            </w:r>
          </w:p>
        </w:tc>
        <w:tc>
          <w:tcPr>
            <w:tcW w:w="85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753A2CE3" wp14:textId="77777777">
            <w:pPr>
              <w:spacing w:after="0"/>
              <w:jc w:val="center"/>
            </w:pPr>
            <w:r>
              <w:rPr>
                <w:rFonts w:ascii="Calibri" w:hAnsi="Calibri" w:eastAsia="Calibri" w:cs="Calibri"/>
                <w:color w:val="1D1D1B"/>
                <w:sz w:val="19"/>
                <w:szCs w:val="19"/>
              </w:rPr>
              <w:t xml:space="preserve">–78%</w:t>
            </w:r>
          </w:p>
        </w:tc>
        <w:tc>
          <w:tcPr>
            <w:tcW w:w="80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4B584315" wp14:textId="77777777">
            <w:pPr>
              <w:spacing w:after="0"/>
              <w:jc w:val="center"/>
            </w:pPr>
            <w:r>
              <w:rPr>
                <w:rFonts w:ascii="Calibri" w:hAnsi="Calibri" w:eastAsia="Calibri" w:cs="Calibri"/>
                <w:color w:val="1D1D1B"/>
                <w:sz w:val="19"/>
                <w:szCs w:val="19"/>
              </w:rPr>
              <w:t xml:space="preserve">0</w:t>
            </w:r>
          </w:p>
        </w:tc>
        <w:tc>
          <w:tcPr>
            <w:tcW w:w="90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4B73E586" wp14:textId="77777777">
            <w:pPr>
              <w:spacing w:after="0"/>
              <w:jc w:val="center"/>
            </w:pPr>
            <w:r>
              <w:rPr>
                <w:rFonts w:ascii="Calibri" w:hAnsi="Calibri" w:eastAsia="Calibri" w:cs="Calibri"/>
                <w:color w:val="1D1D1B"/>
                <w:sz w:val="19"/>
                <w:szCs w:val="19"/>
              </w:rPr>
              <w:t xml:space="preserve">12</w:t>
            </w:r>
          </w:p>
        </w:tc>
        <w:tc>
          <w:tcPr>
            <w:tcW w:w="3038"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03CA8E1C" wp14:textId="77777777">
            <w:pPr>
              <w:spacing w:after="0"/>
              <w:jc w:val="left"/>
            </w:pPr>
            <w:r>
              <w:rPr>
                <w:rFonts w:ascii="Calibri" w:hAnsi="Calibri" w:eastAsia="Calibri" w:cs="Calibri"/>
                <w:color w:val="1D1D1B"/>
                <w:sz w:val="19"/>
                <w:szCs w:val="19"/>
              </w:rPr>
              <w:t xml:space="preserve">The University of Tokyo (27)</w:t>
            </w:r>
          </w:p>
        </w:tc>
      </w:tr>
      <w:tr xmlns:wp14="http://schemas.microsoft.com/office/word/2010/wordml" w14:paraId="3E03D124" wp14:textId="77777777">
        <w:trPr>
          <w:cantSplit/>
        </w:trPr>
        <w:tc>
          <w:tcPr>
            <w:tcW w:w="170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0CBC0826" wp14:textId="77777777">
            <w:pPr>
              <w:spacing w:after="0"/>
              <w:jc w:val="left"/>
            </w:pPr>
            <w:r>
              <w:rPr>
                <w:rFonts w:ascii="Calibri" w:hAnsi="Calibri" w:eastAsia="Calibri" w:cs="Calibri"/>
                <w:color w:val="1D1D1B"/>
                <w:sz w:val="19"/>
                <w:szCs w:val="19"/>
              </w:rPr>
              <w:t xml:space="preserve">South Korea</w:t>
            </w:r>
          </w:p>
        </w:tc>
        <w:tc>
          <w:tcPr>
            <w:tcW w:w="80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352E6F29" wp14:textId="77777777">
            <w:pPr>
              <w:spacing w:after="0"/>
              <w:jc w:val="center"/>
            </w:pPr>
            <w:r>
              <w:rPr>
                <w:rFonts w:ascii="Calibri" w:hAnsi="Calibri" w:eastAsia="Calibri" w:cs="Calibri"/>
                <w:color w:val="1D1D1B"/>
                <w:sz w:val="19"/>
                <w:szCs w:val="19"/>
              </w:rPr>
              <w:t xml:space="preserve">108</w:t>
            </w:r>
          </w:p>
        </w:tc>
        <w:tc>
          <w:tcPr>
            <w:tcW w:w="75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328E0D02" wp14:textId="77777777">
            <w:pPr>
              <w:spacing w:after="0"/>
              <w:jc w:val="center"/>
            </w:pPr>
            <w:r>
              <w:rPr>
                <w:rFonts w:ascii="Calibri" w:hAnsi="Calibri" w:eastAsia="Calibri" w:cs="Calibri"/>
                <w:color w:val="00B050"/>
                <w:sz w:val="19"/>
                <w:szCs w:val="19"/>
              </w:rPr>
              <w:t xml:space="preserve">35%</w:t>
            </w:r>
          </w:p>
        </w:tc>
        <w:tc>
          <w:tcPr>
            <w:tcW w:w="80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262EE23F" wp14:textId="77777777">
            <w:pPr>
              <w:spacing w:after="0"/>
              <w:jc w:val="center"/>
            </w:pPr>
            <w:r>
              <w:rPr>
                <w:rFonts w:ascii="Calibri" w:hAnsi="Calibri" w:eastAsia="Calibri" w:cs="Calibri"/>
                <w:color w:val="C00000"/>
                <w:sz w:val="19"/>
                <w:szCs w:val="19"/>
              </w:rPr>
              <w:t xml:space="preserve">56%</w:t>
            </w:r>
          </w:p>
        </w:tc>
        <w:tc>
          <w:tcPr>
            <w:tcW w:w="85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375EC33D" wp14:textId="77777777">
            <w:pPr>
              <w:spacing w:after="0"/>
              <w:jc w:val="center"/>
            </w:pPr>
            <w:r>
              <w:rPr>
                <w:rFonts w:ascii="Calibri" w:hAnsi="Calibri" w:eastAsia="Calibri" w:cs="Calibri"/>
                <w:color w:val="1D1D1B"/>
                <w:sz w:val="19"/>
                <w:szCs w:val="19"/>
              </w:rPr>
              <w:t xml:space="preserve">–21%</w:t>
            </w:r>
          </w:p>
        </w:tc>
        <w:tc>
          <w:tcPr>
            <w:tcW w:w="80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29B4EA11" wp14:textId="77777777">
            <w:pPr>
              <w:spacing w:after="0"/>
              <w:jc w:val="center"/>
            </w:pPr>
            <w:r>
              <w:rPr>
                <w:rFonts w:ascii="Calibri" w:hAnsi="Calibri" w:eastAsia="Calibri" w:cs="Calibri"/>
                <w:color w:val="1D1D1B"/>
                <w:sz w:val="19"/>
                <w:szCs w:val="19"/>
              </w:rPr>
              <w:t xml:space="preserve">6</w:t>
            </w:r>
          </w:p>
        </w:tc>
        <w:tc>
          <w:tcPr>
            <w:tcW w:w="90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4E1E336A" wp14:textId="77777777">
            <w:pPr>
              <w:spacing w:after="0"/>
              <w:jc w:val="center"/>
            </w:pPr>
            <w:r>
              <w:rPr>
                <w:rFonts w:ascii="Calibri" w:hAnsi="Calibri" w:eastAsia="Calibri" w:cs="Calibri"/>
                <w:color w:val="1D1D1B"/>
                <w:sz w:val="19"/>
                <w:szCs w:val="19"/>
              </w:rPr>
              <w:t xml:space="preserve">14</w:t>
            </w:r>
          </w:p>
        </w:tc>
        <w:tc>
          <w:tcPr>
            <w:tcW w:w="3038"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723A850C" wp14:textId="77777777">
            <w:pPr>
              <w:spacing w:after="0"/>
              <w:jc w:val="left"/>
            </w:pPr>
            <w:r>
              <w:rPr>
                <w:rFonts w:ascii="Calibri" w:hAnsi="Calibri" w:eastAsia="Calibri" w:cs="Calibri"/>
                <w:color w:val="1D1D1B"/>
                <w:sz w:val="19"/>
                <w:szCs w:val="19"/>
              </w:rPr>
              <w:t xml:space="preserve">Yonsei University (11)</w:t>
            </w:r>
          </w:p>
        </w:tc>
      </w:tr>
      <w:tr xmlns:wp14="http://schemas.microsoft.com/office/word/2010/wordml" w14:paraId="13DACE73" wp14:textId="77777777">
        <w:trPr>
          <w:cantSplit/>
        </w:trPr>
        <w:tc>
          <w:tcPr>
            <w:tcW w:w="1700" w:type="dxa"/>
            <w:tcBorders>
              <w:top w:val="single" w:color="BFBFBF" w:sz="4"/>
              <w:left w:val="single" w:color="BFBFBF" w:sz="4"/>
              <w:bottom w:val="single" w:color="BFBFBF" w:sz="4"/>
              <w:right w:val="single" w:color="BFBFBF" w:sz="4"/>
            </w:tcBorders>
            <w:shd w:val="clear" w:color="auto" w:fill="FFF2CC"/>
            <w:tcMar>
              <w:top w:w="50" w:type="dxa"/>
              <w:left w:w="90" w:type="dxa"/>
              <w:bottom w:w="50" w:type="dxa"/>
              <w:right w:w="90" w:type="dxa"/>
            </w:tcMar>
            <w:vAlign w:val="center"/>
          </w:tcPr>
          <w:p w14:paraId="165E4321" wp14:textId="77777777">
            <w:pPr>
              <w:spacing w:after="0"/>
              <w:jc w:val="left"/>
            </w:pPr>
            <w:r>
              <w:rPr>
                <w:rFonts w:ascii="Calibri" w:hAnsi="Calibri" w:eastAsia="Calibri" w:cs="Calibri"/>
                <w:b/>
                <w:bCs/>
                <w:color w:val="1D1D1B"/>
                <w:sz w:val="19"/>
                <w:szCs w:val="19"/>
              </w:rPr>
              <w:t xml:space="preserve">Taiwan</w:t>
            </w:r>
          </w:p>
        </w:tc>
        <w:tc>
          <w:tcPr>
            <w:tcW w:w="800" w:type="dxa"/>
            <w:tcBorders>
              <w:top w:val="single" w:color="BFBFBF" w:sz="4"/>
              <w:left w:val="single" w:color="BFBFBF" w:sz="4"/>
              <w:bottom w:val="single" w:color="BFBFBF" w:sz="4"/>
              <w:right w:val="single" w:color="BFBFBF" w:sz="4"/>
            </w:tcBorders>
            <w:shd w:val="clear" w:color="auto" w:fill="FFF2CC"/>
            <w:tcMar>
              <w:top w:w="50" w:type="dxa"/>
              <w:left w:w="90" w:type="dxa"/>
              <w:bottom w:w="50" w:type="dxa"/>
              <w:right w:w="90" w:type="dxa"/>
            </w:tcMar>
            <w:vAlign w:val="center"/>
          </w:tcPr>
          <w:p w14:paraId="6E55690C" wp14:textId="77777777">
            <w:pPr>
              <w:spacing w:after="0"/>
              <w:jc w:val="center"/>
            </w:pPr>
            <w:r>
              <w:rPr>
                <w:rFonts w:ascii="Calibri" w:hAnsi="Calibri" w:eastAsia="Calibri" w:cs="Calibri"/>
                <w:b/>
                <w:bCs/>
                <w:color w:val="1D1D1B"/>
                <w:sz w:val="19"/>
                <w:szCs w:val="19"/>
              </w:rPr>
              <w:t xml:space="preserve">59</w:t>
            </w:r>
          </w:p>
        </w:tc>
        <w:tc>
          <w:tcPr>
            <w:tcW w:w="750" w:type="dxa"/>
            <w:tcBorders>
              <w:top w:val="single" w:color="BFBFBF" w:sz="4"/>
              <w:left w:val="single" w:color="BFBFBF" w:sz="4"/>
              <w:bottom w:val="single" w:color="BFBFBF" w:sz="4"/>
              <w:right w:val="single" w:color="BFBFBF" w:sz="4"/>
            </w:tcBorders>
            <w:shd w:val="clear" w:color="auto" w:fill="FFF2CC"/>
            <w:tcMar>
              <w:top w:w="50" w:type="dxa"/>
              <w:left w:w="90" w:type="dxa"/>
              <w:bottom w:w="50" w:type="dxa"/>
              <w:right w:w="90" w:type="dxa"/>
            </w:tcMar>
            <w:vAlign w:val="center"/>
          </w:tcPr>
          <w:p w14:paraId="0D36FB98" wp14:textId="77777777">
            <w:pPr>
              <w:spacing w:after="0"/>
              <w:jc w:val="center"/>
            </w:pPr>
            <w:r>
              <w:rPr>
                <w:rFonts w:ascii="Calibri" w:hAnsi="Calibri" w:eastAsia="Calibri" w:cs="Calibri"/>
                <w:b w:val="false"/>
                <w:bCs w:val="false"/>
                <w:color w:val="00B050"/>
                <w:sz w:val="19"/>
                <w:szCs w:val="19"/>
              </w:rPr>
              <w:t xml:space="preserve">21%</w:t>
            </w:r>
          </w:p>
        </w:tc>
        <w:tc>
          <w:tcPr>
            <w:tcW w:w="800" w:type="dxa"/>
            <w:tcBorders>
              <w:top w:val="single" w:color="BFBFBF" w:sz="4"/>
              <w:left w:val="single" w:color="BFBFBF" w:sz="4"/>
              <w:bottom w:val="single" w:color="BFBFBF" w:sz="4"/>
              <w:right w:val="single" w:color="BFBFBF" w:sz="4"/>
            </w:tcBorders>
            <w:shd w:val="clear" w:color="auto" w:fill="FFF2CC"/>
            <w:tcMar>
              <w:top w:w="50" w:type="dxa"/>
              <w:left w:w="90" w:type="dxa"/>
              <w:bottom w:w="50" w:type="dxa"/>
              <w:right w:w="90" w:type="dxa"/>
            </w:tcMar>
            <w:vAlign w:val="center"/>
          </w:tcPr>
          <w:p w14:paraId="00697F6D" wp14:textId="77777777">
            <w:pPr>
              <w:spacing w:after="0"/>
              <w:jc w:val="center"/>
            </w:pPr>
            <w:r>
              <w:rPr>
                <w:rFonts w:ascii="Calibri" w:hAnsi="Calibri" w:eastAsia="Calibri" w:cs="Calibri"/>
                <w:b w:val="false"/>
                <w:bCs w:val="false"/>
                <w:color w:val="C00000"/>
                <w:sz w:val="19"/>
                <w:szCs w:val="19"/>
              </w:rPr>
              <w:t xml:space="preserve">70%</w:t>
            </w:r>
          </w:p>
        </w:tc>
        <w:tc>
          <w:tcPr>
            <w:tcW w:w="850" w:type="dxa"/>
            <w:tcBorders>
              <w:top w:val="single" w:color="BFBFBF" w:sz="4"/>
              <w:left w:val="single" w:color="BFBFBF" w:sz="4"/>
              <w:bottom w:val="single" w:color="BFBFBF" w:sz="4"/>
              <w:right w:val="single" w:color="BFBFBF" w:sz="4"/>
            </w:tcBorders>
            <w:shd w:val="clear" w:color="auto" w:fill="FFF2CC"/>
            <w:tcMar>
              <w:top w:w="50" w:type="dxa"/>
              <w:left w:w="90" w:type="dxa"/>
              <w:bottom w:w="50" w:type="dxa"/>
              <w:right w:w="90" w:type="dxa"/>
            </w:tcMar>
            <w:vAlign w:val="center"/>
          </w:tcPr>
          <w:p w14:paraId="3762B66F" wp14:textId="77777777">
            <w:pPr>
              <w:spacing w:after="0"/>
              <w:jc w:val="center"/>
            </w:pPr>
            <w:r>
              <w:rPr>
                <w:rFonts w:ascii="Calibri" w:hAnsi="Calibri" w:eastAsia="Calibri" w:cs="Calibri"/>
                <w:b w:val="false"/>
                <w:bCs w:val="false"/>
                <w:color w:val="1D1D1B"/>
                <w:sz w:val="19"/>
                <w:szCs w:val="19"/>
              </w:rPr>
              <w:t xml:space="preserve">–49%</w:t>
            </w:r>
          </w:p>
        </w:tc>
        <w:tc>
          <w:tcPr>
            <w:tcW w:w="800" w:type="dxa"/>
            <w:tcBorders>
              <w:top w:val="single" w:color="BFBFBF" w:sz="4"/>
              <w:left w:val="single" w:color="BFBFBF" w:sz="4"/>
              <w:bottom w:val="single" w:color="BFBFBF" w:sz="4"/>
              <w:right w:val="single" w:color="BFBFBF" w:sz="4"/>
            </w:tcBorders>
            <w:shd w:val="clear" w:color="auto" w:fill="FFF2CC"/>
            <w:tcMar>
              <w:top w:w="50" w:type="dxa"/>
              <w:left w:w="90" w:type="dxa"/>
              <w:bottom w:w="50" w:type="dxa"/>
              <w:right w:w="90" w:type="dxa"/>
            </w:tcMar>
            <w:vAlign w:val="center"/>
          </w:tcPr>
          <w:p w14:paraId="2322F001" wp14:textId="77777777">
            <w:pPr>
              <w:spacing w:after="0"/>
              <w:jc w:val="center"/>
            </w:pPr>
            <w:r>
              <w:rPr>
                <w:rFonts w:ascii="Calibri" w:hAnsi="Calibri" w:eastAsia="Calibri" w:cs="Calibri"/>
                <w:b w:val="false"/>
                <w:bCs w:val="false"/>
                <w:color w:val="1D1D1B"/>
                <w:sz w:val="19"/>
                <w:szCs w:val="19"/>
              </w:rPr>
              <w:t xml:space="preserve">0</w:t>
            </w:r>
          </w:p>
        </w:tc>
        <w:tc>
          <w:tcPr>
            <w:tcW w:w="900" w:type="dxa"/>
            <w:tcBorders>
              <w:top w:val="single" w:color="BFBFBF" w:sz="4"/>
              <w:left w:val="single" w:color="BFBFBF" w:sz="4"/>
              <w:bottom w:val="single" w:color="BFBFBF" w:sz="4"/>
              <w:right w:val="single" w:color="BFBFBF" w:sz="4"/>
            </w:tcBorders>
            <w:shd w:val="clear" w:color="auto" w:fill="FFF2CC"/>
            <w:tcMar>
              <w:top w:w="50" w:type="dxa"/>
              <w:left w:w="90" w:type="dxa"/>
              <w:bottom w:w="50" w:type="dxa"/>
              <w:right w:w="90" w:type="dxa"/>
            </w:tcMar>
            <w:vAlign w:val="center"/>
          </w:tcPr>
          <w:p w14:paraId="75697EEC" wp14:textId="77777777">
            <w:pPr>
              <w:spacing w:after="0"/>
              <w:jc w:val="center"/>
            </w:pPr>
            <w:r>
              <w:rPr>
                <w:rFonts w:ascii="Calibri" w:hAnsi="Calibri" w:eastAsia="Calibri" w:cs="Calibri"/>
                <w:b w:val="false"/>
                <w:bCs w:val="false"/>
                <w:color w:val="1D1D1B"/>
                <w:sz w:val="19"/>
                <w:szCs w:val="19"/>
              </w:rPr>
              <w:t xml:space="preserve">7</w:t>
            </w:r>
          </w:p>
        </w:tc>
        <w:tc>
          <w:tcPr>
            <w:tcW w:w="3038" w:type="dxa"/>
            <w:tcBorders>
              <w:top w:val="single" w:color="BFBFBF" w:sz="4"/>
              <w:left w:val="single" w:color="BFBFBF" w:sz="4"/>
              <w:bottom w:val="single" w:color="BFBFBF" w:sz="4"/>
              <w:right w:val="single" w:color="BFBFBF" w:sz="4"/>
            </w:tcBorders>
            <w:shd w:val="clear" w:color="auto" w:fill="FFF2CC"/>
            <w:tcMar>
              <w:top w:w="50" w:type="dxa"/>
              <w:left w:w="90" w:type="dxa"/>
              <w:bottom w:w="50" w:type="dxa"/>
              <w:right w:w="90" w:type="dxa"/>
            </w:tcMar>
            <w:vAlign w:val="center"/>
          </w:tcPr>
          <w:p w14:paraId="252B188E" wp14:textId="77777777">
            <w:pPr>
              <w:spacing w:after="0"/>
              <w:jc w:val="left"/>
            </w:pPr>
            <w:r>
              <w:rPr>
                <w:rFonts w:ascii="Calibri" w:hAnsi="Calibri" w:eastAsia="Calibri" w:cs="Calibri"/>
                <w:b w:val="false"/>
                <w:bCs w:val="false"/>
                <w:color w:val="1D1D1B"/>
                <w:sz w:val="19"/>
                <w:szCs w:val="19"/>
              </w:rPr>
              <w:t xml:space="preserve">National Taiwan University (23)</w:t>
            </w:r>
          </w:p>
        </w:tc>
      </w:tr>
      <w:tr xmlns:wp14="http://schemas.microsoft.com/office/word/2010/wordml" w14:paraId="184F19C1" wp14:textId="77777777">
        <w:trPr>
          <w:cantSplit/>
        </w:trPr>
        <w:tc>
          <w:tcPr>
            <w:tcW w:w="170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418174B2" wp14:textId="77777777">
            <w:pPr>
              <w:spacing w:after="0"/>
              <w:jc w:val="left"/>
            </w:pPr>
            <w:r>
              <w:rPr>
                <w:rFonts w:ascii="Calibri" w:hAnsi="Calibri" w:eastAsia="Calibri" w:cs="Calibri"/>
                <w:color w:val="1D1D1B"/>
                <w:sz w:val="19"/>
                <w:szCs w:val="19"/>
              </w:rPr>
              <w:t xml:space="preserve">Malaysia</w:t>
            </w:r>
          </w:p>
        </w:tc>
        <w:tc>
          <w:tcPr>
            <w:tcW w:w="80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5FE3165D" wp14:textId="77777777">
            <w:pPr>
              <w:spacing w:after="0"/>
              <w:jc w:val="center"/>
            </w:pPr>
            <w:r>
              <w:rPr>
                <w:rFonts w:ascii="Calibri" w:hAnsi="Calibri" w:eastAsia="Calibri" w:cs="Calibri"/>
                <w:color w:val="1D1D1B"/>
                <w:sz w:val="19"/>
                <w:szCs w:val="19"/>
              </w:rPr>
              <w:t xml:space="preserve">55</w:t>
            </w:r>
          </w:p>
        </w:tc>
        <w:tc>
          <w:tcPr>
            <w:tcW w:w="75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56AA8F03" wp14:textId="77777777">
            <w:pPr>
              <w:spacing w:after="0"/>
              <w:jc w:val="center"/>
            </w:pPr>
            <w:r>
              <w:rPr>
                <w:rFonts w:ascii="Calibri" w:hAnsi="Calibri" w:eastAsia="Calibri" w:cs="Calibri"/>
                <w:color w:val="00B050"/>
                <w:sz w:val="19"/>
                <w:szCs w:val="19"/>
              </w:rPr>
              <w:t xml:space="preserve">41%</w:t>
            </w:r>
          </w:p>
        </w:tc>
        <w:tc>
          <w:tcPr>
            <w:tcW w:w="80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145F8C30" wp14:textId="77777777">
            <w:pPr>
              <w:spacing w:after="0"/>
              <w:jc w:val="center"/>
            </w:pPr>
            <w:r>
              <w:rPr>
                <w:rFonts w:ascii="Calibri" w:hAnsi="Calibri" w:eastAsia="Calibri" w:cs="Calibri"/>
                <w:color w:val="C00000"/>
                <w:sz w:val="19"/>
                <w:szCs w:val="19"/>
              </w:rPr>
              <w:t xml:space="preserve">51%</w:t>
            </w:r>
          </w:p>
        </w:tc>
        <w:tc>
          <w:tcPr>
            <w:tcW w:w="85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10FC79B6" wp14:textId="77777777">
            <w:pPr>
              <w:spacing w:after="0"/>
              <w:jc w:val="center"/>
            </w:pPr>
            <w:r>
              <w:rPr>
                <w:rFonts w:ascii="Calibri" w:hAnsi="Calibri" w:eastAsia="Calibri" w:cs="Calibri"/>
                <w:color w:val="1D1D1B"/>
                <w:sz w:val="19"/>
                <w:szCs w:val="19"/>
              </w:rPr>
              <w:t xml:space="preserve">–10%</w:t>
            </w:r>
          </w:p>
        </w:tc>
        <w:tc>
          <w:tcPr>
            <w:tcW w:w="80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18F999B5" wp14:textId="77777777">
            <w:pPr>
              <w:spacing w:after="0"/>
              <w:jc w:val="center"/>
            </w:pPr>
            <w:r>
              <w:rPr>
                <w:rFonts w:ascii="Calibri" w:hAnsi="Calibri" w:eastAsia="Calibri" w:cs="Calibri"/>
                <w:color w:val="1D1D1B"/>
                <w:sz w:val="19"/>
                <w:szCs w:val="19"/>
              </w:rPr>
              <w:t xml:space="preserve">2</w:t>
            </w:r>
          </w:p>
        </w:tc>
        <w:tc>
          <w:tcPr>
            <w:tcW w:w="90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4737E36C" wp14:textId="77777777">
            <w:pPr>
              <w:spacing w:after="0"/>
              <w:jc w:val="center"/>
            </w:pPr>
            <w:r>
              <w:rPr>
                <w:rFonts w:ascii="Calibri" w:hAnsi="Calibri" w:eastAsia="Calibri" w:cs="Calibri"/>
                <w:color w:val="1D1D1B"/>
                <w:sz w:val="19"/>
                <w:szCs w:val="19"/>
              </w:rPr>
              <w:t xml:space="preserve">11</w:t>
            </w:r>
          </w:p>
        </w:tc>
        <w:tc>
          <w:tcPr>
            <w:tcW w:w="3038"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0E1AFDC4" wp14:textId="77777777">
            <w:pPr>
              <w:spacing w:after="0"/>
              <w:jc w:val="left"/>
            </w:pPr>
            <w:r>
              <w:rPr>
                <w:rFonts w:ascii="Calibri" w:hAnsi="Calibri" w:eastAsia="Calibri" w:cs="Calibri"/>
                <w:color w:val="1D1D1B"/>
                <w:sz w:val="19"/>
                <w:szCs w:val="19"/>
              </w:rPr>
              <w:t xml:space="preserve">Universiti Malaya (17)</w:t>
            </w:r>
          </w:p>
        </w:tc>
      </w:tr>
      <w:tr xmlns:wp14="http://schemas.microsoft.com/office/word/2010/wordml" w14:paraId="06B2D861" wp14:textId="77777777">
        <w:trPr>
          <w:cantSplit/>
        </w:trPr>
        <w:tc>
          <w:tcPr>
            <w:tcW w:w="170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59944D84" wp14:textId="77777777">
            <w:pPr>
              <w:spacing w:after="0"/>
              <w:jc w:val="left"/>
            </w:pPr>
            <w:r>
              <w:rPr>
                <w:rFonts w:ascii="Calibri" w:hAnsi="Calibri" w:eastAsia="Calibri" w:cs="Calibri"/>
                <w:color w:val="1D1D1B"/>
                <w:sz w:val="19"/>
                <w:szCs w:val="19"/>
              </w:rPr>
              <w:t xml:space="preserve">Thailand</w:t>
            </w:r>
          </w:p>
        </w:tc>
        <w:tc>
          <w:tcPr>
            <w:tcW w:w="80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00CA47E3" wp14:textId="77777777">
            <w:pPr>
              <w:spacing w:after="0"/>
              <w:jc w:val="center"/>
            </w:pPr>
            <w:r>
              <w:rPr>
                <w:rFonts w:ascii="Calibri" w:hAnsi="Calibri" w:eastAsia="Calibri" w:cs="Calibri"/>
                <w:color w:val="1D1D1B"/>
                <w:sz w:val="19"/>
                <w:szCs w:val="19"/>
              </w:rPr>
              <w:t xml:space="preserve">46</w:t>
            </w:r>
          </w:p>
        </w:tc>
        <w:tc>
          <w:tcPr>
            <w:tcW w:w="75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11283C10" wp14:textId="77777777">
            <w:pPr>
              <w:spacing w:after="0"/>
              <w:jc w:val="center"/>
            </w:pPr>
            <w:r>
              <w:rPr>
                <w:rFonts w:ascii="Calibri" w:hAnsi="Calibri" w:eastAsia="Calibri" w:cs="Calibri"/>
                <w:color w:val="00B050"/>
                <w:sz w:val="19"/>
                <w:szCs w:val="19"/>
              </w:rPr>
              <w:t xml:space="preserve">21%</w:t>
            </w:r>
          </w:p>
        </w:tc>
        <w:tc>
          <w:tcPr>
            <w:tcW w:w="80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508D722F" wp14:textId="77777777">
            <w:pPr>
              <w:spacing w:after="0"/>
              <w:jc w:val="center"/>
            </w:pPr>
            <w:r>
              <w:rPr>
                <w:rFonts w:ascii="Calibri" w:hAnsi="Calibri" w:eastAsia="Calibri" w:cs="Calibri"/>
                <w:color w:val="C00000"/>
                <w:sz w:val="19"/>
                <w:szCs w:val="19"/>
              </w:rPr>
              <w:t xml:space="preserve">67%</w:t>
            </w:r>
          </w:p>
        </w:tc>
        <w:tc>
          <w:tcPr>
            <w:tcW w:w="85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79BF921E" wp14:textId="77777777">
            <w:pPr>
              <w:spacing w:after="0"/>
              <w:jc w:val="center"/>
            </w:pPr>
            <w:r>
              <w:rPr>
                <w:rFonts w:ascii="Calibri" w:hAnsi="Calibri" w:eastAsia="Calibri" w:cs="Calibri"/>
                <w:color w:val="1D1D1B"/>
                <w:sz w:val="19"/>
                <w:szCs w:val="19"/>
              </w:rPr>
              <w:t xml:space="preserve">–47%</w:t>
            </w:r>
          </w:p>
        </w:tc>
        <w:tc>
          <w:tcPr>
            <w:tcW w:w="80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7B7EFE02" wp14:textId="77777777">
            <w:pPr>
              <w:spacing w:after="0"/>
              <w:jc w:val="center"/>
            </w:pPr>
            <w:r>
              <w:rPr>
                <w:rFonts w:ascii="Calibri" w:hAnsi="Calibri" w:eastAsia="Calibri" w:cs="Calibri"/>
                <w:color w:val="1D1D1B"/>
                <w:sz w:val="19"/>
                <w:szCs w:val="19"/>
              </w:rPr>
              <w:t xml:space="preserve">0</w:t>
            </w:r>
          </w:p>
        </w:tc>
        <w:tc>
          <w:tcPr>
            <w:tcW w:w="90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7144751B" wp14:textId="77777777">
            <w:pPr>
              <w:spacing w:after="0"/>
              <w:jc w:val="center"/>
            </w:pPr>
            <w:r>
              <w:rPr>
                <w:rFonts w:ascii="Calibri" w:hAnsi="Calibri" w:eastAsia="Calibri" w:cs="Calibri"/>
                <w:color w:val="1D1D1B"/>
                <w:sz w:val="19"/>
                <w:szCs w:val="19"/>
              </w:rPr>
              <w:t xml:space="preserve">2</w:t>
            </w:r>
          </w:p>
        </w:tc>
        <w:tc>
          <w:tcPr>
            <w:tcW w:w="3038"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6BF4B1B0" wp14:textId="77777777">
            <w:pPr>
              <w:spacing w:after="0"/>
              <w:jc w:val="left"/>
            </w:pPr>
            <w:r>
              <w:rPr>
                <w:rFonts w:ascii="Calibri" w:hAnsi="Calibri" w:eastAsia="Calibri" w:cs="Calibri"/>
                <w:color w:val="1D1D1B"/>
                <w:sz w:val="19"/>
                <w:szCs w:val="19"/>
              </w:rPr>
              <w:t xml:space="preserve">Chulalongkorn University (52)</w:t>
            </w:r>
          </w:p>
        </w:tc>
      </w:tr>
      <w:tr xmlns:wp14="http://schemas.microsoft.com/office/word/2010/wordml" w14:paraId="6F441B7E" wp14:textId="77777777">
        <w:trPr>
          <w:cantSplit/>
        </w:trPr>
        <w:tc>
          <w:tcPr>
            <w:tcW w:w="170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3F41173A" wp14:textId="77777777">
            <w:pPr>
              <w:spacing w:after="0"/>
              <w:jc w:val="left"/>
            </w:pPr>
            <w:r>
              <w:rPr>
                <w:rFonts w:ascii="Calibri" w:hAnsi="Calibri" w:eastAsia="Calibri" w:cs="Calibri"/>
                <w:color w:val="1D1D1B"/>
                <w:sz w:val="19"/>
                <w:szCs w:val="19"/>
              </w:rPr>
              <w:t xml:space="preserve">Hong Kong SAR</w:t>
            </w:r>
          </w:p>
        </w:tc>
        <w:tc>
          <w:tcPr>
            <w:tcW w:w="80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735DA4F4" wp14:textId="77777777">
            <w:pPr>
              <w:spacing w:after="0"/>
              <w:jc w:val="center"/>
            </w:pPr>
            <w:r>
              <w:rPr>
                <w:rFonts w:ascii="Calibri" w:hAnsi="Calibri" w:eastAsia="Calibri" w:cs="Calibri"/>
                <w:color w:val="1D1D1B"/>
                <w:sz w:val="19"/>
                <w:szCs w:val="19"/>
              </w:rPr>
              <w:t xml:space="preserve">11</w:t>
            </w:r>
          </w:p>
        </w:tc>
        <w:tc>
          <w:tcPr>
            <w:tcW w:w="75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3D85CA24" wp14:textId="77777777">
            <w:pPr>
              <w:spacing w:after="0"/>
              <w:jc w:val="center"/>
            </w:pPr>
            <w:r>
              <w:rPr>
                <w:rFonts w:ascii="Calibri" w:hAnsi="Calibri" w:eastAsia="Calibri" w:cs="Calibri"/>
                <w:color w:val="00B050"/>
                <w:sz w:val="19"/>
                <w:szCs w:val="19"/>
              </w:rPr>
              <w:t xml:space="preserve">73%</w:t>
            </w:r>
          </w:p>
        </w:tc>
        <w:tc>
          <w:tcPr>
            <w:tcW w:w="80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34DB2A6E" wp14:textId="77777777">
            <w:pPr>
              <w:spacing w:after="0"/>
              <w:jc w:val="center"/>
            </w:pPr>
            <w:r>
              <w:rPr>
                <w:rFonts w:ascii="Calibri" w:hAnsi="Calibri" w:eastAsia="Calibri" w:cs="Calibri"/>
                <w:color w:val="C00000"/>
                <w:sz w:val="19"/>
                <w:szCs w:val="19"/>
              </w:rPr>
              <w:t xml:space="preserve">18%</w:t>
            </w:r>
          </w:p>
        </w:tc>
        <w:tc>
          <w:tcPr>
            <w:tcW w:w="85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2082C4D1" wp14:textId="77777777">
            <w:pPr>
              <w:spacing w:after="0"/>
              <w:jc w:val="center"/>
            </w:pPr>
            <w:r>
              <w:rPr>
                <w:rFonts w:ascii="Calibri" w:hAnsi="Calibri" w:eastAsia="Calibri" w:cs="Calibri"/>
                <w:color w:val="1D1D1B"/>
                <w:sz w:val="19"/>
                <w:szCs w:val="19"/>
              </w:rPr>
              <w:t xml:space="preserve">+55%</w:t>
            </w:r>
          </w:p>
        </w:tc>
        <w:tc>
          <w:tcPr>
            <w:tcW w:w="80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78941E47" wp14:textId="77777777">
            <w:pPr>
              <w:spacing w:after="0"/>
              <w:jc w:val="center"/>
            </w:pPr>
            <w:r>
              <w:rPr>
                <w:rFonts w:ascii="Calibri" w:hAnsi="Calibri" w:eastAsia="Calibri" w:cs="Calibri"/>
                <w:color w:val="1D1D1B"/>
                <w:sz w:val="19"/>
                <w:szCs w:val="19"/>
              </w:rPr>
              <w:t xml:space="preserve">5</w:t>
            </w:r>
          </w:p>
        </w:tc>
        <w:tc>
          <w:tcPr>
            <w:tcW w:w="900"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1B87E3DE" wp14:textId="77777777">
            <w:pPr>
              <w:spacing w:after="0"/>
              <w:jc w:val="center"/>
            </w:pPr>
            <w:r>
              <w:rPr>
                <w:rFonts w:ascii="Calibri" w:hAnsi="Calibri" w:eastAsia="Calibri" w:cs="Calibri"/>
                <w:color w:val="1D1D1B"/>
                <w:sz w:val="19"/>
                <w:szCs w:val="19"/>
              </w:rPr>
              <w:t xml:space="preserve">6</w:t>
            </w:r>
          </w:p>
        </w:tc>
        <w:tc>
          <w:tcPr>
            <w:tcW w:w="3038" w:type="dxa"/>
            <w:tcBorders>
              <w:top w:val="single" w:color="BFBFBF" w:sz="4"/>
              <w:left w:val="single" w:color="BFBFBF" w:sz="4"/>
              <w:bottom w:val="single" w:color="BFBFBF" w:sz="4"/>
              <w:right w:val="single" w:color="BFBFBF" w:sz="4"/>
            </w:tcBorders>
            <w:shd w:val="clear" w:color="auto" w:fill="F7F7F7"/>
            <w:tcMar>
              <w:top w:w="50" w:type="dxa"/>
              <w:left w:w="90" w:type="dxa"/>
              <w:bottom w:w="50" w:type="dxa"/>
              <w:right w:w="90" w:type="dxa"/>
            </w:tcMar>
            <w:vAlign w:val="center"/>
          </w:tcPr>
          <w:p w14:paraId="55AC3EA2" wp14:textId="77777777">
            <w:pPr>
              <w:spacing w:after="0"/>
              <w:jc w:val="left"/>
            </w:pPr>
            <w:r>
              <w:rPr>
                <w:rFonts w:ascii="Calibri" w:hAnsi="Calibri" w:eastAsia="Calibri" w:cs="Calibri"/>
                <w:color w:val="1D1D1B"/>
                <w:sz w:val="19"/>
                <w:szCs w:val="19"/>
              </w:rPr>
              <w:t xml:space="preserve">The University of Hong Kong (1)</w:t>
            </w:r>
          </w:p>
        </w:tc>
      </w:tr>
      <w:tr xmlns:wp14="http://schemas.microsoft.com/office/word/2010/wordml" w14:paraId="091F44E8" wp14:textId="77777777">
        <w:trPr>
          <w:cantSplit/>
        </w:trPr>
        <w:tc>
          <w:tcPr>
            <w:tcW w:w="170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3B5477AF" wp14:textId="77777777">
            <w:pPr>
              <w:spacing w:after="0"/>
              <w:jc w:val="left"/>
            </w:pPr>
            <w:r>
              <w:rPr>
                <w:rFonts w:ascii="Calibri" w:hAnsi="Calibri" w:eastAsia="Calibri" w:cs="Calibri"/>
                <w:color w:val="1D1D1B"/>
                <w:sz w:val="19"/>
                <w:szCs w:val="19"/>
              </w:rPr>
              <w:t xml:space="preserve">Singapore</w:t>
            </w:r>
          </w:p>
        </w:tc>
        <w:tc>
          <w:tcPr>
            <w:tcW w:w="80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44240AAE" wp14:textId="77777777">
            <w:pPr>
              <w:spacing w:after="0"/>
              <w:jc w:val="center"/>
            </w:pPr>
            <w:r>
              <w:rPr>
                <w:rFonts w:ascii="Calibri" w:hAnsi="Calibri" w:eastAsia="Calibri" w:cs="Calibri"/>
                <w:color w:val="1D1D1B"/>
                <w:sz w:val="19"/>
                <w:szCs w:val="19"/>
              </w:rPr>
              <w:t xml:space="preserve">5</w:t>
            </w:r>
          </w:p>
        </w:tc>
        <w:tc>
          <w:tcPr>
            <w:tcW w:w="75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184D513D" wp14:textId="77777777">
            <w:pPr>
              <w:spacing w:after="0"/>
              <w:jc w:val="center"/>
            </w:pPr>
            <w:r>
              <w:rPr>
                <w:rFonts w:ascii="Calibri" w:hAnsi="Calibri" w:eastAsia="Calibri" w:cs="Calibri"/>
                <w:color w:val="00B050"/>
                <w:sz w:val="19"/>
                <w:szCs w:val="19"/>
              </w:rPr>
              <w:t xml:space="preserve">60%</w:t>
            </w:r>
          </w:p>
        </w:tc>
        <w:tc>
          <w:tcPr>
            <w:tcW w:w="80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263416A3" wp14:textId="77777777">
            <w:pPr>
              <w:spacing w:after="0"/>
              <w:jc w:val="center"/>
            </w:pPr>
            <w:r>
              <w:rPr>
                <w:rFonts w:ascii="Calibri" w:hAnsi="Calibri" w:eastAsia="Calibri" w:cs="Calibri"/>
                <w:color w:val="C00000"/>
                <w:sz w:val="19"/>
                <w:szCs w:val="19"/>
              </w:rPr>
              <w:t xml:space="preserve">40%</w:t>
            </w:r>
          </w:p>
        </w:tc>
        <w:tc>
          <w:tcPr>
            <w:tcW w:w="85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38951891" wp14:textId="77777777">
            <w:pPr>
              <w:spacing w:after="0"/>
              <w:jc w:val="center"/>
            </w:pPr>
            <w:r>
              <w:rPr>
                <w:rFonts w:ascii="Calibri" w:hAnsi="Calibri" w:eastAsia="Calibri" w:cs="Calibri"/>
                <w:color w:val="1D1D1B"/>
                <w:sz w:val="19"/>
                <w:szCs w:val="19"/>
              </w:rPr>
              <w:t xml:space="preserve">+20%</w:t>
            </w:r>
          </w:p>
        </w:tc>
        <w:tc>
          <w:tcPr>
            <w:tcW w:w="80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78E884CA" wp14:textId="77777777">
            <w:pPr>
              <w:spacing w:after="0"/>
              <w:jc w:val="center"/>
            </w:pPr>
            <w:r>
              <w:rPr>
                <w:rFonts w:ascii="Calibri" w:hAnsi="Calibri" w:eastAsia="Calibri" w:cs="Calibri"/>
                <w:color w:val="1D1D1B"/>
                <w:sz w:val="19"/>
                <w:szCs w:val="19"/>
              </w:rPr>
              <w:t xml:space="preserve">2</w:t>
            </w:r>
          </w:p>
        </w:tc>
        <w:tc>
          <w:tcPr>
            <w:tcW w:w="900"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2598DEE6" wp14:textId="77777777">
            <w:pPr>
              <w:spacing w:after="0"/>
              <w:jc w:val="center"/>
            </w:pPr>
            <w:r>
              <w:rPr>
                <w:rFonts w:ascii="Calibri" w:hAnsi="Calibri" w:eastAsia="Calibri" w:cs="Calibri"/>
                <w:color w:val="1D1D1B"/>
                <w:sz w:val="19"/>
                <w:szCs w:val="19"/>
              </w:rPr>
              <w:t xml:space="preserve">4</w:t>
            </w:r>
          </w:p>
        </w:tc>
        <w:tc>
          <w:tcPr>
            <w:tcW w:w="3038" w:type="dxa"/>
            <w:tcBorders>
              <w:top w:val="single" w:color="BFBFBF" w:sz="4"/>
              <w:left w:val="single" w:color="BFBFBF" w:sz="4"/>
              <w:bottom w:val="single" w:color="BFBFBF" w:sz="4"/>
              <w:right w:val="single" w:color="BFBFBF" w:sz="4"/>
            </w:tcBorders>
            <w:shd w:val="clear" w:color="auto" w:fill="FFFFFF"/>
            <w:tcMar>
              <w:top w:w="50" w:type="dxa"/>
              <w:left w:w="90" w:type="dxa"/>
              <w:bottom w:w="50" w:type="dxa"/>
              <w:right w:w="90" w:type="dxa"/>
            </w:tcMar>
            <w:vAlign w:val="center"/>
          </w:tcPr>
          <w:p w14:paraId="4FA28723" wp14:textId="77777777">
            <w:pPr>
              <w:spacing w:after="0"/>
              <w:jc w:val="left"/>
            </w:pPr>
            <w:r>
              <w:rPr>
                <w:rFonts w:ascii="Calibri" w:hAnsi="Calibri" w:eastAsia="Calibri" w:cs="Calibri"/>
                <w:color w:val="1D1D1B"/>
                <w:sz w:val="19"/>
                <w:szCs w:val="19"/>
              </w:rPr>
              <w:t xml:space="preserve">NUS (6)</w:t>
            </w:r>
          </w:p>
        </w:tc>
      </w:tr>
    </w:tbl>
    <w:p xmlns:wp14="http://schemas.microsoft.com/office/word/2010/wordml" w14:paraId="17012B17" wp14:textId="77777777">
      <w:pPr>
        <w:spacing w:before="60" w:after="240" w:line="300"/>
        <w:jc w:val="left"/>
      </w:pPr>
      <w:r>
        <w:rPr>
          <w:rFonts w:ascii="Calibri" w:hAnsi="Calibri" w:eastAsia="Calibri" w:cs="Calibri"/>
          <w:i/>
          <w:iCs/>
          <w:color w:val="1D1D1B"/>
          <w:sz w:val="18"/>
          <w:szCs w:val="18"/>
        </w:rPr>
        <w:t xml:space="preserve">Up and Down show the share of previously ranked universities that improved or declined year-on-year.</w:t>
      </w:r>
    </w:p>
    <w:p w:rsidR="00AF6112" w:rsidP="6984B6AB" w:rsidRDefault="00000000" w14:paraId="20FCE3B0" w14:textId="6A9F7347">
      <w:pPr>
        <w:spacing w:after="180" w:line="300" w:lineRule="auto"/>
        <w:jc w:val="both"/>
        <w:rPr>
          <w:i w:val="1"/>
          <w:iCs w:val="1"/>
        </w:rPr>
      </w:pPr>
      <w:r w:rsidRPr="6984B6AB">
        <w:rPr>
          <w:b w:val="1"/>
          <w:bCs w:val="1"/>
        </w:rPr>
        <w:t>QS Senior Vice President Ben Sowter</w:t>
      </w:r>
      <w:r>
        <w:rPr/>
        <w:t xml:space="preserve"> said: “</w:t>
      </w:r>
      <w:r w:rsidRPr="6984B6AB">
        <w:rPr>
          <w:i w:val="1"/>
          <w:iCs w:val="1"/>
        </w:rPr>
        <w:t>Taiwan’s leading universities have had a good year. National Taiwan University keeps its place among Asia’s most respected institutions, and National Cheng Kung University, National Tsing Hua University and National Yang Ming Chiao Tung University have all moved up. That top tier is gaining ground, and it works closely with one of the most advanced technology sectors in the world.</w:t>
      </w:r>
    </w:p>
    <w:p w:rsidR="00AF6112" w:rsidRDefault="00000000" w14:paraId="179C2BF6" w14:textId="77777777">
      <w:pPr>
        <w:spacing w:after="180" w:line="300" w:lineRule="auto"/>
        <w:jc w:val="both"/>
      </w:pPr>
      <w:r w:rsidRPr="6984B6AB">
        <w:rPr>
          <w:i w:val="1"/>
          <w:iCs w:val="1"/>
        </w:rPr>
        <w:t>“Below the top tier, the results are tougher. The number of school leavers is falling sharply, so Taiwan’s universities will rely more and more on international talent. Record international enrolment is a real achievement. The next step is to turn it into a more international faculty and student body across the whole system. Those are the areas where Taiwan’s universities are losing most ground to regional competitors.”</w:t>
      </w:r>
    </w:p>
    <w:p w:rsidR="00AF6112" w:rsidRDefault="00000000" w14:paraId="64AF55BD" w14:textId="77777777">
      <w:pPr>
        <w:keepNext/>
        <w:spacing w:before="120" w:after="120" w:line="300" w:lineRule="auto"/>
      </w:pPr>
      <w:r>
        <w:rPr>
          <w:b/>
          <w:bCs/>
          <w:sz w:val="24"/>
          <w:szCs w:val="24"/>
        </w:rPr>
        <w:t>Asia: the regional picture</w:t>
      </w:r>
    </w:p>
    <w:p w:rsidR="00AF6112" w:rsidRDefault="00000000" w14:paraId="6ECA83FF" w14:textId="77777777">
      <w:pPr>
        <w:spacing w:after="180" w:line="300" w:lineRule="auto"/>
        <w:jc w:val="both"/>
      </w:pPr>
      <w:r>
        <w:t xml:space="preserve">This year’s edition assesses 1,722 universities from 26 higher education systems across Asia, including 195 new entrants. Hong Kong SAR has five universities in the top 10, more than any other system, and the best net improvement in the region among systems with five or more ranked universities. South Korea has six universities in the top 20 and Malaysia’s Universiti Kebangsaan Malaysia (UKM) reaches a record joint 20th. The University of Tokyo is first in Asia for both </w:t>
      </w:r>
      <w:r>
        <w:rPr>
          <w:i/>
          <w:iCs/>
        </w:rPr>
        <w:t xml:space="preserve">Academic Reputation</w:t>
      </w:r>
      <w:r>
        <w:t xml:space="preserve"> and </w:t>
      </w:r>
      <w:r>
        <w:rPr>
          <w:i/>
          <w:iCs/>
        </w:rPr>
        <w:t xml:space="preserve">Employer Reputation</w:t>
      </w:r>
      <w:r>
        <w:t xml:space="preserve">. Maldives appears in the rankings for the first time.</w:t>
      </w:r>
    </w:p>
    <w:p w:rsidR="00AF6112" w:rsidRDefault="00000000" w14:paraId="79A82966" w14:textId="77777777">
      <w:pPr>
        <w:spacing w:after="180" w:line="300" w:lineRule="auto"/>
        <w:jc w:val="both"/>
      </w:pPr>
      <w:r>
        <w:t xml:space="preserve">The QS World University Rankings: Asia are determined by an institution’s performance across 11 indicators tailored to the region, covering academic and employer reputation, research, teaching resources and internationalisation. The full </w:t>
      </w:r>
      <w:hyperlink w:history="1" r:id="rId8">
        <w:r>
          <w:rPr>
            <w:color w:val="467886"/>
            <w:u w:val="single"/>
          </w:rPr>
          <w:t>QS World University Rankings: Asia 2027</w:t>
        </w:r>
      </w:hyperlink>
      <w:r>
        <w:t xml:space="preserve"> will be published when the embargo lifts.</w:t>
      </w:r>
    </w:p>
    <w:p w:rsidR="00AF6112" w:rsidRDefault="00000000" w14:paraId="7A206951" w14:textId="77777777">
      <w:pPr>
        <w:spacing w:before="120" w:after="240" w:line="300" w:lineRule="auto"/>
        <w:jc w:val="center"/>
      </w:pPr>
      <w:r>
        <w:rPr>
          <w:b/>
          <w:bCs/>
        </w:rPr>
        <w:t>-Ends-</w:t>
      </w:r>
    </w:p>
    <w:p w:rsidR="00AF6112" w:rsidRDefault="00000000" w14:paraId="6CC0B484" w14:textId="77777777">
      <w:pPr>
        <w:spacing w:after="120" w:line="300" w:lineRule="auto"/>
      </w:pPr>
      <w:r>
        <w:rPr>
          <w:b/>
          <w:bCs/>
        </w:rPr>
        <w:t>For further information or to request interviews with QS’ analysts, please contact:</w:t>
      </w:r>
    </w:p>
    <w:p w:rsidR="00AF6112" w:rsidRDefault="00000000" w14:paraId="6810DF0B" w14:textId="77777777">
      <w:pPr>
        <w:spacing w:line="300" w:lineRule="auto"/>
      </w:pPr>
      <w:r>
        <w:rPr>
          <w:b/>
          <w:bCs/>
        </w:rPr>
        <w:t>Simona Bizzozero</w:t>
      </w:r>
    </w:p>
    <w:p w:rsidR="00AF6112" w:rsidRDefault="00000000" w14:paraId="5331FD41" w14:textId="77777777">
      <w:pPr>
        <w:spacing w:line="300" w:lineRule="auto"/>
      </w:pPr>
      <w:r>
        <w:t>Director of Communications, QS</w:t>
      </w:r>
    </w:p>
    <w:p w:rsidR="00AF6112" w:rsidRDefault="00000000" w14:paraId="79D76802" w14:textId="77777777">
      <w:pPr>
        <w:spacing w:after="160" w:line="300" w:lineRule="auto"/>
      </w:pPr>
      <w:r>
        <w:t>simona@qs.com | +44 (0) 7880 620856</w:t>
      </w:r>
    </w:p>
    <w:p w:rsidR="00AF6112" w:rsidRDefault="00000000" w14:paraId="3A5DA861" w14:textId="77777777">
      <w:pPr>
        <w:spacing w:line="300" w:lineRule="auto"/>
      </w:pPr>
      <w:r>
        <w:rPr>
          <w:b/>
          <w:bCs/>
        </w:rPr>
        <w:t>Will Barbieri</w:t>
      </w:r>
    </w:p>
    <w:p w:rsidR="00AF6112" w:rsidRDefault="00000000" w14:paraId="34794AB0" w14:textId="77777777">
      <w:pPr>
        <w:spacing w:line="300" w:lineRule="auto"/>
      </w:pPr>
      <w:r>
        <w:t>Communications Specialist, QS</w:t>
      </w:r>
    </w:p>
    <w:p w:rsidR="00AF6112" w:rsidRDefault="00000000" w14:paraId="553E4D94" w14:textId="77777777">
      <w:pPr>
        <w:spacing w:after="240" w:line="300" w:lineRule="auto"/>
      </w:pPr>
      <w:r>
        <w:t>william.barbieri@qs.com</w:t>
      </w:r>
    </w:p>
    <w:p w:rsidR="00AF6112" w:rsidRDefault="00000000" w14:paraId="4FA8EB56" w14:textId="77777777">
      <w:pPr>
        <w:spacing w:after="100" w:line="300" w:lineRule="auto"/>
      </w:pPr>
      <w:r>
        <w:rPr>
          <w:b/>
          <w:bCs/>
        </w:rPr>
        <w:t>Notes for Editors</w:t>
      </w:r>
    </w:p>
    <w:p w:rsidRPr="002C6A8D" w:rsidR="00AF6112" w:rsidRDefault="00000000" w14:paraId="1A59F3C7" w14:textId="77777777">
      <w:pPr>
        <w:spacing w:after="180" w:line="300" w:lineRule="auto"/>
        <w:jc w:val="both"/>
      </w:pPr>
      <w:r>
        <w:t>QS Quacquarelli Symonds is the world’s leading provider of services, analytics, and insight to the global higher education sector, whose mission is to empower motivated people anywhere in the world to fulfil their potential through educational achievement, international mobility, and career development.</w:t>
      </w:r>
    </w:p>
    <w:p w:rsidRPr="002C6A8D" w:rsidR="00AF6112" w:rsidRDefault="00000000" w14:paraId="3AA3B126" w14:textId="77777777">
      <w:pPr>
        <w:spacing w:after="180" w:line="300" w:lineRule="auto"/>
        <w:jc w:val="both"/>
      </w:pPr>
      <w:r>
        <w:t>The QS World University Rankings portfolio, inaugurated in 2004, is the world’s most popular source of comparative data about university performance.</w:t>
      </w:r>
    </w:p>
    <w:sectPr w:rsidRPr="002C6A8D" w:rsidR="00AF6112">
      <w:pgSz w:w="11906" w:h="16838" w:orient="portrait"/>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1FD8" w:rsidRDefault="00DA1FD8" w14:paraId="7E1A4D0F" w14:textId="77777777">
      <w:r>
        <w:separator/>
      </w:r>
    </w:p>
  </w:endnote>
  <w:endnote w:type="continuationSeparator" w:id="0">
    <w:p w:rsidR="00DA1FD8" w:rsidRDefault="00DA1FD8" w14:paraId="125B5E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1FD8" w:rsidRDefault="00DA1FD8" w14:paraId="58A0A17C" w14:textId="77777777">
      <w:r>
        <w:separator/>
      </w:r>
    </w:p>
  </w:footnote>
  <w:footnote w:type="continuationSeparator" w:id="0">
    <w:p w:rsidR="00DA1FD8" w:rsidRDefault="00DA1FD8" w14:paraId="6E75B7C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F0834"/>
    <w:multiLevelType w:val="hybridMultilevel"/>
    <w:tmpl w:val="083C1E8C"/>
    <w:lvl w:ilvl="0" w:tplc="4A74A7A8">
      <w:start w:val="1"/>
      <w:numFmt w:val="bullet"/>
      <w:lvlText w:val="●"/>
      <w:lvlJc w:val="left"/>
      <w:pPr>
        <w:ind w:left="720" w:hanging="360"/>
      </w:pPr>
    </w:lvl>
    <w:lvl w:ilvl="1" w:tplc="7BEA3DA4">
      <w:start w:val="1"/>
      <w:numFmt w:val="bullet"/>
      <w:lvlText w:val="○"/>
      <w:lvlJc w:val="left"/>
      <w:pPr>
        <w:ind w:left="1440" w:hanging="360"/>
      </w:pPr>
    </w:lvl>
    <w:lvl w:ilvl="2" w:tplc="3AFC33C8">
      <w:start w:val="1"/>
      <w:numFmt w:val="bullet"/>
      <w:lvlText w:val="■"/>
      <w:lvlJc w:val="left"/>
      <w:pPr>
        <w:ind w:left="2160" w:hanging="360"/>
      </w:pPr>
    </w:lvl>
    <w:lvl w:ilvl="3" w:tplc="0258691A">
      <w:start w:val="1"/>
      <w:numFmt w:val="bullet"/>
      <w:lvlText w:val="●"/>
      <w:lvlJc w:val="left"/>
      <w:pPr>
        <w:ind w:left="2880" w:hanging="360"/>
      </w:pPr>
    </w:lvl>
    <w:lvl w:ilvl="4" w:tplc="99C0F0E4">
      <w:start w:val="1"/>
      <w:numFmt w:val="bullet"/>
      <w:lvlText w:val="○"/>
      <w:lvlJc w:val="left"/>
      <w:pPr>
        <w:ind w:left="3600" w:hanging="360"/>
      </w:pPr>
    </w:lvl>
    <w:lvl w:ilvl="5" w:tplc="DA662CD8">
      <w:start w:val="1"/>
      <w:numFmt w:val="bullet"/>
      <w:lvlText w:val="■"/>
      <w:lvlJc w:val="left"/>
      <w:pPr>
        <w:ind w:left="4320" w:hanging="360"/>
      </w:pPr>
    </w:lvl>
    <w:lvl w:ilvl="6" w:tplc="C5F61408">
      <w:start w:val="1"/>
      <w:numFmt w:val="bullet"/>
      <w:lvlText w:val="●"/>
      <w:lvlJc w:val="left"/>
      <w:pPr>
        <w:ind w:left="5040" w:hanging="360"/>
      </w:pPr>
    </w:lvl>
    <w:lvl w:ilvl="7" w:tplc="B89A8300">
      <w:start w:val="1"/>
      <w:numFmt w:val="bullet"/>
      <w:lvlText w:val="●"/>
      <w:lvlJc w:val="left"/>
      <w:pPr>
        <w:ind w:left="5760" w:hanging="360"/>
      </w:pPr>
    </w:lvl>
    <w:lvl w:ilvl="8" w:tplc="3132B1EC">
      <w:start w:val="1"/>
      <w:numFmt w:val="bullet"/>
      <w:lvlText w:val="●"/>
      <w:lvlJc w:val="left"/>
      <w:pPr>
        <w:ind w:left="6480" w:hanging="360"/>
      </w:pPr>
    </w:lvl>
  </w:abstractNum>
  <w:num w:numId="1" w16cid:durableId="1805584432">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112"/>
    <w:rsid w:val="000B1430"/>
    <w:rsid w:val="002C6A8D"/>
    <w:rsid w:val="00546557"/>
    <w:rsid w:val="00A70D88"/>
    <w:rsid w:val="00AF6112"/>
    <w:rsid w:val="00CE68B0"/>
    <w:rsid w:val="00DA1FD8"/>
    <w:rsid w:val="0C3CB3F2"/>
    <w:rsid w:val="2989B67A"/>
    <w:rsid w:val="2A665D24"/>
    <w:rsid w:val="39A7F629"/>
    <w:rsid w:val="39D341FB"/>
    <w:rsid w:val="3B8C859D"/>
    <w:rsid w:val="43FBF12B"/>
    <w:rsid w:val="48809BF3"/>
    <w:rsid w:val="4F840FF5"/>
    <w:rsid w:val="5AD07FE2"/>
    <w:rsid w:val="66C555B0"/>
    <w:rsid w:val="67039384"/>
    <w:rsid w:val="6984B6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3D539"/>
  <w15:docId w15:val="{9316D53A-212F-44B7-8FB9-11426C1063A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1D1D1B"/>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E68B0"/>
    <w:pPr>
      <w:tabs>
        <w:tab w:val="center" w:pos="4680"/>
        <w:tab w:val="right" w:pos="9360"/>
      </w:tabs>
    </w:pPr>
  </w:style>
  <w:style w:type="character" w:styleId="HeaderChar" w:customStyle="1">
    <w:name w:val="Header Char"/>
    <w:basedOn w:val="DefaultParagraphFont"/>
    <w:link w:val="Header"/>
    <w:uiPriority w:val="99"/>
    <w:rsid w:val="00CE68B0"/>
  </w:style>
  <w:style w:type="paragraph" w:styleId="Footer">
    <w:name w:val="footer"/>
    <w:basedOn w:val="Normal"/>
    <w:link w:val="FooterChar"/>
    <w:uiPriority w:val="99"/>
    <w:unhideWhenUsed/>
    <w:rsid w:val="00CE68B0"/>
    <w:pPr>
      <w:tabs>
        <w:tab w:val="center" w:pos="4680"/>
        <w:tab w:val="right" w:pos="9360"/>
      </w:tabs>
    </w:pPr>
  </w:style>
  <w:style w:type="character" w:styleId="FooterChar" w:customStyle="1">
    <w:name w:val="Footer Char"/>
    <w:basedOn w:val="DefaultParagraphFont"/>
    <w:link w:val="Footer"/>
    <w:uiPriority w:val="99"/>
    <w:rsid w:val="00CE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topuniversities.com/asia-university-rankings" TargetMode="Externa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s://www.topuniversities.com/asia-university-rankings" TargetMode="External" Id="Re68761ae19a24cb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0E7D80358B05498AAD86436FFF3841" ma:contentTypeVersion="18" ma:contentTypeDescription="Create a new document." ma:contentTypeScope="" ma:versionID="aeb23b0220247b39bb13556bfa61ed08">
  <xsd:schema xmlns:xsd="http://www.w3.org/2001/XMLSchema" xmlns:xs="http://www.w3.org/2001/XMLSchema" xmlns:p="http://schemas.microsoft.com/office/2006/metadata/properties" xmlns:ns2="0bfbcbea-6f95-4c61-b234-a6bbe804a9e6" xmlns:ns3="d1395174-bdeb-4ce1-892c-65ecf02aaaf8" targetNamespace="http://schemas.microsoft.com/office/2006/metadata/properties" ma:root="true" ma:fieldsID="443d749eda87b5f1d4b61f95be378174" ns2:_="" ns3:_="">
    <xsd:import namespace="0bfbcbea-6f95-4c61-b234-a6bbe804a9e6"/>
    <xsd:import namespace="d1395174-bdeb-4ce1-892c-65ecf02aaaf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bcbea-6f95-4c61-b234-a6bbe804a9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a89a7e-35a0-4c85-9e66-9ece76e32d86}" ma:internalName="TaxCatchAll" ma:showField="CatchAllData" ma:web="0bfbcbea-6f95-4c61-b234-a6bbe804a9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395174-bdeb-4ce1-892c-65ecf02aaaf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c0a45ee-8771-4b9b-8262-76eb4a5fdb7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bfbcbea-6f95-4c61-b234-a6bbe804a9e6" xsi:nil="true"/>
    <lcf76f155ced4ddcb4097134ff3c332f xmlns="d1395174-bdeb-4ce1-892c-65ecf02aaa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410199-44F9-4287-86E3-713F7865CE62}"/>
</file>

<file path=customXml/itemProps2.xml><?xml version="1.0" encoding="utf-8"?>
<ds:datastoreItem xmlns:ds="http://schemas.openxmlformats.org/officeDocument/2006/customXml" ds:itemID="{32B45A4B-A7B6-4CC9-825C-BA39BEFB4298}"/>
</file>

<file path=customXml/itemProps3.xml><?xml version="1.0" encoding="utf-8"?>
<ds:datastoreItem xmlns:ds="http://schemas.openxmlformats.org/officeDocument/2006/customXml" ds:itemID="{E2E1F977-E8EA-4230-B1DE-2E041EDDC6F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Viggo Stacey</lastModifiedBy>
  <revision>5</revision>
  <dcterms:created xsi:type="dcterms:W3CDTF">2026-10-21T08:04:00.0000000Z</dcterms:created>
  <dcterms:modified xsi:type="dcterms:W3CDTF">2026-10-21T13:02:16.9095278Z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0x0101003E0E7D80358B05498AAD86436FFF3841</vt:lpwstr>
  </property>
  <property fmtid="{D5CDD505-2E9C-101B-9397-08002B2CF9AE}" pid="3" name="MediaServiceImageTags">
    <vt:lpwstr/>
  </property>
</Properties>
</file>