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B1FFC" w:rsidRDefault="00000000" w14:paraId="5F926420" w14:textId="77777777">
      <w:pPr>
        <w:spacing w:after="120"/>
      </w:pPr>
      <w:r>
        <w:rPr>
          <w:noProof/>
        </w:rPr>
        <w:drawing>
          <wp:inline distT="0" distB="0" distL="0" distR="0" wp14:anchorId="2A5BCCC0" wp14:editId="1ECAA2B7">
            <wp:extent cx="7048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60" w:type="dxa"/>
        <w:tblBorders>
          <w:top w:val="single" w:color="F7A600" w:sz="6" w:space="0"/>
          <w:left w:val="single" w:color="F7A600" w:sz="6" w:space="0"/>
          <w:bottom w:val="single" w:color="F7A600" w:sz="6" w:space="0"/>
          <w:right w:val="single" w:color="F7A600" w:sz="6" w:space="0"/>
          <w:insideH w:val="none" w:color="FFFFFF" w:sz="0" w:space="0"/>
          <w:insideV w:val="none" w:color="FFFFFF" w:sz="0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1FFC" w14:paraId="4CF526CE" w14:textId="77777777">
        <w:tc>
          <w:tcPr>
            <w:tcW w:w="9360" w:type="dxa"/>
            <w:shd w:val="clear" w:color="auto" w:fill="FDF3E0"/>
            <w:tcMar>
              <w:top w:w="80" w:type="dxa"/>
              <w:left w:w="140" w:type="dxa"/>
              <w:bottom w:w="80" w:type="dxa"/>
              <w:right w:w="140" w:type="dxa"/>
            </w:tcMar>
          </w:tcPr>
          <w:p w:rsidRPr="000E38D3" w:rsidR="00FB1FFC" w:rsidP="00555559" w:rsidRDefault="00000000" w14:paraId="0E18132B" w14:textId="77777777">
            <w:pPr>
              <w:spacing w:after="20"/>
              <w:jc w:val="center"/>
              <w:rPr>
                <w:sz w:val="24"/>
                <w:szCs w:val="24"/>
              </w:rPr>
            </w:pPr>
            <w:r w:rsidRPr="000E38D3">
              <w:rPr>
                <w:b/>
                <w:bCs/>
                <w:color w:val="9A3412"/>
                <w:sz w:val="24"/>
                <w:szCs w:val="24"/>
              </w:rPr>
              <w:t>本新闻稿受严格在线禁令约束，直至</w:t>
            </w:r>
            <w:r w:rsidRPr="000E38D3">
              <w:rPr>
                <w:b/>
                <w:bCs/>
                <w:color w:val="9A3412"/>
                <w:sz w:val="24"/>
                <w:szCs w:val="24"/>
              </w:rPr>
              <w:t>2026</w:t>
            </w:r>
            <w:r w:rsidRPr="000E38D3">
              <w:rPr>
                <w:b/>
                <w:bCs/>
                <w:color w:val="9A3412"/>
                <w:sz w:val="24"/>
                <w:szCs w:val="24"/>
              </w:rPr>
              <w:t>年</w:t>
            </w:r>
            <w:r w:rsidRPr="000E38D3">
              <w:rPr>
                <w:b/>
                <w:bCs/>
                <w:color w:val="9A3412"/>
                <w:sz w:val="24"/>
                <w:szCs w:val="24"/>
              </w:rPr>
              <w:t>7</w:t>
            </w:r>
            <w:r w:rsidRPr="000E38D3">
              <w:rPr>
                <w:b/>
                <w:bCs/>
                <w:color w:val="9A3412"/>
                <w:sz w:val="24"/>
                <w:szCs w:val="24"/>
              </w:rPr>
              <w:t>月</w:t>
            </w:r>
            <w:r w:rsidRPr="000E38D3">
              <w:rPr>
                <w:b/>
                <w:bCs/>
                <w:color w:val="9A3412"/>
                <w:sz w:val="24"/>
                <w:szCs w:val="24"/>
              </w:rPr>
              <w:t>21</w:t>
            </w:r>
            <w:r w:rsidRPr="000E38D3">
              <w:rPr>
                <w:b/>
                <w:bCs/>
                <w:color w:val="9A3412"/>
                <w:sz w:val="24"/>
                <w:szCs w:val="24"/>
              </w:rPr>
              <w:t>日星期二美国中部标准时间</w:t>
            </w:r>
            <w:r w:rsidRPr="000E38D3">
              <w:rPr>
                <w:b/>
                <w:bCs/>
                <w:color w:val="9A3412"/>
                <w:sz w:val="24"/>
                <w:szCs w:val="24"/>
              </w:rPr>
              <w:t>17:00</w:t>
            </w:r>
          </w:p>
          <w:p w:rsidR="00FB1FFC" w:rsidRDefault="00FB1FFC" w14:paraId="4CA40F8B" w14:textId="21A71F9B"/>
        </w:tc>
      </w:tr>
    </w:tbl>
    <w:p w:rsidR="00FB1FFC" w:rsidRDefault="00FB1FFC" w14:paraId="73DE8878" w14:textId="77777777">
      <w:pPr>
        <w:spacing w:after="160"/>
      </w:pPr>
    </w:p>
    <w:p w:rsidR="00FB1FFC" w:rsidRDefault="00000000" w14:paraId="3B26696B" w14:textId="77777777">
      <w:pPr>
        <w:spacing w:after="80" w:line="264" w:lineRule="auto"/>
      </w:pPr>
      <w:r>
        <w:rPr>
          <w:b/>
          <w:bCs/>
          <w:color w:val="666666"/>
          <w:sz w:val="20"/>
          <w:szCs w:val="20"/>
        </w:rPr>
        <w:t>新闻稿</w:t>
      </w:r>
    </w:p>
    <w:p w:rsidR="00FB1FFC" w:rsidRDefault="6F3B0832" w14:paraId="4BA6F13B" w14:textId="588A55C1">
      <w:pPr>
        <w:spacing w:after="120" w:line="320" w:lineRule="auto"/>
      </w:pPr>
      <w:r w:rsidRPr="2C075E6E" w:rsidR="6F3B0832">
        <w:rPr>
          <w:b w:val="1"/>
          <w:bCs w:val="1"/>
          <w:color w:val="1F3864"/>
          <w:sz w:val="32"/>
          <w:szCs w:val="32"/>
        </w:rPr>
        <w:t>中国城市在</w:t>
      </w:r>
      <w:r w:rsidRPr="2C075E6E" w:rsidR="6F3B0832">
        <w:rPr>
          <w:b w:val="1"/>
          <w:bCs w:val="1"/>
          <w:color w:val="1F3864"/>
          <w:sz w:val="32"/>
          <w:szCs w:val="32"/>
        </w:rPr>
        <w:t>2027</w:t>
      </w:r>
      <w:r w:rsidRPr="2C075E6E" w:rsidR="6F3B0832">
        <w:rPr>
          <w:b w:val="1"/>
          <w:bCs w:val="1"/>
          <w:color w:val="1F3864"/>
          <w:sz w:val="32"/>
          <w:szCs w:val="32"/>
        </w:rPr>
        <w:t>年</w:t>
      </w:r>
      <w:r w:rsidRPr="2C075E6E" w:rsidR="6F3B0832">
        <w:rPr>
          <w:b w:val="1"/>
          <w:bCs w:val="1"/>
          <w:color w:val="1F3864"/>
          <w:sz w:val="32"/>
          <w:szCs w:val="32"/>
        </w:rPr>
        <w:t>QS</w:t>
      </w:r>
      <w:r w:rsidRPr="2C075E6E" w:rsidR="6F3B0832">
        <w:rPr>
          <w:b w:val="1"/>
          <w:bCs w:val="1"/>
          <w:color w:val="1F3864"/>
          <w:sz w:val="32"/>
          <w:szCs w:val="32"/>
        </w:rPr>
        <w:t>最佳</w:t>
      </w:r>
      <w:r w:rsidRPr="2C075E6E" w:rsidR="55AEC080">
        <w:rPr>
          <w:b w:val="1"/>
          <w:bCs w:val="1"/>
          <w:color w:val="1F3864"/>
          <w:sz w:val="32"/>
          <w:szCs w:val="32"/>
        </w:rPr>
        <w:t>留学</w:t>
      </w:r>
      <w:r w:rsidRPr="2C075E6E" w:rsidR="6F3B0832">
        <w:rPr>
          <w:b w:val="1"/>
          <w:bCs w:val="1"/>
          <w:color w:val="1F3864"/>
          <w:sz w:val="32"/>
          <w:szCs w:val="32"/>
        </w:rPr>
        <w:t>城市排名中位次提升，国际化程度成为下一发展重点</w:t>
      </w:r>
    </w:p>
    <w:p w:rsidR="00FB1FFC" w:rsidP="2C075E6E" w:rsidRDefault="6F3B0832" w14:paraId="5E814996" w14:textId="1FBBE874">
      <w:pPr>
        <w:spacing w:after="200" w:line="288" w:lineRule="auto"/>
        <w:rPr>
          <w:i w:val="1"/>
          <w:iCs w:val="1"/>
          <w:sz w:val="23"/>
          <w:szCs w:val="23"/>
        </w:rPr>
      </w:pPr>
      <w:r w:rsidRPr="2C075E6E" w:rsidR="6F3B0832">
        <w:rPr>
          <w:i w:val="1"/>
          <w:iCs w:val="1"/>
          <w:sz w:val="23"/>
          <w:szCs w:val="23"/>
        </w:rPr>
        <w:t>目前共有十座中国</w:t>
      </w:r>
      <w:r w:rsidRPr="2C075E6E" w:rsidR="7206FB0E">
        <w:rPr>
          <w:i w:val="1"/>
          <w:iCs w:val="1"/>
          <w:sz w:val="23"/>
          <w:szCs w:val="23"/>
        </w:rPr>
        <w:t>内地</w:t>
      </w:r>
      <w:r w:rsidRPr="2C075E6E" w:rsidR="6F3B0832">
        <w:rPr>
          <w:i w:val="1"/>
          <w:iCs w:val="1"/>
          <w:sz w:val="23"/>
          <w:szCs w:val="23"/>
        </w:rPr>
        <w:t>城市跻身该榜单，数量创历史新高，其中北京位列第</w:t>
      </w:r>
      <w:r w:rsidRPr="2C075E6E" w:rsidR="6F3B0832">
        <w:rPr>
          <w:i w:val="1"/>
          <w:iCs w:val="1"/>
          <w:sz w:val="23"/>
          <w:szCs w:val="23"/>
        </w:rPr>
        <w:t>12</w:t>
      </w:r>
      <w:r w:rsidRPr="2C075E6E" w:rsidR="6F3B0832">
        <w:rPr>
          <w:i w:val="1"/>
          <w:iCs w:val="1"/>
          <w:sz w:val="23"/>
          <w:szCs w:val="23"/>
        </w:rPr>
        <w:t>名，上海则以迅猛势头跃居第</w:t>
      </w:r>
      <w:r w:rsidRPr="2C075E6E" w:rsidR="6F3B0832">
        <w:rPr>
          <w:i w:val="1"/>
          <w:iCs w:val="1"/>
          <w:sz w:val="23"/>
          <w:szCs w:val="23"/>
        </w:rPr>
        <w:t>21</w:t>
      </w:r>
      <w:r w:rsidRPr="2C075E6E" w:rsidR="6F3B0832">
        <w:rPr>
          <w:i w:val="1"/>
          <w:iCs w:val="1"/>
          <w:sz w:val="23"/>
          <w:szCs w:val="23"/>
        </w:rPr>
        <w:t>名。生活成本的可负担性、高校实力的增强以及与雇主联系的深化，始终是中国城市排名上升的驱动力。</w:t>
      </w:r>
      <w:r w:rsidRPr="2C075E6E" w:rsidR="008E4CA0">
        <w:rPr>
          <w:i w:val="1"/>
          <w:iCs w:val="1"/>
          <w:sz w:val="23"/>
          <w:szCs w:val="23"/>
        </w:rPr>
        <w:t>当前核心机遇在于</w:t>
      </w:r>
      <w:r w:rsidRPr="2C075E6E" w:rsidR="00AA4874">
        <w:rPr>
          <w:i w:val="1"/>
          <w:iCs w:val="1"/>
          <w:sz w:val="23"/>
          <w:szCs w:val="23"/>
        </w:rPr>
        <w:t>增加</w:t>
      </w:r>
      <w:r w:rsidRPr="2C075E6E" w:rsidR="008E4CA0">
        <w:rPr>
          <w:i w:val="1"/>
          <w:iCs w:val="1"/>
          <w:sz w:val="23"/>
          <w:szCs w:val="23"/>
        </w:rPr>
        <w:t>城市国际学生来源</w:t>
      </w:r>
      <w:r w:rsidRPr="2C075E6E" w:rsidR="00AA4874">
        <w:rPr>
          <w:i w:val="1"/>
          <w:iCs w:val="1"/>
          <w:sz w:val="23"/>
          <w:szCs w:val="23"/>
        </w:rPr>
        <w:t>地的多样性</w:t>
      </w:r>
      <w:r w:rsidRPr="2C075E6E" w:rsidR="008E4CA0">
        <w:rPr>
          <w:i w:val="1"/>
          <w:iCs w:val="1"/>
          <w:sz w:val="23"/>
          <w:szCs w:val="23"/>
        </w:rPr>
        <w:t>——</w:t>
      </w:r>
      <w:r w:rsidRPr="2C075E6E" w:rsidR="008E4CA0">
        <w:rPr>
          <w:i w:val="1"/>
          <w:iCs w:val="1"/>
          <w:sz w:val="23"/>
          <w:szCs w:val="23"/>
        </w:rPr>
        <w:t>这一方向与中国高等教育整体战略所识别的关键突破口高度吻合。</w:t>
      </w:r>
    </w:p>
    <w:p w:rsidR="00FB1FFC" w:rsidRDefault="00000000" w14:paraId="20F0E193" w14:textId="77777777">
      <w:pPr>
        <w:spacing w:after="200" w:line="264" w:lineRule="auto"/>
      </w:pPr>
      <w:r>
        <w:rPr>
          <w:b/>
          <w:bCs/>
        </w:rPr>
        <w:t>伦敦，</w:t>
      </w:r>
      <w:r>
        <w:rPr>
          <w:b/>
          <w:bCs/>
        </w:rPr>
        <w:t>2026</w:t>
      </w:r>
      <w:r>
        <w:rPr>
          <w:b/>
          <w:bCs/>
        </w:rPr>
        <w:t>年</w:t>
      </w:r>
      <w:r>
        <w:rPr>
          <w:b/>
          <w:bCs/>
        </w:rPr>
        <w:t>7</w:t>
      </w:r>
      <w:r>
        <w:rPr>
          <w:b/>
          <w:bCs/>
        </w:rPr>
        <w:t>月</w:t>
      </w:r>
      <w:r>
        <w:rPr>
          <w:b/>
          <w:bCs/>
        </w:rPr>
        <w:t>21</w:t>
      </w:r>
      <w:r>
        <w:rPr>
          <w:b/>
          <w:bCs/>
        </w:rPr>
        <w:t>日</w:t>
      </w:r>
      <w:r>
        <w:rPr>
          <w:color w:val="666666"/>
        </w:rPr>
        <w:t xml:space="preserve">  │  QS Quacquarelli Symonds</w:t>
      </w:r>
    </w:p>
    <w:p w:rsidR="00FB1FFC" w:rsidRDefault="6F3B0832" w14:paraId="540A9553" w14:textId="1233E1F8">
      <w:pPr>
        <w:spacing w:after="160" w:line="264" w:lineRule="auto"/>
      </w:pPr>
      <w:r w:rsidR="6F3B0832">
        <w:rPr/>
        <w:t>在今日发布的《</w:t>
      </w:r>
      <w:hyperlink r:id="R8680d4998e154d60">
        <w:r w:rsidRPr="2C075E6E" w:rsidR="6F3B0832">
          <w:rPr>
            <w:rStyle w:val="Hyperlink"/>
          </w:rPr>
          <w:t>2027</w:t>
        </w:r>
        <w:r w:rsidRPr="2C075E6E" w:rsidR="6F3B0832">
          <w:rPr>
            <w:rStyle w:val="Hyperlink"/>
          </w:rPr>
          <w:t>QS</w:t>
        </w:r>
        <w:r w:rsidRPr="2C075E6E" w:rsidR="6F3B0832">
          <w:rPr>
            <w:rStyle w:val="Hyperlink"/>
            <w:rFonts w:ascii="Malgun Gothic" w:hAnsi="Malgun Gothic" w:eastAsia="Malgun Gothic" w:cs="Malgun Gothic"/>
          </w:rPr>
          <w:t>最佳</w:t>
        </w:r>
        <w:r w:rsidRPr="2C075E6E" w:rsidR="7B1E7AAF">
          <w:rPr>
            <w:rStyle w:val="Hyperlink"/>
            <w:rFonts w:ascii="Microsoft YaHei" w:hAnsi="Microsoft YaHei" w:eastAsia="Microsoft YaHei" w:cs="Microsoft YaHei"/>
          </w:rPr>
          <w:t>留学</w:t>
        </w:r>
        <w:r w:rsidRPr="2C075E6E" w:rsidR="6F3B0832">
          <w:rPr>
            <w:rStyle w:val="Hyperlink"/>
            <w:rFonts w:ascii="Microsoft YaHei" w:hAnsi="Microsoft YaHei" w:eastAsia="Microsoft YaHei" w:cs="Microsoft YaHei"/>
          </w:rPr>
          <w:t>城市排</w:t>
        </w:r>
        <w:r w:rsidRPr="2C075E6E" w:rsidR="55263678">
          <w:rPr>
            <w:rStyle w:val="Hyperlink"/>
            <w:rFonts w:ascii="Microsoft YaHei" w:hAnsi="Microsoft YaHei" w:eastAsia="Microsoft YaHei" w:cs="Microsoft YaHei"/>
          </w:rPr>
          <w:t>名</w:t>
        </w:r>
      </w:hyperlink>
      <w:r w:rsidR="6F3B0832">
        <w:rPr/>
        <w:t>》</w:t>
      </w:r>
      <w:r w:rsidR="6F3B0832">
        <w:rPr/>
        <w:t>*</w:t>
      </w:r>
      <w:r w:rsidR="6F3B0832">
        <w:rPr/>
        <w:t>中，中国</w:t>
      </w:r>
      <w:r w:rsidR="2A9F4098">
        <w:rPr/>
        <w:t>内地</w:t>
      </w:r>
      <w:r w:rsidR="6F3B0832">
        <w:rPr/>
        <w:t>的排名地位进一步巩固，共有</w:t>
      </w:r>
      <w:r w:rsidR="6F3B0832">
        <w:rPr/>
        <w:t>10</w:t>
      </w:r>
      <w:r w:rsidR="6F3B0832">
        <w:rPr/>
        <w:t>座城市上榜，创下迄今为止的最高上榜数量。北京上升一位至全球第</w:t>
      </w:r>
      <w:r w:rsidR="6F3B0832">
        <w:rPr/>
        <w:t>12</w:t>
      </w:r>
      <w:r w:rsidR="6F3B0832">
        <w:rPr/>
        <w:t>名，创下历史最高排名</w:t>
      </w:r>
      <w:r w:rsidR="6F3B0832">
        <w:rPr/>
        <w:t>；而上海表现尤为突出，跃升六位至第</w:t>
      </w:r>
      <w:r w:rsidR="6F3B0832">
        <w:rPr/>
        <w:t>21</w:t>
      </w:r>
      <w:r w:rsidR="6F3B0832">
        <w:rPr/>
        <w:t>名。杭州和哈尔滨两座城市首次跻身该榜单。</w:t>
      </w:r>
    </w:p>
    <w:p w:rsidRPr="00522764" w:rsidR="00FB1FFC" w:rsidRDefault="00000000" w14:paraId="350F7196" w14:textId="77777777">
      <w:pPr>
        <w:spacing w:after="200" w:line="264" w:lineRule="auto"/>
        <w:rPr>
          <w:b/>
          <w:bCs/>
          <w:color w:val="C00000"/>
        </w:rPr>
      </w:pPr>
      <w:r w:rsidRPr="00522764">
        <w:rPr>
          <w:b/>
          <w:bCs/>
          <w:i/>
          <w:iCs/>
          <w:color w:val="C00000"/>
          <w:sz w:val="17"/>
          <w:szCs w:val="17"/>
        </w:rPr>
        <w:t xml:space="preserve">* </w:t>
      </w:r>
      <w:r w:rsidRPr="00522764">
        <w:rPr>
          <w:b/>
          <w:bCs/>
          <w:i/>
          <w:iCs/>
          <w:color w:val="C00000"/>
          <w:sz w:val="17"/>
          <w:szCs w:val="17"/>
        </w:rPr>
        <w:t>禁令解除后，该链接将更新为</w:t>
      </w:r>
      <w:r w:rsidRPr="00522764">
        <w:rPr>
          <w:b/>
          <w:bCs/>
          <w:i/>
          <w:iCs/>
          <w:color w:val="C00000"/>
          <w:sz w:val="17"/>
          <w:szCs w:val="17"/>
        </w:rPr>
        <w:t>2027</w:t>
      </w:r>
      <w:r w:rsidRPr="00522764">
        <w:rPr>
          <w:b/>
          <w:bCs/>
          <w:i/>
          <w:iCs/>
          <w:color w:val="C00000"/>
          <w:sz w:val="17"/>
          <w:szCs w:val="17"/>
        </w:rPr>
        <w:t>年的排名结果。</w:t>
      </w:r>
    </w:p>
    <w:tbl>
      <w:tblPr>
        <w:tblW w:w="936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FFFFFF" w:sz="0" w:space="0"/>
          <w:insideV w:val="single" w:color="DDDDDD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FB1FFC" w:rsidTr="2C075E6E" w14:paraId="7724AC9B" w14:textId="77777777">
        <w:tc>
          <w:tcPr>
            <w:tcW w:w="23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B1FFC" w:rsidRDefault="00000000" w14:paraId="2C855891" w14:textId="77777777">
            <w:pPr>
              <w:spacing w:after="40"/>
            </w:pPr>
            <w:r>
              <w:rPr>
                <w:b/>
                <w:bCs/>
                <w:color w:val="F7A600"/>
                <w:sz w:val="44"/>
                <w:szCs w:val="44"/>
              </w:rPr>
              <w:t>10</w:t>
            </w:r>
          </w:p>
          <w:p w:rsidR="00FB1FFC" w:rsidRDefault="6F3B0832" w14:paraId="12A37AAF" w14:textId="31470A59">
            <w:r w:rsidRPr="2C075E6E" w:rsidR="6F3B0832">
              <w:rPr>
                <w:sz w:val="17"/>
                <w:szCs w:val="17"/>
              </w:rPr>
              <w:t>上榜的中国</w:t>
            </w:r>
            <w:r w:rsidRPr="2C075E6E" w:rsidR="2712B402">
              <w:rPr>
                <w:sz w:val="17"/>
                <w:szCs w:val="17"/>
              </w:rPr>
              <w:t>(</w:t>
            </w:r>
            <w:r w:rsidRPr="2C075E6E" w:rsidR="2712B402">
              <w:rPr>
                <w:sz w:val="17"/>
                <w:szCs w:val="17"/>
              </w:rPr>
              <w:t>内地</w:t>
            </w:r>
            <w:r w:rsidRPr="2C075E6E" w:rsidR="2712B402">
              <w:rPr>
                <w:sz w:val="17"/>
                <w:szCs w:val="17"/>
              </w:rPr>
              <w:t>)</w:t>
            </w:r>
            <w:r w:rsidRPr="2C075E6E" w:rsidR="6F3B0832">
              <w:rPr>
                <w:sz w:val="17"/>
                <w:szCs w:val="17"/>
              </w:rPr>
              <w:t>城市数量创纪录</w:t>
            </w:r>
          </w:p>
        </w:tc>
        <w:tc>
          <w:tcPr>
            <w:tcW w:w="23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B1FFC" w:rsidRDefault="00000000" w14:paraId="24A65468" w14:textId="77777777">
            <w:pPr>
              <w:spacing w:after="40"/>
            </w:pPr>
            <w:r>
              <w:rPr>
                <w:b/>
                <w:bCs/>
                <w:color w:val="F7A600"/>
                <w:sz w:val="44"/>
                <w:szCs w:val="44"/>
              </w:rPr>
              <w:t>第</w:t>
            </w:r>
            <w:r>
              <w:rPr>
                <w:b/>
                <w:bCs/>
                <w:color w:val="F7A600"/>
                <w:sz w:val="44"/>
                <w:szCs w:val="44"/>
              </w:rPr>
              <w:t>12</w:t>
            </w:r>
            <w:r>
              <w:rPr>
                <w:b/>
                <w:bCs/>
                <w:color w:val="F7A600"/>
                <w:sz w:val="44"/>
                <w:szCs w:val="44"/>
              </w:rPr>
              <w:t>位</w:t>
            </w:r>
          </w:p>
          <w:p w:rsidR="00FB1FFC" w:rsidRDefault="00000000" w14:paraId="1C00E28A" w14:textId="77777777">
            <w:r>
              <w:rPr>
                <w:sz w:val="17"/>
                <w:szCs w:val="17"/>
              </w:rPr>
              <w:t>北京的全球排名，创历史新高</w:t>
            </w:r>
          </w:p>
        </w:tc>
        <w:tc>
          <w:tcPr>
            <w:tcW w:w="23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B1FFC" w:rsidRDefault="00000000" w14:paraId="68FF89EB" w14:textId="77777777">
            <w:pPr>
              <w:spacing w:after="40"/>
            </w:pPr>
            <w:r>
              <w:rPr>
                <w:b/>
                <w:bCs/>
                <w:color w:val="F7A600"/>
                <w:sz w:val="44"/>
                <w:szCs w:val="44"/>
              </w:rPr>
              <w:t>+6</w:t>
            </w:r>
          </w:p>
          <w:p w:rsidR="00FB1FFC" w:rsidRDefault="00000000" w14:paraId="2E5AE8A5" w14:textId="77777777">
            <w:r>
              <w:rPr>
                <w:sz w:val="17"/>
                <w:szCs w:val="17"/>
              </w:rPr>
              <w:t>上海上升了</w:t>
            </w:r>
            <w:r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个名次，升至第</w:t>
            </w:r>
            <w:r>
              <w:rPr>
                <w:sz w:val="17"/>
                <w:szCs w:val="17"/>
              </w:rPr>
              <w:t>21</w:t>
            </w:r>
            <w:r>
              <w:rPr>
                <w:sz w:val="17"/>
                <w:szCs w:val="17"/>
              </w:rPr>
              <w:t>位</w:t>
            </w:r>
          </w:p>
        </w:tc>
        <w:tc>
          <w:tcPr>
            <w:tcW w:w="234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B1FFC" w:rsidRDefault="00000000" w14:paraId="709BC779" w14:textId="77777777">
            <w:pPr>
              <w:spacing w:after="40"/>
            </w:pPr>
            <w:r>
              <w:rPr>
                <w:b/>
                <w:bCs/>
                <w:color w:val="F7A600"/>
                <w:sz w:val="44"/>
                <w:szCs w:val="44"/>
              </w:rPr>
              <w:t>2</w:t>
            </w:r>
          </w:p>
          <w:p w:rsidR="00FB1FFC" w:rsidRDefault="00000000" w14:paraId="23405C61" w14:textId="77777777">
            <w:r>
              <w:rPr>
                <w:sz w:val="17"/>
                <w:szCs w:val="17"/>
              </w:rPr>
              <w:t>新晋城市：杭州和哈尔滨</w:t>
            </w:r>
          </w:p>
        </w:tc>
      </w:tr>
    </w:tbl>
    <w:p w:rsidR="00FB1FFC" w:rsidRDefault="00FB1FFC" w14:paraId="54FEBF6D" w14:textId="77777777">
      <w:pPr>
        <w:spacing w:after="220"/>
      </w:pPr>
    </w:p>
    <w:p w:rsidR="00FB1FFC" w:rsidRDefault="6F3B0832" w14:paraId="4C02A205" w14:textId="7FD6236C">
      <w:pPr>
        <w:spacing w:after="160" w:line="264" w:lineRule="auto"/>
      </w:pPr>
      <w:r w:rsidR="6F3B0832">
        <w:rPr/>
        <w:t>北京依然是中国首屈一指的学城，也是中国唯一跻身全球前</w:t>
      </w:r>
      <w:r w:rsidR="6F3B0832">
        <w:rPr/>
        <w:t>20</w:t>
      </w:r>
      <w:r w:rsidR="6F3B0832">
        <w:rPr/>
        <w:t>名的城市。该市拥有</w:t>
      </w:r>
      <w:r w:rsidR="6F3B0832">
        <w:rPr/>
        <w:t>18</w:t>
      </w:r>
      <w:r w:rsidR="6F3B0832">
        <w:rPr/>
        <w:t>所上榜大学，在院校实力方面位列全球第三，在</w:t>
      </w:r>
      <w:r w:rsidR="6F3B0832">
        <w:rPr/>
        <w:t>“</w:t>
      </w:r>
      <w:r w:rsidR="6F3B0832">
        <w:rPr/>
        <w:t>雇主</w:t>
      </w:r>
      <w:r w:rsidR="2BEF34BD">
        <w:rPr/>
        <w:t>活动</w:t>
      </w:r>
      <w:r w:rsidR="6F3B0832">
        <w:rPr/>
        <w:t>”</w:t>
      </w:r>
      <w:r w:rsidR="6F3B0832">
        <w:rPr/>
        <w:t>（衡量其毕业生在全球顶尖雇主中的需求程度）方面位列第六。今年其涨幅最大的是</w:t>
      </w:r>
      <w:r w:rsidR="6F3B0832">
        <w:rPr/>
        <w:t>“</w:t>
      </w:r>
      <w:r w:rsidR="6F3B0832">
        <w:rPr/>
        <w:t>宜居性</w:t>
      </w:r>
      <w:r w:rsidR="6F3B0832">
        <w:rPr/>
        <w:t>”</w:t>
      </w:r>
      <w:r w:rsidR="6F3B0832">
        <w:rPr/>
        <w:t>指标，该指标跃升</w:t>
      </w:r>
      <w:r w:rsidR="6F3B0832">
        <w:rPr/>
        <w:t>18</w:t>
      </w:r>
      <w:r w:rsidR="6F3B0832">
        <w:rPr/>
        <w:t>位，至第</w:t>
      </w:r>
      <w:r w:rsidR="6F3B0832">
        <w:rPr/>
        <w:t>76</w:t>
      </w:r>
      <w:r w:rsidR="6F3B0832">
        <w:rPr/>
        <w:t>位。</w:t>
      </w:r>
    </w:p>
    <w:p w:rsidR="00FB1FFC" w:rsidRDefault="6F3B0832" w14:paraId="1C0E8976" w14:textId="1A3BEEA9">
      <w:pPr>
        <w:spacing w:after="160" w:line="264" w:lineRule="auto"/>
      </w:pPr>
      <w:r w:rsidR="6F3B0832">
        <w:rPr/>
        <w:t>在上海，作为中国老牌城市中今年排名上升幅度最大的城市，在</w:t>
      </w:r>
      <w:r w:rsidR="6F3B0832">
        <w:rPr/>
        <w:t>“</w:t>
      </w:r>
      <w:r w:rsidR="6F3B0832">
        <w:rPr/>
        <w:t>雇主</w:t>
      </w:r>
      <w:r w:rsidR="3D3929DA">
        <w:rPr/>
        <w:t>活动</w:t>
      </w:r>
      <w:r w:rsidR="6F3B0832">
        <w:rPr/>
        <w:t>”</w:t>
      </w:r>
      <w:r w:rsidR="6F3B0832">
        <w:rPr/>
        <w:t>指标跃升</w:t>
      </w:r>
      <w:r w:rsidR="6F3B0832">
        <w:rPr/>
        <w:t>12</w:t>
      </w:r>
      <w:r w:rsidR="6F3B0832">
        <w:rPr/>
        <w:t>位至并列第</w:t>
      </w:r>
      <w:r w:rsidR="6F3B0832">
        <w:rPr/>
        <w:t>18</w:t>
      </w:r>
      <w:r w:rsidR="6F3B0832">
        <w:rPr/>
        <w:t>名后，总排名上升</w:t>
      </w:r>
      <w:r w:rsidR="6F3B0832">
        <w:rPr/>
        <w:t>6</w:t>
      </w:r>
      <w:r w:rsidR="6F3B0832">
        <w:rPr/>
        <w:t>位至第</w:t>
      </w:r>
      <w:r w:rsidR="6F3B0832">
        <w:rPr/>
        <w:t>21</w:t>
      </w:r>
      <w:r w:rsidR="6F3B0832">
        <w:rPr/>
        <w:t>位。该市拥有</w:t>
      </w:r>
      <w:r w:rsidR="6F3B0832">
        <w:rPr/>
        <w:t>10</w:t>
      </w:r>
      <w:r w:rsidR="6F3B0832">
        <w:rPr/>
        <w:t>所上榜大学，其高校实力位居全国第二，如今已距离全球前</w:t>
      </w:r>
      <w:r w:rsidR="6F3B0832">
        <w:rPr/>
        <w:t>20</w:t>
      </w:r>
      <w:r w:rsidR="6F3B0832">
        <w:rPr/>
        <w:t>名仅一步之遥。</w:t>
      </w:r>
    </w:p>
    <w:p w:rsidR="00FB1FFC" w:rsidRDefault="6F3B0832" w14:paraId="74BC4011" w14:textId="726C877A">
      <w:pPr>
        <w:spacing w:after="160" w:line="264" w:lineRule="auto"/>
      </w:pPr>
      <w:r w:rsidR="6F3B0832">
        <w:rPr/>
        <w:t>除这两座旗舰城市外，中国在榜单上的影响力正在不断深化和扩大。广州是今年进步最大的中国</w:t>
      </w:r>
      <w:r w:rsidR="7AC45E7D">
        <w:rPr/>
        <w:t>（内地）</w:t>
      </w:r>
      <w:r w:rsidR="6F3B0832">
        <w:rPr/>
        <w:t>城市，跃升二十四位至并列第</w:t>
      </w:r>
      <w:r w:rsidR="6F3B0832">
        <w:rPr/>
        <w:t>95</w:t>
      </w:r>
      <w:r w:rsidR="6F3B0832">
        <w:rPr/>
        <w:t>位；南京（上升十位至第</w:t>
      </w:r>
      <w:r w:rsidR="6F3B0832">
        <w:rPr/>
        <w:t>59</w:t>
      </w:r>
      <w:r w:rsidR="6F3B0832">
        <w:rPr/>
        <w:t>位）、西安（上升十一位至第</w:t>
      </w:r>
      <w:r w:rsidR="6F3B0832">
        <w:rPr/>
        <w:t>113</w:t>
      </w:r>
      <w:r w:rsidR="6F3B0832">
        <w:rPr/>
        <w:t>位）和成都（上升八位至并列第</w:t>
      </w:r>
      <w:r w:rsidR="6F3B0832">
        <w:rPr/>
        <w:t>138</w:t>
      </w:r>
      <w:r w:rsidR="6F3B0832">
        <w:rPr/>
        <w:t>位）均有所提升。</w:t>
      </w:r>
      <w:r w:rsidR="6F3B0832">
        <w:rPr/>
        <w:t xml:space="preserve"> </w:t>
      </w:r>
      <w:r w:rsidR="6F3B0832">
        <w:rPr/>
        <w:t>杭州首次上榜，位列第</w:t>
      </w:r>
      <w:r w:rsidR="6F3B0832">
        <w:rPr/>
        <w:t>57</w:t>
      </w:r>
      <w:r w:rsidR="6F3B0832">
        <w:rPr/>
        <w:t>位；哈尔滨位列第</w:t>
      </w:r>
      <w:r w:rsidR="6F3B0832">
        <w:rPr/>
        <w:t>129</w:t>
      </w:r>
      <w:r w:rsidR="6F3B0832">
        <w:rPr/>
        <w:t>位。</w:t>
      </w:r>
      <w:r w:rsidR="6F3B0832">
        <w:rPr/>
        <w:t>天津</w:t>
      </w:r>
      <w:r w:rsidR="006A0644">
        <w:rPr/>
        <w:t>是上榜城市中唯一</w:t>
      </w:r>
      <w:r w:rsidR="6F3B0832">
        <w:rPr/>
        <w:t>排名下滑</w:t>
      </w:r>
      <w:r w:rsidR="006A0644">
        <w:rPr/>
        <w:t>的城市</w:t>
      </w:r>
      <w:r w:rsidR="6F3B0832">
        <w:rPr/>
        <w:t>，位列第</w:t>
      </w:r>
      <w:r w:rsidR="6F3B0832">
        <w:rPr/>
        <w:t>143</w:t>
      </w:r>
      <w:r w:rsidR="6F3B0832">
        <w:rPr/>
        <w:t>位。</w:t>
      </w:r>
    </w:p>
    <w:p w:rsidR="00FB1FFC" w:rsidRDefault="6F3B0832" w14:paraId="74F2C1F6" w14:textId="43E03E5A">
      <w:pPr>
        <w:spacing w:after="160" w:line="264" w:lineRule="auto"/>
      </w:pPr>
      <w:r w:rsidR="6F3B0832">
        <w:rPr/>
        <w:t>中国</w:t>
      </w:r>
      <w:r w:rsidR="2EDC66D7">
        <w:rPr/>
        <w:t>（内地）</w:t>
      </w:r>
      <w:r w:rsidR="6F3B0832">
        <w:rPr/>
        <w:t>各城市普遍具备两大优势。首先是</w:t>
      </w:r>
      <w:r w:rsidR="00CE64BE">
        <w:rPr/>
        <w:t>较低的生活成本</w:t>
      </w:r>
      <w:r w:rsidR="6F3B0832">
        <w:rPr/>
        <w:t>：所有上榜的中国</w:t>
      </w:r>
      <w:r w:rsidR="71DF2524">
        <w:rPr/>
        <w:t>（内地）</w:t>
      </w:r>
      <w:r w:rsidR="6F3B0832">
        <w:rPr/>
        <w:t>城市在</w:t>
      </w:r>
      <w:r w:rsidR="00CE64BE">
        <w:rPr/>
        <w:t>可负担</w:t>
      </w:r>
      <w:r w:rsidR="00395025">
        <w:rPr/>
        <w:t>程度</w:t>
      </w:r>
      <w:r w:rsidR="00CE64BE">
        <w:rPr/>
        <w:t>这一指标中</w:t>
      </w:r>
      <w:r w:rsidR="6F3B0832">
        <w:rPr/>
        <w:t>均位列全球前</w:t>
      </w:r>
      <w:r w:rsidR="6F3B0832">
        <w:rPr/>
        <w:t>40</w:t>
      </w:r>
      <w:r w:rsidR="6F3B0832">
        <w:rPr/>
        <w:t>名，国际生平均学费每年在</w:t>
      </w:r>
      <w:r w:rsidR="6F3B0832">
        <w:rPr/>
        <w:t>2,700</w:t>
      </w:r>
      <w:r w:rsidR="6F3B0832">
        <w:rPr/>
        <w:t>至</w:t>
      </w:r>
      <w:r w:rsidR="6F3B0832">
        <w:rPr/>
        <w:t>4,200</w:t>
      </w:r>
      <w:r w:rsidR="6F3B0832">
        <w:rPr/>
        <w:t>美元之间，仅为主要英语国家留学目的地的零头。</w:t>
      </w:r>
      <w:r w:rsidR="6F3B0832">
        <w:rPr/>
        <w:t xml:space="preserve"> </w:t>
      </w:r>
      <w:r w:rsidR="6F3B0832">
        <w:rPr/>
        <w:t>第二点是中国高校和雇主日益增强的吸引力，这反映了过去十年在科研及</w:t>
      </w:r>
      <w:r w:rsidR="6F3B0832">
        <w:rPr/>
        <w:t>产业合作方面持续投入的成果。这两大优势共同构成了</w:t>
      </w:r>
      <w:r w:rsidR="6F3B0832">
        <w:rPr/>
        <w:t>国家招生战略的核心，将中国定位为一个</w:t>
      </w:r>
      <w:commentRangeStart w:id="44"/>
      <w:r w:rsidR="6F3B0832">
        <w:rPr/>
        <w:t>学费实惠</w:t>
      </w:r>
      <w:commentRangeEnd w:id="44"/>
      <w:r>
        <w:rPr>
          <w:rStyle w:val="CommentReference"/>
        </w:rPr>
        <w:commentReference w:id="44"/>
      </w:r>
      <w:r w:rsidR="6F3B0832">
        <w:rPr/>
        <w:t>、学术水平不断提升且</w:t>
      </w:r>
      <w:commentRangeStart w:id="45"/>
      <w:r w:rsidR="6F3B0832">
        <w:rPr/>
        <w:t>科研日益密集</w:t>
      </w:r>
      <w:commentRangeEnd w:id="45"/>
      <w:r>
        <w:rPr>
          <w:rStyle w:val="CommentReference"/>
        </w:rPr>
        <w:commentReference w:id="45"/>
      </w:r>
      <w:r w:rsidR="6F3B0832">
        <w:rPr/>
        <w:t>的留学目的地，</w:t>
      </w:r>
      <w:commentRangeStart w:id="46"/>
      <w:r w:rsidR="6F3B0832">
        <w:rPr/>
        <w:t>特别是对来自亚洲、非洲及</w:t>
      </w:r>
      <w:r w:rsidR="6F3B0832">
        <w:rPr/>
        <w:t>“</w:t>
      </w:r>
      <w:r w:rsidR="6F3B0832">
        <w:rPr/>
        <w:t>一带一路</w:t>
      </w:r>
      <w:r w:rsidR="6F3B0832">
        <w:rPr/>
        <w:t>”</w:t>
      </w:r>
      <w:r w:rsidR="6F3B0832">
        <w:rPr/>
        <w:t>伙伴国的学生而言</w:t>
      </w:r>
      <w:commentRangeEnd w:id="46"/>
      <w:r>
        <w:rPr>
          <w:rStyle w:val="CommentReference"/>
        </w:rPr>
        <w:commentReference w:id="46"/>
      </w:r>
      <w:r w:rsidR="6F3B0832">
        <w:rPr/>
        <w:t>。</w:t>
      </w:r>
    </w:p>
    <w:p w:rsidR="00FB1FFC" w:rsidRDefault="00000000" w14:paraId="2007E8E4" w14:textId="77777777">
      <w:pPr>
        <w:spacing w:after="160" w:line="264" w:lineRule="auto"/>
      </w:pPr>
      <w:r>
        <w:t>最明显的制约因素同样一贯存在。在</w:t>
      </w:r>
      <w:r>
        <w:t>“</w:t>
      </w:r>
      <w:r>
        <w:t>学生构成</w:t>
      </w:r>
      <w:r>
        <w:t>”</w:t>
      </w:r>
      <w:r>
        <w:t>这一反映城市学生群体国际多样性的指标上，上榜的中国城市无一跻身全球前</w:t>
      </w:r>
      <w:r>
        <w:t>90</w:t>
      </w:r>
      <w:r>
        <w:t>名，且这是中国十座上榜城市中得分最低的指标。这一趋势反映了中国国际教育战略的核心转变</w:t>
      </w:r>
      <w:r>
        <w:t>——</w:t>
      </w:r>
      <w:r>
        <w:t>近年来，该战略已从扩大留学生规模转向提升质量、招生多元化及深化全球参与。</w:t>
      </w:r>
      <w:r>
        <w:t xml:space="preserve"> 2024</w:t>
      </w:r>
      <w:r>
        <w:t>年至</w:t>
      </w:r>
      <w:r>
        <w:t>2025</w:t>
      </w:r>
      <w:r>
        <w:t>年间，中国接待了来自</w:t>
      </w:r>
      <w:r>
        <w:t>191</w:t>
      </w:r>
      <w:r>
        <w:t>个国家和地区的约</w:t>
      </w:r>
      <w:r>
        <w:t>38</w:t>
      </w:r>
      <w:r>
        <w:t>万名国际学生，基本恢复了疫情前的规模，但仍低于此前约</w:t>
      </w:r>
      <w:r>
        <w:t>49.2</w:t>
      </w:r>
      <w:r>
        <w:t>万人的峰值。其中，核心区域及合作伙伴市场的招生表现最为强劲，而来自北美和欧洲部分地区的学生数量则相对较少。</w:t>
      </w:r>
    </w:p>
    <w:p w:rsidR="00FB1FFC" w:rsidRDefault="6F3B0832" w14:paraId="6A7E234E" w14:textId="3D8EDB8B">
      <w:pPr>
        <w:keepNext w:val="1"/>
        <w:spacing w:before="80" w:after="100" w:line="264" w:lineRule="auto"/>
      </w:pPr>
      <w:r w:rsidRPr="2C075E6E" w:rsidR="6F3B0832">
        <w:rPr>
          <w:b w:val="1"/>
          <w:bCs w:val="1"/>
          <w:color w:val="1F3864"/>
          <w:sz w:val="22"/>
          <w:szCs w:val="22"/>
        </w:rPr>
        <w:t>中国</w:t>
      </w:r>
      <w:r w:rsidRPr="2C075E6E" w:rsidR="2D5F1F19">
        <w:rPr>
          <w:b w:val="1"/>
          <w:bCs w:val="1"/>
          <w:color w:val="1F3864"/>
          <w:sz w:val="22"/>
          <w:szCs w:val="22"/>
        </w:rPr>
        <w:t>（内地）</w:t>
      </w:r>
      <w:r w:rsidRPr="2C075E6E" w:rsidR="6F3B0832">
        <w:rPr>
          <w:b w:val="1"/>
          <w:bCs w:val="1"/>
          <w:color w:val="1F3864"/>
          <w:sz w:val="22"/>
          <w:szCs w:val="22"/>
        </w:rPr>
        <w:t>在《</w:t>
      </w:r>
      <w:r w:rsidRPr="2C075E6E" w:rsidR="6F3B0832">
        <w:rPr>
          <w:b w:val="1"/>
          <w:bCs w:val="1"/>
          <w:color w:val="1F3864"/>
          <w:sz w:val="22"/>
          <w:szCs w:val="22"/>
        </w:rPr>
        <w:t>2027</w:t>
      </w:r>
      <w:r w:rsidRPr="2C075E6E" w:rsidR="6F3B0832">
        <w:rPr>
          <w:b w:val="1"/>
          <w:bCs w:val="1"/>
          <w:color w:val="1F3864"/>
          <w:sz w:val="22"/>
          <w:szCs w:val="22"/>
        </w:rPr>
        <w:t>QS</w:t>
      </w:r>
      <w:r w:rsidRPr="2C075E6E" w:rsidR="6F3B0832">
        <w:rPr>
          <w:b w:val="1"/>
          <w:bCs w:val="1"/>
          <w:color w:val="1F3864"/>
          <w:sz w:val="22"/>
          <w:szCs w:val="22"/>
        </w:rPr>
        <w:t>最佳</w:t>
      </w:r>
      <w:r w:rsidRPr="2C075E6E" w:rsidR="22298FFD">
        <w:rPr>
          <w:b w:val="1"/>
          <w:bCs w:val="1"/>
          <w:color w:val="1F3864"/>
          <w:sz w:val="22"/>
          <w:szCs w:val="22"/>
        </w:rPr>
        <w:t>留学</w:t>
      </w:r>
      <w:r w:rsidRPr="2C075E6E" w:rsidR="6F3B0832">
        <w:rPr>
          <w:b w:val="1"/>
          <w:bCs w:val="1"/>
          <w:color w:val="1F3864"/>
          <w:sz w:val="22"/>
          <w:szCs w:val="22"/>
        </w:rPr>
        <w:t>城市》中的排名</w:t>
      </w:r>
    </w:p>
    <w:tbl>
      <w:tblPr>
        <w:tblW w:w="9360" w:type="dxa"/>
        <w:tblBorders>
          <w:top w:val="single" w:color="CCCCCC" w:sz="2" w:space="0"/>
          <w:left w:val="none" w:color="FFFFFF" w:sz="0" w:space="0"/>
          <w:bottom w:val="single" w:color="CCCCCC" w:sz="2" w:space="0"/>
          <w:right w:val="none" w:color="FFFFFF" w:sz="0" w:space="0"/>
          <w:insideH w:val="single" w:color="E5E5E5" w:sz="2" w:space="0"/>
          <w:insideV w:val="none" w:color="FFFFFF" w:sz="0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1900"/>
        <w:gridCol w:w="3160"/>
        <w:gridCol w:w="1700"/>
      </w:tblGrid>
      <w:tr w:rsidR="00FB1FFC" w14:paraId="648C1FAF" w14:textId="77777777">
        <w:trPr>
          <w:tblHeader/>
        </w:trPr>
        <w:tc>
          <w:tcPr>
            <w:tcW w:w="1300" w:type="dxa"/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B1FFC" w:rsidRDefault="00000000" w14:paraId="041D552F" w14:textId="7777777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2027</w:t>
            </w:r>
            <w:r>
              <w:rPr>
                <w:b/>
                <w:bCs/>
                <w:color w:val="FFFFFF"/>
                <w:sz w:val="19"/>
                <w:szCs w:val="19"/>
              </w:rPr>
              <w:t>年排名</w:t>
            </w:r>
          </w:p>
        </w:tc>
        <w:tc>
          <w:tcPr>
            <w:tcW w:w="1300" w:type="dxa"/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B1FFC" w:rsidRDefault="00000000" w14:paraId="7459AA7D" w14:textId="7777777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2026</w:t>
            </w:r>
            <w:r>
              <w:rPr>
                <w:b/>
                <w:bCs/>
                <w:color w:val="FFFFFF"/>
                <w:sz w:val="19"/>
                <w:szCs w:val="19"/>
              </w:rPr>
              <w:t>年排名</w:t>
            </w:r>
          </w:p>
        </w:tc>
        <w:tc>
          <w:tcPr>
            <w:tcW w:w="1900" w:type="dxa"/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B1FFC" w:rsidRDefault="00000000" w14:paraId="2EEE6304" w14:textId="7777777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变动</w:t>
            </w:r>
          </w:p>
        </w:tc>
        <w:tc>
          <w:tcPr>
            <w:tcW w:w="3160" w:type="dxa"/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B1FFC" w:rsidRDefault="00000000" w14:paraId="0A594F9F" w14:textId="77777777">
            <w:r>
              <w:rPr>
                <w:b/>
                <w:bCs/>
                <w:color w:val="FFFFFF"/>
                <w:sz w:val="19"/>
                <w:szCs w:val="19"/>
              </w:rPr>
              <w:t>城市</w:t>
            </w:r>
          </w:p>
        </w:tc>
        <w:tc>
          <w:tcPr>
            <w:tcW w:w="1700" w:type="dxa"/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B1FFC" w:rsidRDefault="00000000" w14:paraId="1F503EF6" w14:textId="77777777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总分</w:t>
            </w:r>
          </w:p>
        </w:tc>
      </w:tr>
      <w:tr w:rsidR="00FB1FFC" w14:paraId="0D25A5C5" w14:textId="77777777"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EA85EE1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12</w:t>
            </w:r>
          </w:p>
        </w:tc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4C4CC391" w14:textId="77777777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7F765D2" w14:textId="77777777">
            <w:pPr>
              <w:jc w:val="center"/>
            </w:pPr>
            <w:r>
              <w:rPr>
                <w:b/>
                <w:bCs/>
                <w:color w:val="2E7D32"/>
                <w:sz w:val="20"/>
                <w:szCs w:val="20"/>
              </w:rPr>
              <w:t>▲ 1</w:t>
            </w:r>
          </w:p>
        </w:tc>
        <w:tc>
          <w:tcPr>
            <w:tcW w:w="316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290A0275" w14:textId="77777777">
            <w:r>
              <w:rPr>
                <w:b/>
                <w:bCs/>
                <w:sz w:val="20"/>
                <w:szCs w:val="20"/>
              </w:rPr>
              <w:t>北京</w:t>
            </w:r>
          </w:p>
        </w:tc>
        <w:tc>
          <w:tcPr>
            <w:tcW w:w="17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000CFBD4" w14:textId="77777777">
            <w:pPr>
              <w:jc w:val="center"/>
            </w:pPr>
            <w:r>
              <w:rPr>
                <w:sz w:val="20"/>
                <w:szCs w:val="20"/>
              </w:rPr>
              <w:t>89.2</w:t>
            </w:r>
          </w:p>
        </w:tc>
      </w:tr>
      <w:tr w:rsidR="00FB1FFC" w14:paraId="32F0790B" w14:textId="77777777"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7855416B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21</w:t>
            </w:r>
          </w:p>
        </w:tc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79BB9EF9" w14:textId="77777777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2DCE9CE3" w14:textId="77777777">
            <w:pPr>
              <w:jc w:val="center"/>
            </w:pPr>
            <w:r>
              <w:rPr>
                <w:b/>
                <w:bCs/>
                <w:color w:val="2E7D32"/>
                <w:sz w:val="20"/>
                <w:szCs w:val="20"/>
              </w:rPr>
              <w:t>▲ 6</w:t>
            </w:r>
          </w:p>
        </w:tc>
        <w:tc>
          <w:tcPr>
            <w:tcW w:w="316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A656FA1" w14:textId="77777777">
            <w:r>
              <w:rPr>
                <w:b/>
                <w:bCs/>
                <w:sz w:val="20"/>
                <w:szCs w:val="20"/>
              </w:rPr>
              <w:t>上海</w:t>
            </w:r>
          </w:p>
        </w:tc>
        <w:tc>
          <w:tcPr>
            <w:tcW w:w="17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078520C" w14:textId="77777777">
            <w:pPr>
              <w:jc w:val="center"/>
            </w:pPr>
            <w:r>
              <w:rPr>
                <w:sz w:val="20"/>
                <w:szCs w:val="20"/>
              </w:rPr>
              <w:t>85.9</w:t>
            </w:r>
          </w:p>
        </w:tc>
      </w:tr>
      <w:tr w:rsidR="00FB1FFC" w14:paraId="2A86FF74" w14:textId="77777777"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4E6056F0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57</w:t>
            </w:r>
          </w:p>
        </w:tc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0F41B03" w14:textId="77777777">
            <w:pPr>
              <w:jc w:val="center"/>
            </w:pPr>
            <w:r>
              <w:rPr>
                <w:sz w:val="20"/>
                <w:szCs w:val="20"/>
              </w:rPr>
              <w:t>新</w:t>
            </w:r>
          </w:p>
        </w:tc>
        <w:tc>
          <w:tcPr>
            <w:tcW w:w="19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0FBD3C87" w14:textId="77777777">
            <w:pPr>
              <w:jc w:val="center"/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● </w:t>
            </w:r>
            <w:r>
              <w:rPr>
                <w:b/>
                <w:bCs/>
                <w:color w:val="666666"/>
                <w:sz w:val="20"/>
                <w:szCs w:val="20"/>
              </w:rPr>
              <w:t>新</w:t>
            </w:r>
          </w:p>
        </w:tc>
        <w:tc>
          <w:tcPr>
            <w:tcW w:w="316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9C7B2E0" w14:textId="77777777">
            <w:r>
              <w:rPr>
                <w:b/>
                <w:bCs/>
                <w:sz w:val="20"/>
                <w:szCs w:val="20"/>
              </w:rPr>
              <w:t>杭州</w:t>
            </w:r>
          </w:p>
        </w:tc>
        <w:tc>
          <w:tcPr>
            <w:tcW w:w="17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2D261F2E" w14:textId="77777777">
            <w:pPr>
              <w:jc w:val="center"/>
            </w:pPr>
            <w:r>
              <w:rPr>
                <w:sz w:val="20"/>
                <w:szCs w:val="20"/>
              </w:rPr>
              <w:t>72.6</w:t>
            </w:r>
          </w:p>
        </w:tc>
      </w:tr>
      <w:tr w:rsidR="00FB1FFC" w14:paraId="3840BAB1" w14:textId="77777777"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1802D385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59</w:t>
            </w:r>
          </w:p>
        </w:tc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F7948A5" w14:textId="77777777">
            <w:pPr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9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2AE4A5AE" w14:textId="77777777">
            <w:pPr>
              <w:jc w:val="center"/>
            </w:pPr>
            <w:r>
              <w:rPr>
                <w:b/>
                <w:bCs/>
                <w:color w:val="2E7D32"/>
                <w:sz w:val="20"/>
                <w:szCs w:val="20"/>
              </w:rPr>
              <w:t>▲ 10</w:t>
            </w:r>
          </w:p>
        </w:tc>
        <w:tc>
          <w:tcPr>
            <w:tcW w:w="316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20B4BF7B" w14:textId="77777777">
            <w:r>
              <w:rPr>
                <w:b/>
                <w:bCs/>
                <w:sz w:val="20"/>
                <w:szCs w:val="20"/>
              </w:rPr>
              <w:t>南京</w:t>
            </w:r>
          </w:p>
        </w:tc>
        <w:tc>
          <w:tcPr>
            <w:tcW w:w="17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1229F29" w14:textId="77777777">
            <w:pPr>
              <w:jc w:val="center"/>
            </w:pPr>
            <w:r>
              <w:rPr>
                <w:sz w:val="20"/>
                <w:szCs w:val="20"/>
              </w:rPr>
              <w:t>72.2</w:t>
            </w:r>
          </w:p>
        </w:tc>
      </w:tr>
      <w:tr w:rsidR="00FB1FFC" w14:paraId="0C9C2517" w14:textId="77777777"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2646E721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86</w:t>
            </w:r>
          </w:p>
        </w:tc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091D93C4" w14:textId="77777777">
            <w:pPr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9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4EBA7136" w14:textId="77777777">
            <w:pPr>
              <w:jc w:val="center"/>
            </w:pPr>
            <w:r>
              <w:rPr>
                <w:b/>
                <w:bCs/>
                <w:color w:val="2E7D32"/>
                <w:sz w:val="20"/>
                <w:szCs w:val="20"/>
              </w:rPr>
              <w:t>▲ 4</w:t>
            </w:r>
          </w:p>
        </w:tc>
        <w:tc>
          <w:tcPr>
            <w:tcW w:w="316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196087F" w14:textId="77777777">
            <w:r>
              <w:rPr>
                <w:b/>
                <w:bCs/>
                <w:sz w:val="20"/>
                <w:szCs w:val="20"/>
              </w:rPr>
              <w:t>武汉</w:t>
            </w:r>
          </w:p>
        </w:tc>
        <w:tc>
          <w:tcPr>
            <w:tcW w:w="17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3D0CED8" w14:textId="77777777">
            <w:pPr>
              <w:jc w:val="center"/>
            </w:pPr>
            <w:r>
              <w:rPr>
                <w:sz w:val="20"/>
                <w:szCs w:val="20"/>
              </w:rPr>
              <w:t>63.5</w:t>
            </w:r>
          </w:p>
        </w:tc>
      </w:tr>
      <w:tr w:rsidR="00FB1FFC" w14:paraId="3E5FCD11" w14:textId="77777777"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D47970E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=95</w:t>
            </w:r>
          </w:p>
        </w:tc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1E7ADAAA" w14:textId="77777777">
            <w:pPr>
              <w:jc w:val="center"/>
            </w:pPr>
            <w:r>
              <w:rPr>
                <w:sz w:val="20"/>
                <w:szCs w:val="20"/>
              </w:rPr>
              <w:t>=119</w:t>
            </w:r>
          </w:p>
        </w:tc>
        <w:tc>
          <w:tcPr>
            <w:tcW w:w="19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A2378C8" w14:textId="77777777">
            <w:pPr>
              <w:jc w:val="center"/>
            </w:pPr>
            <w:r>
              <w:rPr>
                <w:b/>
                <w:bCs/>
                <w:color w:val="2E7D32"/>
                <w:sz w:val="20"/>
                <w:szCs w:val="20"/>
              </w:rPr>
              <w:t>▲ 24</w:t>
            </w:r>
          </w:p>
        </w:tc>
        <w:tc>
          <w:tcPr>
            <w:tcW w:w="316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DDD865E" w14:textId="77777777">
            <w:r>
              <w:rPr>
                <w:b/>
                <w:bCs/>
                <w:sz w:val="20"/>
                <w:szCs w:val="20"/>
              </w:rPr>
              <w:t>广州</w:t>
            </w:r>
          </w:p>
        </w:tc>
        <w:tc>
          <w:tcPr>
            <w:tcW w:w="17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678ABB3" w14:textId="77777777">
            <w:pPr>
              <w:jc w:val="center"/>
            </w:pPr>
            <w:r>
              <w:rPr>
                <w:sz w:val="20"/>
                <w:szCs w:val="20"/>
              </w:rPr>
              <w:t>60.8</w:t>
            </w:r>
          </w:p>
        </w:tc>
      </w:tr>
      <w:tr w:rsidR="00FB1FFC" w14:paraId="1FC0A39A" w14:textId="77777777"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7C4AD33F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113</w:t>
            </w:r>
          </w:p>
        </w:tc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D97226D" w14:textId="77777777">
            <w:pPr>
              <w:jc w:val="center"/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9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0A10AA42" w14:textId="77777777">
            <w:pPr>
              <w:jc w:val="center"/>
            </w:pPr>
            <w:r>
              <w:rPr>
                <w:b/>
                <w:bCs/>
                <w:color w:val="2E7D32"/>
                <w:sz w:val="20"/>
                <w:szCs w:val="20"/>
              </w:rPr>
              <w:t>▲ 11</w:t>
            </w:r>
          </w:p>
        </w:tc>
        <w:tc>
          <w:tcPr>
            <w:tcW w:w="316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C6066B7" w14:textId="77777777">
            <w:r>
              <w:rPr>
                <w:b/>
                <w:bCs/>
                <w:sz w:val="20"/>
                <w:szCs w:val="20"/>
              </w:rPr>
              <w:t>西安</w:t>
            </w:r>
          </w:p>
        </w:tc>
        <w:tc>
          <w:tcPr>
            <w:tcW w:w="17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95151EC" w14:textId="77777777">
            <w:pPr>
              <w:jc w:val="center"/>
            </w:pPr>
            <w:r>
              <w:rPr>
                <w:sz w:val="20"/>
                <w:szCs w:val="20"/>
              </w:rPr>
              <w:t>57.1</w:t>
            </w:r>
          </w:p>
        </w:tc>
      </w:tr>
      <w:tr w:rsidR="00FB1FFC" w14:paraId="2FABC898" w14:textId="77777777"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C510EC2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129</w:t>
            </w:r>
          </w:p>
        </w:tc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0CAFEAB7" w14:textId="77777777">
            <w:pPr>
              <w:jc w:val="center"/>
            </w:pPr>
            <w:r>
              <w:rPr>
                <w:sz w:val="20"/>
                <w:szCs w:val="20"/>
              </w:rPr>
              <w:t>新</w:t>
            </w:r>
          </w:p>
        </w:tc>
        <w:tc>
          <w:tcPr>
            <w:tcW w:w="19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3CC37D6" w14:textId="77777777">
            <w:pPr>
              <w:jc w:val="center"/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● </w:t>
            </w:r>
            <w:r>
              <w:rPr>
                <w:b/>
                <w:bCs/>
                <w:color w:val="666666"/>
                <w:sz w:val="20"/>
                <w:szCs w:val="20"/>
              </w:rPr>
              <w:t>新</w:t>
            </w:r>
          </w:p>
        </w:tc>
        <w:tc>
          <w:tcPr>
            <w:tcW w:w="316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C86DFE9" w14:textId="77777777">
            <w:r>
              <w:rPr>
                <w:b/>
                <w:bCs/>
                <w:sz w:val="20"/>
                <w:szCs w:val="20"/>
              </w:rPr>
              <w:t>哈尔滨</w:t>
            </w:r>
          </w:p>
        </w:tc>
        <w:tc>
          <w:tcPr>
            <w:tcW w:w="17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D48DF50" w14:textId="77777777">
            <w:pPr>
              <w:jc w:val="center"/>
            </w:pPr>
            <w:r>
              <w:rPr>
                <w:sz w:val="20"/>
                <w:szCs w:val="20"/>
              </w:rPr>
              <w:t>52.8</w:t>
            </w:r>
          </w:p>
        </w:tc>
      </w:tr>
      <w:tr w:rsidR="00FB1FFC" w14:paraId="348EFC46" w14:textId="77777777"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C3B4276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=138</w:t>
            </w:r>
          </w:p>
        </w:tc>
        <w:tc>
          <w:tcPr>
            <w:tcW w:w="13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871A181" w14:textId="77777777">
            <w:pPr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9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7A4D966B" w14:textId="77777777">
            <w:pPr>
              <w:jc w:val="center"/>
            </w:pPr>
            <w:r>
              <w:rPr>
                <w:b/>
                <w:bCs/>
                <w:color w:val="2E7D32"/>
                <w:sz w:val="20"/>
                <w:szCs w:val="20"/>
              </w:rPr>
              <w:t>▲ 8</w:t>
            </w:r>
          </w:p>
        </w:tc>
        <w:tc>
          <w:tcPr>
            <w:tcW w:w="316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0D908ECB" w14:textId="77777777">
            <w:r>
              <w:rPr>
                <w:b/>
                <w:bCs/>
                <w:sz w:val="20"/>
                <w:szCs w:val="20"/>
              </w:rPr>
              <w:t>成都</w:t>
            </w:r>
          </w:p>
        </w:tc>
        <w:tc>
          <w:tcPr>
            <w:tcW w:w="1700" w:type="dxa"/>
            <w:shd w:val="clear" w:color="auto" w:fill="FFFFFF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7DC2C866" w14:textId="77777777">
            <w:pPr>
              <w:jc w:val="center"/>
            </w:pPr>
            <w:r>
              <w:rPr>
                <w:sz w:val="20"/>
                <w:szCs w:val="20"/>
              </w:rPr>
              <w:t>50.1</w:t>
            </w:r>
          </w:p>
        </w:tc>
      </w:tr>
      <w:tr w:rsidR="00FB1FFC" w14:paraId="2567B49E" w14:textId="77777777"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6C70CFC9" w14:textId="77777777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143</w:t>
            </w:r>
          </w:p>
        </w:tc>
        <w:tc>
          <w:tcPr>
            <w:tcW w:w="13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EE0415D" w14:textId="77777777">
            <w:pPr>
              <w:jc w:val="center"/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9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C3863A1" w14:textId="77777777">
            <w:pPr>
              <w:jc w:val="center"/>
            </w:pPr>
            <w:r>
              <w:rPr>
                <w:b/>
                <w:bCs/>
                <w:color w:val="C0392B"/>
                <w:sz w:val="20"/>
                <w:szCs w:val="20"/>
              </w:rPr>
              <w:t>▼ 11</w:t>
            </w:r>
          </w:p>
        </w:tc>
        <w:tc>
          <w:tcPr>
            <w:tcW w:w="316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5A52DEF8" w14:textId="77777777">
            <w:r>
              <w:rPr>
                <w:b/>
                <w:bCs/>
                <w:sz w:val="20"/>
                <w:szCs w:val="20"/>
              </w:rPr>
              <w:t>天津</w:t>
            </w:r>
          </w:p>
        </w:tc>
        <w:tc>
          <w:tcPr>
            <w:tcW w:w="1700" w:type="dxa"/>
            <w:shd w:val="clear" w:color="auto" w:fill="F2F2F2"/>
            <w:tcMar>
              <w:top w:w="50" w:type="dxa"/>
              <w:left w:w="120" w:type="dxa"/>
              <w:bottom w:w="50" w:type="dxa"/>
              <w:right w:w="120" w:type="dxa"/>
            </w:tcMar>
            <w:vAlign w:val="center"/>
          </w:tcPr>
          <w:p w:rsidR="00FB1FFC" w:rsidRDefault="00000000" w14:paraId="3840B4E0" w14:textId="77777777">
            <w:pPr>
              <w:jc w:val="center"/>
            </w:pPr>
            <w:r>
              <w:rPr>
                <w:sz w:val="20"/>
                <w:szCs w:val="20"/>
              </w:rPr>
              <w:t>49.0</w:t>
            </w:r>
          </w:p>
        </w:tc>
      </w:tr>
    </w:tbl>
    <w:p w:rsidR="00FB1FFC" w:rsidRDefault="00000000" w14:paraId="1688D091" w14:textId="28EE6858">
      <w:pPr>
        <w:spacing w:before="60" w:after="220" w:line="264" w:lineRule="auto"/>
      </w:pPr>
      <w:r>
        <w:rPr>
          <w:i/>
          <w:iCs/>
          <w:color w:val="666666"/>
          <w:sz w:val="16"/>
          <w:szCs w:val="16"/>
        </w:rPr>
        <w:t>© QS Quacquarelli Symonds 2004-2027</w:t>
      </w:r>
      <w:r>
        <w:rPr>
          <w:i/>
          <w:iCs/>
          <w:color w:val="666666"/>
          <w:sz w:val="16"/>
          <w:szCs w:val="16"/>
        </w:rPr>
        <w:t>，</w:t>
      </w:r>
      <w:r>
        <w:rPr>
          <w:i/>
          <w:iCs/>
          <w:color w:val="666666"/>
          <w:sz w:val="16"/>
          <w:szCs w:val="16"/>
        </w:rPr>
        <w:t>TopUniversities.com</w:t>
      </w:r>
    </w:p>
    <w:p w:rsidR="00FB1FFC" w:rsidRDefault="00000000" w14:paraId="19B602E0" w14:textId="77777777">
      <w:pPr>
        <w:keepNext/>
        <w:spacing w:before="80" w:after="120" w:line="264" w:lineRule="auto"/>
      </w:pPr>
      <w:r>
        <w:rPr>
          <w:b/>
          <w:bCs/>
          <w:color w:val="F7A600"/>
          <w:sz w:val="24"/>
          <w:szCs w:val="24"/>
        </w:rPr>
        <w:t>全局概览</w:t>
      </w:r>
    </w:p>
    <w:p w:rsidR="00FB1FFC" w:rsidRDefault="6F3B0832" w14:paraId="769907B0" w14:textId="75C3F0F3">
      <w:pPr>
        <w:spacing w:after="160" w:line="264" w:lineRule="auto"/>
      </w:pPr>
      <w:r w:rsidR="6F3B0832">
        <w:rPr/>
        <w:t>在</w:t>
      </w:r>
      <w:r w:rsidR="6F3B0832">
        <w:rPr/>
        <w:t>QS 2027</w:t>
      </w:r>
      <w:r w:rsidR="6F3B0832">
        <w:rPr/>
        <w:t>年的研究中，</w:t>
      </w:r>
      <w:r w:rsidR="5CF8F6D7">
        <w:rPr/>
        <w:t>这些</w:t>
      </w:r>
      <w:r w:rsidR="6F3B0832">
        <w:rPr/>
        <w:t>城市的排名结果体现了中国高校整体表现强劲的趋势。在《</w:t>
      </w:r>
      <w:hyperlink r:id="R5d74736bbc2047eb">
        <w:r w:rsidRPr="2C075E6E" w:rsidR="52788BCC">
          <w:rPr>
            <w:rStyle w:val="Hyperlink"/>
          </w:rPr>
          <w:t>2027</w:t>
        </w:r>
        <w:r w:rsidRPr="2C075E6E" w:rsidR="52788BCC">
          <w:rPr>
            <w:rStyle w:val="Hyperlink"/>
          </w:rPr>
          <w:t>QS</w:t>
        </w:r>
        <w:r w:rsidRPr="2C075E6E" w:rsidR="52788BCC">
          <w:rPr>
            <w:rStyle w:val="Hyperlink"/>
          </w:rPr>
          <w:t>世界大学排名</w:t>
        </w:r>
      </w:hyperlink>
      <w:r w:rsidR="6F3B0832">
        <w:rPr/>
        <w:t>》中，中国</w:t>
      </w:r>
      <w:r w:rsidR="265C2798">
        <w:rPr/>
        <w:t>（内地）</w:t>
      </w:r>
      <w:r w:rsidR="6F3B0832">
        <w:rPr/>
        <w:t>约</w:t>
      </w:r>
      <w:r w:rsidR="6F3B0832">
        <w:rPr/>
        <w:t>72%</w:t>
      </w:r>
      <w:r w:rsidR="6F3B0832">
        <w:rPr/>
        <w:t>的上榜</w:t>
      </w:r>
      <w:r w:rsidR="0E602D01">
        <w:rPr/>
        <w:t>高校</w:t>
      </w:r>
      <w:r w:rsidR="6F3B0832">
        <w:rPr/>
        <w:t>排名有所提升，且</w:t>
      </w:r>
      <w:r w:rsidR="6F3B0832">
        <w:rPr/>
        <w:t>有</w:t>
      </w:r>
      <w:r w:rsidR="6F3B0832">
        <w:rPr/>
        <w:t>13</w:t>
      </w:r>
      <w:r w:rsidR="6F3B0832">
        <w:rPr/>
        <w:t>所大学新入榜，数量居全球之首。</w:t>
      </w:r>
      <w:r w:rsidR="6F3B0832">
        <w:rPr/>
        <w:t xml:space="preserve"> </w:t>
      </w:r>
      <w:r w:rsidR="6F3B0832">
        <w:rPr/>
        <w:t>目前共有</w:t>
      </w:r>
      <w:r w:rsidR="6F3B0832">
        <w:rPr/>
        <w:t>85</w:t>
      </w:r>
      <w:r w:rsidR="6F3B0832">
        <w:rPr/>
        <w:t>所中国</w:t>
      </w:r>
      <w:r w:rsidR="29B667A3">
        <w:rPr/>
        <w:t>（内地）</w:t>
      </w:r>
      <w:r w:rsidR="4D7DF8BE">
        <w:rPr/>
        <w:t>高校</w:t>
      </w:r>
      <w:r w:rsidR="6F3B0832">
        <w:rPr/>
        <w:t>上榜，上榜数量仅次于美国和英国，位居全球第三，其中</w:t>
      </w:r>
      <w:r w:rsidR="6F3B0832">
        <w:rPr/>
        <w:t>6</w:t>
      </w:r>
      <w:r w:rsidR="6F3B0832">
        <w:rPr/>
        <w:t>所跻身全球前</w:t>
      </w:r>
      <w:r w:rsidR="6F3B0832">
        <w:rPr/>
        <w:t>100</w:t>
      </w:r>
      <w:r w:rsidR="6F3B0832">
        <w:rPr/>
        <w:t>名。北京大学位列第</w:t>
      </w:r>
      <w:r w:rsidR="6F3B0832">
        <w:rPr/>
        <w:t>13</w:t>
      </w:r>
      <w:r w:rsidR="6F3B0832">
        <w:rPr/>
        <w:t>名，是中国</w:t>
      </w:r>
      <w:r w:rsidR="00335A9B">
        <w:rPr/>
        <w:t>（内地）</w:t>
      </w:r>
      <w:r w:rsidR="6F3B0832">
        <w:rPr/>
        <w:t>排名最高的高校，紧随其后的是位列第</w:t>
      </w:r>
      <w:r w:rsidR="6F3B0832">
        <w:rPr/>
        <w:t>14</w:t>
      </w:r>
      <w:r w:rsidR="6F3B0832">
        <w:rPr/>
        <w:t>名的清华大学。过去十年间，跻身全球前</w:t>
      </w:r>
      <w:r w:rsidR="6F3B0832">
        <w:rPr/>
        <w:t>500</w:t>
      </w:r>
      <w:r w:rsidR="6F3B0832">
        <w:rPr/>
        <w:t>名的中国</w:t>
      </w:r>
      <w:r w:rsidR="00335A9B">
        <w:rPr/>
        <w:t>（内地）</w:t>
      </w:r>
      <w:r w:rsidR="6F3B0832">
        <w:rPr/>
        <w:t>大学数量从</w:t>
      </w:r>
      <w:r w:rsidR="6F3B0832">
        <w:rPr/>
        <w:t>15</w:t>
      </w:r>
      <w:r w:rsidR="6F3B0832">
        <w:rPr/>
        <w:t>所增至</w:t>
      </w:r>
      <w:r w:rsidR="6F3B0832">
        <w:rPr/>
        <w:t>38</w:t>
      </w:r>
      <w:r w:rsidR="6F3B0832">
        <w:rPr/>
        <w:t>所。</w:t>
      </w:r>
    </w:p>
    <w:p w:rsidR="00FB1FFC" w:rsidRDefault="00FB1FFC" w14:paraId="67C8F39B" w14:textId="366600C3">
      <w:pPr>
        <w:spacing w:after="160" w:line="264" w:lineRule="auto"/>
      </w:pPr>
      <w:hyperlink r:id="R246eb490783a4815">
        <w:r w:rsidRPr="2C075E6E" w:rsidR="52788BCC">
          <w:rPr>
            <w:rStyle w:val="Hyperlink"/>
          </w:rPr>
          <w:t>《</w:t>
        </w:r>
        <w:r w:rsidRPr="2C075E6E" w:rsidR="52788BCC">
          <w:rPr>
            <w:rStyle w:val="Hyperlink"/>
          </w:rPr>
          <w:t>2027</w:t>
        </w:r>
        <w:r w:rsidRPr="2C075E6E" w:rsidR="52788BCC">
          <w:rPr>
            <w:rStyle w:val="Hyperlink"/>
          </w:rPr>
          <w:t>QS</w:t>
        </w:r>
        <w:r w:rsidRPr="2C075E6E" w:rsidR="52788BCC">
          <w:rPr>
            <w:rStyle w:val="Hyperlink"/>
          </w:rPr>
          <w:t>世界未来技能指数》</w:t>
        </w:r>
      </w:hyperlink>
      <w:r w:rsidR="52788BCC">
        <w:rPr/>
        <w:t>则呈现了相辅相成的图景</w:t>
      </w:r>
      <w:r w:rsidRPr="2C075E6E" w:rsidR="52788BCC">
        <w:rPr>
          <w:b w:val="1"/>
          <w:bCs w:val="1"/>
        </w:rPr>
        <w:t>。</w:t>
      </w:r>
      <w:r w:rsidRPr="2C075E6E" w:rsidR="52788BCC">
        <w:rPr>
          <w:b w:val="1"/>
          <w:bCs w:val="1"/>
          <w:i w:val="1"/>
          <w:iCs w:val="1"/>
        </w:rPr>
        <w:t>在</w:t>
      </w:r>
      <w:r w:rsidRPr="2C075E6E" w:rsidR="52788BCC">
        <w:rPr>
          <w:b w:val="1"/>
          <w:bCs w:val="1"/>
          <w:i w:val="1"/>
          <w:iCs w:val="1"/>
        </w:rPr>
        <w:t>“</w:t>
      </w:r>
      <w:r w:rsidRPr="2C075E6E" w:rsidR="52788BCC">
        <w:rPr>
          <w:b w:val="1"/>
          <w:bCs w:val="1"/>
          <w:i w:val="1"/>
          <w:iCs w:val="1"/>
        </w:rPr>
        <w:t>经济转型</w:t>
      </w:r>
      <w:r w:rsidRPr="2C075E6E" w:rsidR="52788BCC">
        <w:rPr>
          <w:b w:val="1"/>
          <w:bCs w:val="1"/>
          <w:i w:val="1"/>
          <w:iCs w:val="1"/>
        </w:rPr>
        <w:t>”</w:t>
      </w:r>
      <w:r w:rsidRPr="2C075E6E" w:rsidR="52788BCC">
        <w:rPr>
          <w:b w:val="1"/>
          <w:bCs w:val="1"/>
          <w:i w:val="1"/>
          <w:iCs w:val="1"/>
        </w:rPr>
        <w:t>指标</w:t>
      </w:r>
      <w:r w:rsidRPr="2C075E6E" w:rsidR="52788BCC">
        <w:rPr>
          <w:b w:val="1"/>
          <w:bCs w:val="1"/>
        </w:rPr>
        <w:t>上</w:t>
      </w:r>
      <w:r w:rsidR="52788BCC">
        <w:rPr/>
        <w:t>，</w:t>
      </w:r>
      <w:r w:rsidRPr="2C075E6E" w:rsidR="52788BCC">
        <w:rPr>
          <w:b w:val="1"/>
          <w:bCs w:val="1"/>
        </w:rPr>
        <w:t>中国</w:t>
      </w:r>
      <w:r w:rsidRPr="2C075E6E" w:rsidR="00335A9B">
        <w:rPr>
          <w:b w:val="1"/>
          <w:bCs w:val="1"/>
        </w:rPr>
        <w:t>（内地）</w:t>
      </w:r>
      <w:r w:rsidRPr="2C075E6E" w:rsidR="52788BCC">
        <w:rPr>
          <w:b w:val="1"/>
          <w:bCs w:val="1"/>
        </w:rPr>
        <w:t>位居全球第一</w:t>
      </w:r>
      <w:r w:rsidR="52788BCC">
        <w:rPr/>
        <w:t>——</w:t>
      </w:r>
      <w:r w:rsidR="52788BCC">
        <w:rPr/>
        <w:t>该指标衡量的是一个国家将技能转化为生产力、创新和增长的能力；在</w:t>
      </w:r>
      <w:r w:rsidR="52788BCC">
        <w:rPr/>
        <w:t>89</w:t>
      </w:r>
      <w:r w:rsidR="52788BCC">
        <w:rPr/>
        <w:t>个受评估经济体中，中国</w:t>
      </w:r>
      <w:r w:rsidR="00727D69">
        <w:rPr/>
        <w:t>（内地）</w:t>
      </w:r>
      <w:r w:rsidR="52788BCC">
        <w:rPr/>
        <w:t>综合排名第七。此外，</w:t>
      </w:r>
      <w:r w:rsidRPr="2C075E6E" w:rsidR="52788BCC">
        <w:rPr>
          <w:i w:val="1"/>
          <w:iCs w:val="1"/>
        </w:rPr>
        <w:t>中国在</w:t>
      </w:r>
      <w:r w:rsidRPr="2C075E6E" w:rsidR="52788BCC">
        <w:rPr>
          <w:i w:val="1"/>
          <w:iCs w:val="1"/>
        </w:rPr>
        <w:t>“</w:t>
      </w:r>
      <w:r w:rsidRPr="2C075E6E" w:rsidR="52788BCC">
        <w:rPr>
          <w:i w:val="1"/>
          <w:iCs w:val="1"/>
        </w:rPr>
        <w:t>技能匹配度</w:t>
      </w:r>
      <w:r w:rsidRPr="2C075E6E" w:rsidR="52788BCC">
        <w:rPr>
          <w:i w:val="1"/>
          <w:iCs w:val="1"/>
        </w:rPr>
        <w:t>”</w:t>
      </w:r>
      <w:r w:rsidRPr="2C075E6E" w:rsidR="52788BCC">
        <w:rPr>
          <w:i w:val="1"/>
          <w:iCs w:val="1"/>
        </w:rPr>
        <w:t>方面</w:t>
      </w:r>
      <w:r w:rsidR="52788BCC">
        <w:rPr/>
        <w:t>位列全球第三，表明其毕业生的技能与雇主需求高度契合。</w:t>
      </w:r>
      <w:r w:rsidR="52788BCC">
        <w:rPr/>
        <w:t xml:space="preserve"> </w:t>
      </w:r>
      <w:r w:rsidR="52788BCC">
        <w:rPr/>
        <w:t>其表现较弱的领域</w:t>
      </w:r>
      <w:r w:rsidR="52788BCC">
        <w:rPr/>
        <w:t>——</w:t>
      </w:r>
      <w:r w:rsidR="52788BCC">
        <w:rPr/>
        <w:t>在</w:t>
      </w:r>
      <w:r w:rsidR="52788BCC">
        <w:rPr/>
        <w:t>“</w:t>
      </w:r>
      <w:r w:rsidR="52788BCC">
        <w:rPr/>
        <w:t>未来工作准备度</w:t>
      </w:r>
      <w:r w:rsidR="52788BCC">
        <w:rPr/>
        <w:t>”</w:t>
      </w:r>
      <w:r w:rsidR="52788BCC">
        <w:rPr/>
        <w:t>方面排名第</w:t>
      </w:r>
      <w:r w:rsidR="52788BCC">
        <w:rPr/>
        <w:t>21</w:t>
      </w:r>
      <w:r w:rsidR="52788BCC">
        <w:rPr/>
        <w:t>位，在</w:t>
      </w:r>
      <w:r w:rsidR="52788BCC">
        <w:rPr/>
        <w:t>“</w:t>
      </w:r>
      <w:r w:rsidR="52788BCC">
        <w:rPr/>
        <w:t>数字技能普及率</w:t>
      </w:r>
      <w:r w:rsidR="52788BCC">
        <w:rPr/>
        <w:t>”</w:t>
      </w:r>
      <w:r w:rsidR="52788BCC">
        <w:rPr/>
        <w:t>方面排名第</w:t>
      </w:r>
      <w:r w:rsidR="52788BCC">
        <w:rPr/>
        <w:t>44</w:t>
      </w:r>
      <w:r w:rsidR="52788BCC">
        <w:rPr/>
        <w:t>位</w:t>
      </w:r>
      <w:r w:rsidR="52788BCC">
        <w:rPr/>
        <w:t>——</w:t>
      </w:r>
      <w:r w:rsidR="52788BCC">
        <w:rPr/>
        <w:t>与城市数据中贯穿始终的主题相呼应：中国在规模、投资和毕业生质量方面的内在优势，尚未完全体现在其国际影响力和未来技能覆盖范围的广度上。</w:t>
      </w:r>
    </w:p>
    <w:p w:rsidRPr="00555559" w:rsidR="00555559" w:rsidP="00555559" w:rsidRDefault="429F687B" w14:paraId="2C275669" w14:textId="64118E78">
      <w:pPr>
        <w:spacing w:after="160" w:line="264" w:lineRule="auto"/>
      </w:pPr>
      <w:r w:rsidRPr="2C075E6E" w:rsidR="429F687B">
        <w:rPr>
          <w:b w:val="1"/>
          <w:bCs w:val="1"/>
          <w:color w:val="F7A600"/>
          <w:sz w:val="24"/>
          <w:szCs w:val="24"/>
        </w:rPr>
        <w:t>吸引国际人才</w:t>
      </w:r>
      <w:r>
        <w:br/>
      </w:r>
      <w:r w:rsidR="429F687B">
        <w:rPr/>
        <w:t>中国的国际学生战略是软实力、人才吸引和长期外交影响力的重要工具。</w:t>
      </w:r>
      <w:r w:rsidR="429F687B">
        <w:rPr/>
        <w:t>2024–25</w:t>
      </w:r>
      <w:r w:rsidR="429F687B">
        <w:rPr/>
        <w:t>学年，中国接待了来自</w:t>
      </w:r>
      <w:r w:rsidR="429F687B">
        <w:rPr/>
        <w:t>191</w:t>
      </w:r>
      <w:r w:rsidR="429F687B">
        <w:rPr/>
        <w:t>个国家和地区的约</w:t>
      </w:r>
      <w:r w:rsidR="429F687B">
        <w:rPr/>
        <w:t>38</w:t>
      </w:r>
      <w:r w:rsidR="429F687B">
        <w:rPr/>
        <w:t>万名国际学生，其中来自亚洲和非洲的招收规模尤为显著。</w:t>
      </w:r>
      <w:r w:rsidR="429F687B">
        <w:rPr/>
        <w:t xml:space="preserve"> </w:t>
      </w:r>
      <w:r w:rsidR="429F687B">
        <w:rPr/>
        <w:t>奖学金、相对实惠的理工科项目以及与</w:t>
      </w:r>
      <w:r w:rsidR="429F687B">
        <w:rPr/>
        <w:t>“</w:t>
      </w:r>
      <w:r w:rsidR="429F687B">
        <w:rPr/>
        <w:t>一带一路</w:t>
      </w:r>
      <w:r w:rsidR="429F687B">
        <w:rPr/>
        <w:t>”</w:t>
      </w:r>
      <w:r w:rsidR="429F687B">
        <w:rPr/>
        <w:t>倡议相关的合作关系依然是核心。然而，新的发展方向正日益趋向于择优录取和注重质量：</w:t>
      </w:r>
      <w:r w:rsidR="429F687B">
        <w:rPr/>
        <w:t>2024–2035</w:t>
      </w:r>
      <w:r w:rsidR="429F687B">
        <w:rPr/>
        <w:t>年国家教育</w:t>
      </w:r>
      <w:r w:rsidR="429F687B">
        <w:rPr/>
        <w:t>规划</w:t>
      </w:r>
      <w:r w:rsidR="429F687B">
        <w:rPr/>
        <w:t>将吸引全球高层次人才、扩大短期交</w:t>
      </w:r>
      <w:r w:rsidR="429F687B">
        <w:rPr/>
        <w:t>流和国际暑期学校，以及通过</w:t>
      </w:r>
      <w:r w:rsidR="432B5635">
        <w:rPr/>
        <w:t>合作办学</w:t>
      </w:r>
      <w:r w:rsidR="429F687B">
        <w:rPr/>
        <w:t>项目和</w:t>
      </w:r>
      <w:r w:rsidR="5F60F727">
        <w:rPr/>
        <w:t>联合</w:t>
      </w:r>
      <w:r w:rsidR="429F687B">
        <w:rPr/>
        <w:t>机构将国外顶尖大学（特别是理工科领域）引入中国作为优先事项。</w:t>
      </w:r>
      <w:r w:rsidR="429F687B">
        <w:rPr/>
        <w:t xml:space="preserve"> </w:t>
      </w:r>
    </w:p>
    <w:tbl>
      <w:tblPr>
        <w:tblW w:w="9360" w:type="dxa"/>
        <w:tblBorders>
          <w:top w:val="none" w:color="FFFFFF" w:sz="0" w:space="0"/>
          <w:left w:val="single" w:color="F7A600" w:sz="24" w:space="0"/>
          <w:bottom w:val="none" w:color="FFFFFF" w:sz="0" w:space="0"/>
          <w:right w:val="none" w:color="FFFFFF" w:sz="0" w:space="0"/>
          <w:insideH w:val="none" w:color="FFFFFF" w:sz="0" w:space="0"/>
          <w:insideV w:val="none" w:color="FFFFFF" w:sz="0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1FFC" w:rsidTr="2C075E6E" w14:paraId="7576D3DB" w14:textId="77777777">
        <w:tc>
          <w:tcPr>
            <w:tcW w:w="9360" w:type="dxa"/>
            <w:shd w:val="clear" w:color="auto" w:fill="FBFBFB"/>
            <w:tcMar>
              <w:top w:w="120" w:type="dxa"/>
              <w:left w:w="220" w:type="dxa"/>
              <w:bottom w:w="120" w:type="dxa"/>
              <w:right w:w="160" w:type="dxa"/>
            </w:tcMar>
          </w:tcPr>
          <w:p w:rsidR="00FB1FFC" w:rsidRDefault="6F3B0832" w14:paraId="23366723" w14:textId="7353834F">
            <w:pPr>
              <w:spacing w:after="120" w:line="276" w:lineRule="auto"/>
            </w:pPr>
            <w:r w:rsidRPr="2C075E6E" w:rsidR="6F3B0832">
              <w:rPr>
                <w:i w:val="1"/>
                <w:iCs w:val="1"/>
                <w:sz w:val="22"/>
                <w:szCs w:val="22"/>
              </w:rPr>
              <w:t>“</w:t>
            </w:r>
            <w:r w:rsidRPr="2C075E6E" w:rsidR="6F3B0832">
              <w:rPr>
                <w:i w:val="1"/>
                <w:iCs w:val="1"/>
                <w:sz w:val="22"/>
                <w:szCs w:val="22"/>
              </w:rPr>
              <w:t>中国</w:t>
            </w:r>
            <w:r w:rsidRPr="2C075E6E" w:rsidR="278F8534">
              <w:rPr>
                <w:i w:val="1"/>
                <w:iCs w:val="1"/>
                <w:sz w:val="22"/>
                <w:szCs w:val="22"/>
              </w:rPr>
              <w:t>（内地）</w:t>
            </w:r>
            <w:r w:rsidRPr="2C075E6E" w:rsidR="6F3B0832">
              <w:rPr>
                <w:i w:val="1"/>
                <w:iCs w:val="1"/>
                <w:sz w:val="22"/>
                <w:szCs w:val="22"/>
              </w:rPr>
              <w:t>各城市正成为真正具有竞争力的求学之地：学费合理，新兴大学日益完善，并与雇主及产业界紧密相连。这种优势已毋庸置疑。</w:t>
            </w:r>
            <w:r w:rsidRPr="2C075E6E" w:rsidR="6F3B0832">
              <w:rPr>
                <w:i w:val="1"/>
                <w:iCs w:val="1"/>
                <w:sz w:val="22"/>
                <w:szCs w:val="22"/>
              </w:rPr>
              <w:t xml:space="preserve"> </w:t>
            </w:r>
            <w:r w:rsidRPr="2C075E6E" w:rsidR="6F3B0832">
              <w:rPr>
                <w:i w:val="1"/>
                <w:iCs w:val="1"/>
                <w:sz w:val="22"/>
                <w:szCs w:val="22"/>
              </w:rPr>
              <w:t>当前的机遇在于将其与更广泛的国际影响力相结合，吸引更广泛、更多元化的学生群体，并深化全球合作伙伴关系，从而将强大的区域优势转化为真正的全球优势。</w:t>
            </w:r>
            <w:r w:rsidRPr="2C075E6E" w:rsidR="00566C92">
              <w:rPr>
                <w:i w:val="1"/>
                <w:iCs w:val="1"/>
                <w:sz w:val="22"/>
                <w:szCs w:val="22"/>
              </w:rPr>
              <w:t>而这正是决定中国作为留学目的地崛起的关键，而不是规模本身</w:t>
            </w:r>
            <w:r w:rsidRPr="2C075E6E" w:rsidR="00566C92">
              <w:rPr>
                <w:i w:val="1"/>
                <w:iCs w:val="1"/>
                <w:sz w:val="22"/>
                <w:szCs w:val="22"/>
              </w:rPr>
              <w:t>。</w:t>
            </w:r>
            <w:r w:rsidRPr="2C075E6E" w:rsidR="6F3B0832">
              <w:rPr>
                <w:i w:val="1"/>
                <w:iCs w:val="1"/>
                <w:sz w:val="22"/>
                <w:szCs w:val="22"/>
              </w:rPr>
              <w:t>”</w:t>
            </w:r>
          </w:p>
          <w:p w:rsidR="00FB1FFC" w:rsidP="0ACCF254" w:rsidRDefault="00000000" w14:paraId="791F7DC8" w14:textId="744089E3">
            <w:r w:rsidRPr="2C075E6E" w:rsidR="36D0E094">
              <w:rPr>
                <w:rFonts w:eastAsia="Calibri"/>
                <w:b w:val="1"/>
                <w:bCs w:val="1"/>
              </w:rPr>
              <w:t xml:space="preserve"> Jessica Turner</w:t>
            </w:r>
            <w:r w:rsidRPr="2C075E6E" w:rsidR="36D0E094">
              <w:rPr>
                <w:rFonts w:eastAsia="Calibri"/>
                <w:color w:val="666666"/>
              </w:rPr>
              <w:t xml:space="preserve">  </w:t>
            </w:r>
            <w:r w:rsidRPr="2C075E6E" w:rsidR="6F3B0832">
              <w:rPr>
                <w:color w:val="666666"/>
              </w:rPr>
              <w:t xml:space="preserve">  │ QS Quacquarelli Symonds </w:t>
            </w:r>
            <w:r w:rsidRPr="2C075E6E" w:rsidR="6F3B0832">
              <w:rPr>
                <w:color w:val="666666"/>
              </w:rPr>
              <w:t>首席执行官</w:t>
            </w:r>
          </w:p>
          <w:p w:rsidR="00FB1FFC" w:rsidRDefault="00FB1FFC" w14:paraId="48295A37" w14:textId="6F5AF2BF">
            <w:pPr>
              <w:spacing w:before="40"/>
            </w:pPr>
          </w:p>
        </w:tc>
      </w:tr>
    </w:tbl>
    <w:p w:rsidR="00FB1FFC" w:rsidRDefault="00FB1FFC" w14:paraId="6AAA7DA1" w14:textId="77777777">
      <w:pPr>
        <w:spacing w:after="200"/>
      </w:pPr>
    </w:p>
    <w:p w:rsidR="00FB1FFC" w:rsidRDefault="00000000" w14:paraId="29A27A1B" w14:textId="77777777">
      <w:pPr>
        <w:spacing w:before="80" w:after="160" w:line="264" w:lineRule="auto"/>
        <w:jc w:val="center"/>
      </w:pPr>
      <w:r>
        <w:rPr>
          <w:b/>
          <w:bCs/>
        </w:rPr>
        <w:t xml:space="preserve">— </w:t>
      </w:r>
      <w:r>
        <w:rPr>
          <w:b/>
          <w:bCs/>
        </w:rPr>
        <w:t>完</w:t>
      </w:r>
      <w:r>
        <w:rPr>
          <w:b/>
          <w:bCs/>
        </w:rPr>
        <w:t xml:space="preserve"> —</w:t>
      </w:r>
    </w:p>
    <w:p w:rsidRPr="000E38D3" w:rsidR="00FB1FFC" w:rsidRDefault="6F3B0832" w14:paraId="593337DF" w14:textId="77777777">
      <w:pPr>
        <w:spacing w:after="120" w:line="264" w:lineRule="auto"/>
        <w:rPr>
          <w:sz w:val="22"/>
          <w:szCs w:val="22"/>
        </w:rPr>
      </w:pPr>
      <w:r w:rsidRPr="0ACCF254">
        <w:rPr>
          <w:b/>
          <w:bCs/>
          <w:sz w:val="22"/>
          <w:szCs w:val="22"/>
        </w:rPr>
        <w:t>如需了解更多信息或申请采访</w:t>
      </w:r>
      <w:r w:rsidRPr="0ACCF254">
        <w:rPr>
          <w:b/>
          <w:bCs/>
          <w:sz w:val="22"/>
          <w:szCs w:val="22"/>
        </w:rPr>
        <w:t>QS</w:t>
      </w:r>
      <w:r w:rsidRPr="0ACCF254">
        <w:rPr>
          <w:b/>
          <w:bCs/>
          <w:sz w:val="22"/>
          <w:szCs w:val="22"/>
        </w:rPr>
        <w:t>分析师，请联系：</w:t>
      </w:r>
    </w:p>
    <w:p w:rsidRPr="00957CF9" w:rsidR="00FB1FFC" w:rsidP="0ACCF254" w:rsidRDefault="1764870E" w14:paraId="1CF34C97" w14:textId="597E8CE2">
      <w:pPr>
        <w:spacing w:after="40"/>
        <w:rPr>
          <w:sz w:val="22"/>
          <w:szCs w:val="22"/>
          <w:lang w:val="it-IT"/>
          <w:rPrChange w:author="" w16du:dateUtc="2026-07-17T16:34:00Z" w:id="978914638">
            <w:rPr>
              <w:sz w:val="22"/>
              <w:szCs w:val="22"/>
            </w:rPr>
          </w:rPrChange>
        </w:rPr>
      </w:pPr>
      <w:r w:rsidRPr="2C075E6E" w:rsidR="1764870E">
        <w:rPr>
          <w:rFonts w:eastAsia="Calibri"/>
          <w:b w:val="1"/>
          <w:bCs w:val="1"/>
          <w:sz w:val="22"/>
          <w:szCs w:val="22"/>
          <w:lang w:val="it-IT"/>
        </w:rPr>
        <w:t>Simona Bizzozero</w:t>
      </w:r>
      <w:r w:rsidRPr="2C075E6E" w:rsidR="1764870E">
        <w:rPr>
          <w:rFonts w:eastAsia="Calibri"/>
          <w:color w:val="666666"/>
          <w:sz w:val="22"/>
          <w:szCs w:val="22"/>
          <w:lang w:val="it-IT"/>
        </w:rPr>
        <w:t xml:space="preserve">  </w:t>
      </w:r>
      <w:r w:rsidRPr="2C075E6E" w:rsidR="6F3B0832">
        <w:rPr>
          <w:color w:val="666666"/>
          <w:sz w:val="22"/>
          <w:szCs w:val="22"/>
          <w:lang w:val="it-IT"/>
        </w:rPr>
        <w:t xml:space="preserve">  </w:t>
      </w:r>
      <w:r w:rsidRPr="2C075E6E" w:rsidR="6F3B0832">
        <w:rPr>
          <w:color w:val="666666"/>
          <w:sz w:val="22"/>
          <w:szCs w:val="22"/>
          <w:lang w:val="it-IT"/>
        </w:rPr>
        <w:t>│  QS</w:t>
      </w:r>
      <w:r w:rsidRPr="2C075E6E" w:rsidR="6F3B0832">
        <w:rPr>
          <w:color w:val="666666"/>
          <w:sz w:val="22"/>
          <w:szCs w:val="22"/>
          <w:lang w:val="it-IT"/>
        </w:rPr>
        <w:t xml:space="preserve"> Quacquarelli Symonds </w:t>
      </w:r>
      <w:r w:rsidRPr="2C075E6E" w:rsidR="6F3B0832">
        <w:rPr>
          <w:color w:val="666666"/>
          <w:sz w:val="22"/>
          <w:szCs w:val="22"/>
        </w:rPr>
        <w:t>传播总监</w:t>
      </w:r>
    </w:p>
    <w:p w:rsidRPr="00957CF9" w:rsidR="00FB1FFC" w:rsidP="75BE2F49" w:rsidRDefault="52788BCC" w14:paraId="3CCE09E2" w14:textId="77777777">
      <w:pPr>
        <w:spacing w:after="140"/>
        <w:rPr>
          <w:sz w:val="22"/>
          <w:szCs w:val="22"/>
          <w:lang w:val="en-US"/>
          <w:rPrChange w:author="" w16du:dateUtc="2026-07-17T16:34:00Z" w:id="1933885506">
            <w:rPr>
              <w:sz w:val="22"/>
              <w:szCs w:val="22"/>
            </w:rPr>
          </w:rPrChange>
        </w:rPr>
      </w:pPr>
      <w:hyperlink r:id="R1c7632ef8af747ac">
        <w:r w:rsidRPr="2C075E6E" w:rsidR="52788BCC">
          <w:rPr>
            <w:color w:val="0563C1"/>
            <w:sz w:val="22"/>
            <w:szCs w:val="22"/>
            <w:u w:val="single"/>
            <w:lang w:val="en-US"/>
          </w:rPr>
          <w:t>simona@qs.com</w:t>
        </w:r>
      </w:hyperlink>
      <w:r w:rsidRPr="2C075E6E" w:rsidR="52788BCC">
        <w:rPr>
          <w:sz w:val="22"/>
          <w:szCs w:val="22"/>
          <w:lang w:val="en-US"/>
        </w:rPr>
        <w:t xml:space="preserve">  </w:t>
      </w:r>
      <w:r w:rsidRPr="2C075E6E" w:rsidR="52788BCC">
        <w:rPr>
          <w:sz w:val="22"/>
          <w:szCs w:val="22"/>
          <w:lang w:val="en-US"/>
        </w:rPr>
        <w:t>│  +</w:t>
      </w:r>
      <w:r w:rsidRPr="2C075E6E" w:rsidR="52788BCC">
        <w:rPr>
          <w:sz w:val="22"/>
          <w:szCs w:val="22"/>
          <w:lang w:val="en-US"/>
        </w:rPr>
        <w:t>44 (0) 7880 620856</w:t>
      </w:r>
    </w:p>
    <w:p w:rsidRPr="00957CF9" w:rsidR="00FB1FFC" w:rsidP="0ACCF254" w:rsidRDefault="567F5621" w14:paraId="475DF273" w14:textId="3EB83CFB">
      <w:pPr>
        <w:spacing w:after="40"/>
        <w:rPr>
          <w:sz w:val="22"/>
          <w:szCs w:val="22"/>
          <w:lang w:val="it-IT"/>
          <w:rPrChange w:author="" w16du:dateUtc="2026-07-17T16:34:00Z" w:id="1035400573">
            <w:rPr>
              <w:sz w:val="22"/>
              <w:szCs w:val="22"/>
            </w:rPr>
          </w:rPrChange>
        </w:rPr>
      </w:pPr>
      <w:r w:rsidRPr="2C075E6E" w:rsidR="567F5621">
        <w:rPr>
          <w:rFonts w:eastAsia="Calibri"/>
          <w:b w:val="1"/>
          <w:bCs w:val="1"/>
          <w:sz w:val="22"/>
          <w:szCs w:val="22"/>
          <w:lang w:val="it"/>
        </w:rPr>
        <w:t>Viggo Stacey</w:t>
      </w:r>
      <w:r w:rsidRPr="2C075E6E" w:rsidR="567F5621">
        <w:rPr>
          <w:rFonts w:eastAsia="Calibri"/>
          <w:color w:val="666666"/>
          <w:sz w:val="22"/>
          <w:szCs w:val="22"/>
          <w:lang w:val="it"/>
        </w:rPr>
        <w:t xml:space="preserve">  </w:t>
      </w:r>
      <w:r w:rsidRPr="2C075E6E" w:rsidR="6F3B0832">
        <w:rPr>
          <w:color w:val="666666"/>
          <w:sz w:val="22"/>
          <w:szCs w:val="22"/>
          <w:lang w:val="it-IT"/>
        </w:rPr>
        <w:t xml:space="preserve">  </w:t>
      </w:r>
      <w:r w:rsidRPr="2C075E6E" w:rsidR="6F3B0832">
        <w:rPr>
          <w:color w:val="666666"/>
          <w:sz w:val="22"/>
          <w:szCs w:val="22"/>
          <w:lang w:val="it-IT"/>
        </w:rPr>
        <w:t>│  QS</w:t>
      </w:r>
      <w:r w:rsidRPr="2C075E6E" w:rsidR="6F3B0832">
        <w:rPr>
          <w:color w:val="666666"/>
          <w:sz w:val="22"/>
          <w:szCs w:val="22"/>
          <w:lang w:val="it-IT"/>
        </w:rPr>
        <w:t xml:space="preserve"> Quacquarelli Symonds </w:t>
      </w:r>
      <w:r w:rsidRPr="2C075E6E" w:rsidR="6F3B0832">
        <w:rPr>
          <w:color w:val="666666"/>
          <w:sz w:val="22"/>
          <w:szCs w:val="22"/>
          <w:lang w:val="it-IT"/>
        </w:rPr>
        <w:t>公关专员</w:t>
      </w:r>
    </w:p>
    <w:p w:rsidRPr="00957CF9" w:rsidR="00FB1FFC" w:rsidRDefault="00FB1FFC" w14:paraId="7A2B0D53" w14:textId="77777777">
      <w:pPr>
        <w:spacing w:after="200"/>
        <w:rPr>
          <w:sz w:val="22"/>
          <w:szCs w:val="22"/>
          <w:lang w:val="it-IT"/>
          <w:rPrChange w:author="" w16du:dateUtc="2026-07-17T16:34:00Z" w:id="677001773">
            <w:rPr>
              <w:sz w:val="22"/>
              <w:szCs w:val="22"/>
            </w:rPr>
          </w:rPrChange>
        </w:rPr>
      </w:pPr>
      <w:hyperlink r:id="Rb48e1a0d043146f4">
        <w:r w:rsidRPr="2C075E6E" w:rsidR="00FB1FFC">
          <w:rPr>
            <w:color w:val="0563C1"/>
            <w:sz w:val="22"/>
            <w:szCs w:val="22"/>
            <w:u w:val="single"/>
            <w:lang w:val="it-IT"/>
          </w:rPr>
          <w:t>viggo.stacey@qs.com</w:t>
        </w:r>
      </w:hyperlink>
    </w:p>
    <w:p w:rsidRPr="000E38D3" w:rsidR="00FB1FFC" w:rsidRDefault="00000000" w14:paraId="60AB2A67" w14:textId="77777777">
      <w:pPr>
        <w:spacing w:before="80" w:after="120" w:line="264" w:lineRule="auto"/>
        <w:rPr>
          <w:sz w:val="22"/>
          <w:szCs w:val="22"/>
        </w:rPr>
      </w:pPr>
      <w:r w:rsidRPr="000E38D3">
        <w:rPr>
          <w:b/>
          <w:bCs/>
          <w:sz w:val="22"/>
          <w:szCs w:val="22"/>
          <w:u w:val="single"/>
        </w:rPr>
        <w:t>编辑须知</w:t>
      </w:r>
    </w:p>
    <w:p w:rsidRPr="000E38D3" w:rsidR="00FB1FFC" w:rsidRDefault="00000000" w14:paraId="218697FF" w14:textId="77777777">
      <w:pPr>
        <w:spacing w:after="60" w:line="264" w:lineRule="auto"/>
        <w:rPr>
          <w:sz w:val="22"/>
          <w:szCs w:val="22"/>
        </w:rPr>
      </w:pPr>
      <w:r w:rsidRPr="000E38D3">
        <w:rPr>
          <w:b/>
          <w:bCs/>
          <w:sz w:val="22"/>
          <w:szCs w:val="22"/>
        </w:rPr>
        <w:t>关于</w:t>
      </w:r>
      <w:r w:rsidRPr="000E38D3">
        <w:rPr>
          <w:b/>
          <w:bCs/>
          <w:sz w:val="22"/>
          <w:szCs w:val="22"/>
        </w:rPr>
        <w:t>“QS</w:t>
      </w:r>
      <w:r w:rsidRPr="000E38D3">
        <w:rPr>
          <w:b/>
          <w:bCs/>
          <w:sz w:val="22"/>
          <w:szCs w:val="22"/>
        </w:rPr>
        <w:t>最佳学生城市</w:t>
      </w:r>
      <w:r w:rsidRPr="000E38D3">
        <w:rPr>
          <w:b/>
          <w:bCs/>
          <w:sz w:val="22"/>
          <w:szCs w:val="22"/>
        </w:rPr>
        <w:t>”</w:t>
      </w:r>
    </w:p>
    <w:p w:rsidRPr="000E38D3" w:rsidR="00FB1FFC" w:rsidRDefault="6F3B0832" w14:paraId="4381DEAA" w14:textId="7FFB5063">
      <w:pPr>
        <w:spacing w:after="140" w:line="264" w:lineRule="auto"/>
        <w:rPr>
          <w:sz w:val="22"/>
          <w:szCs w:val="22"/>
        </w:rPr>
      </w:pPr>
      <w:r w:rsidRPr="2C075E6E" w:rsidR="6F3B0832">
        <w:rPr>
          <w:sz w:val="22"/>
          <w:szCs w:val="22"/>
        </w:rPr>
        <w:t>QS</w:t>
      </w:r>
      <w:r w:rsidRPr="2C075E6E" w:rsidR="6F3B0832">
        <w:rPr>
          <w:sz w:val="22"/>
          <w:szCs w:val="22"/>
        </w:rPr>
        <w:t>最佳</w:t>
      </w:r>
      <w:r w:rsidRPr="2C075E6E" w:rsidR="50BA355A">
        <w:rPr>
          <w:sz w:val="22"/>
          <w:szCs w:val="22"/>
        </w:rPr>
        <w:t>留学</w:t>
      </w:r>
      <w:r w:rsidRPr="2C075E6E" w:rsidR="6F3B0832">
        <w:rPr>
          <w:sz w:val="22"/>
          <w:szCs w:val="22"/>
        </w:rPr>
        <w:t>城市排</w:t>
      </w:r>
      <w:r w:rsidRPr="2C075E6E" w:rsidR="00465769">
        <w:rPr>
          <w:sz w:val="22"/>
          <w:szCs w:val="22"/>
        </w:rPr>
        <w:t>名</w:t>
      </w:r>
      <w:r w:rsidRPr="2C075E6E" w:rsidR="6F3B0832">
        <w:rPr>
          <w:sz w:val="22"/>
          <w:szCs w:val="22"/>
        </w:rPr>
        <w:t>根据六个类别对全球领先的城市</w:t>
      </w:r>
      <w:r w:rsidRPr="2C075E6E" w:rsidR="3010C996">
        <w:rPr>
          <w:sz w:val="22"/>
          <w:szCs w:val="22"/>
        </w:rPr>
        <w:t>留学</w:t>
      </w:r>
      <w:r w:rsidRPr="2C075E6E" w:rsidR="6F3B0832">
        <w:rPr>
          <w:sz w:val="22"/>
          <w:szCs w:val="22"/>
        </w:rPr>
        <w:t>目的地进行排名：大学排名（该城市高校的表现）、学生构成（学生群体的规模及其国际多样性）、宜居性、雇主</w:t>
      </w:r>
      <w:r w:rsidRPr="2C075E6E" w:rsidR="5EA39969">
        <w:rPr>
          <w:sz w:val="22"/>
          <w:szCs w:val="22"/>
        </w:rPr>
        <w:t>活动</w:t>
      </w:r>
      <w:r w:rsidRPr="2C075E6E" w:rsidR="6F3B0832">
        <w:rPr>
          <w:sz w:val="22"/>
          <w:szCs w:val="22"/>
        </w:rPr>
        <w:t>（该城市毕业生在雇主中的需求）、</w:t>
      </w:r>
      <w:r w:rsidRPr="2C075E6E" w:rsidR="4ED515A4">
        <w:rPr>
          <w:sz w:val="22"/>
          <w:szCs w:val="22"/>
        </w:rPr>
        <w:t>负担能力</w:t>
      </w:r>
      <w:r w:rsidRPr="2C075E6E" w:rsidR="6F3B0832">
        <w:rPr>
          <w:sz w:val="22"/>
          <w:szCs w:val="22"/>
        </w:rPr>
        <w:t>以及学生</w:t>
      </w:r>
      <w:r w:rsidRPr="2C075E6E" w:rsidR="50F69766">
        <w:rPr>
          <w:sz w:val="22"/>
          <w:szCs w:val="22"/>
        </w:rPr>
        <w:t>观点</w:t>
      </w:r>
      <w:r w:rsidRPr="2C075E6E" w:rsidR="6F3B0832">
        <w:rPr>
          <w:sz w:val="22"/>
          <w:szCs w:val="22"/>
        </w:rPr>
        <w:t>（曾在该城市就读的学生观点）。</w:t>
      </w:r>
      <w:r w:rsidRPr="2C075E6E" w:rsidR="6F3B0832">
        <w:rPr>
          <w:sz w:val="22"/>
          <w:szCs w:val="22"/>
        </w:rPr>
        <w:t xml:space="preserve"> </w:t>
      </w:r>
      <w:r w:rsidRPr="2C075E6E" w:rsidR="6F3B0832">
        <w:rPr>
          <w:sz w:val="22"/>
          <w:szCs w:val="22"/>
        </w:rPr>
        <w:t>要符合评选资格，一座城市的人口必须至少达到</w:t>
      </w:r>
      <w:r w:rsidRPr="2C075E6E" w:rsidR="6F3B0832">
        <w:rPr>
          <w:sz w:val="22"/>
          <w:szCs w:val="22"/>
        </w:rPr>
        <w:t>25</w:t>
      </w:r>
      <w:r w:rsidRPr="2C075E6E" w:rsidR="6F3B0832">
        <w:rPr>
          <w:sz w:val="22"/>
          <w:szCs w:val="22"/>
        </w:rPr>
        <w:t>万，且至少拥有两所入选</w:t>
      </w:r>
      <w:r w:rsidRPr="2C075E6E" w:rsidR="6F3B0832">
        <w:rPr>
          <w:sz w:val="22"/>
          <w:szCs w:val="22"/>
        </w:rPr>
        <w:t>QS</w:t>
      </w:r>
      <w:r w:rsidRPr="2C075E6E" w:rsidR="6F3B0832">
        <w:rPr>
          <w:sz w:val="22"/>
          <w:szCs w:val="22"/>
        </w:rPr>
        <w:t>世界大学排名的高校。</w:t>
      </w:r>
    </w:p>
    <w:p w:rsidRPr="000E38D3" w:rsidR="00FB1FFC" w:rsidRDefault="00000000" w14:paraId="6847EF1B" w14:textId="77777777">
      <w:pPr>
        <w:spacing w:after="60" w:line="264" w:lineRule="auto"/>
        <w:rPr>
          <w:sz w:val="22"/>
          <w:szCs w:val="22"/>
        </w:rPr>
      </w:pPr>
      <w:r w:rsidRPr="000E38D3">
        <w:rPr>
          <w:b/>
          <w:bCs/>
          <w:sz w:val="22"/>
          <w:szCs w:val="22"/>
        </w:rPr>
        <w:t>QS Quacquarelli Symonds</w:t>
      </w:r>
    </w:p>
    <w:p w:rsidRPr="000E38D3" w:rsidR="00FB1FFC" w:rsidRDefault="00000000" w14:paraId="2AACC65C" w14:textId="77777777">
      <w:pPr>
        <w:spacing w:after="140" w:line="264" w:lineRule="auto"/>
        <w:rPr>
          <w:sz w:val="22"/>
          <w:szCs w:val="22"/>
        </w:rPr>
      </w:pPr>
      <w:r w:rsidRPr="000E38D3">
        <w:rPr>
          <w:sz w:val="22"/>
          <w:szCs w:val="22"/>
        </w:rPr>
        <w:t xml:space="preserve">QS Quacquarelli Symonds </w:t>
      </w:r>
      <w:r w:rsidRPr="000E38D3">
        <w:rPr>
          <w:sz w:val="22"/>
          <w:szCs w:val="22"/>
        </w:rPr>
        <w:t>是全球高等教育领域领先的服务、分析与洞察提供商。其使命是帮助世界各地有志之士通过教育成就、国际流动和职业发展来发挥自身潜能。</w:t>
      </w:r>
      <w:r w:rsidRPr="000E38D3">
        <w:rPr>
          <w:sz w:val="22"/>
          <w:szCs w:val="22"/>
        </w:rPr>
        <w:t xml:space="preserve"> </w:t>
      </w:r>
      <w:r w:rsidRPr="000E38D3">
        <w:rPr>
          <w:sz w:val="22"/>
          <w:szCs w:val="22"/>
        </w:rPr>
        <w:t>始于</w:t>
      </w:r>
      <w:r w:rsidRPr="000E38D3">
        <w:rPr>
          <w:sz w:val="22"/>
          <w:szCs w:val="22"/>
        </w:rPr>
        <w:t>2004</w:t>
      </w:r>
      <w:r w:rsidRPr="000E38D3">
        <w:rPr>
          <w:sz w:val="22"/>
          <w:szCs w:val="22"/>
        </w:rPr>
        <w:t>年的</w:t>
      </w:r>
      <w:r w:rsidRPr="000E38D3">
        <w:rPr>
          <w:sz w:val="22"/>
          <w:szCs w:val="22"/>
        </w:rPr>
        <w:t>QS</w:t>
      </w:r>
      <w:r w:rsidRPr="000E38D3">
        <w:rPr>
          <w:sz w:val="22"/>
          <w:szCs w:val="22"/>
        </w:rPr>
        <w:t>世界大学排名系列，是全球参考度最高的大学表现比较排名。</w:t>
      </w:r>
      <w:r w:rsidRPr="000E38D3">
        <w:rPr>
          <w:sz w:val="22"/>
          <w:szCs w:val="22"/>
        </w:rPr>
        <w:t>2025</w:t>
      </w:r>
      <w:r w:rsidRPr="000E38D3">
        <w:rPr>
          <w:sz w:val="22"/>
          <w:szCs w:val="22"/>
        </w:rPr>
        <w:t>年，</w:t>
      </w:r>
      <w:r w:rsidRPr="000E38D3">
        <w:rPr>
          <w:sz w:val="22"/>
          <w:szCs w:val="22"/>
        </w:rPr>
        <w:t>QS</w:t>
      </w:r>
      <w:r w:rsidRPr="000E38D3">
        <w:rPr>
          <w:sz w:val="22"/>
          <w:szCs w:val="22"/>
        </w:rPr>
        <w:t>的旗舰网站</w:t>
      </w:r>
      <w:r w:rsidRPr="000E38D3">
        <w:rPr>
          <w:sz w:val="22"/>
          <w:szCs w:val="22"/>
        </w:rPr>
        <w:t>TopUniversities.com</w:t>
      </w:r>
      <w:r w:rsidRPr="000E38D3">
        <w:rPr>
          <w:sz w:val="22"/>
          <w:szCs w:val="22"/>
        </w:rPr>
        <w:t>的浏览量超过</w:t>
      </w:r>
      <w:r w:rsidRPr="000E38D3">
        <w:rPr>
          <w:sz w:val="22"/>
          <w:szCs w:val="22"/>
        </w:rPr>
        <w:t>1.7</w:t>
      </w:r>
      <w:r w:rsidRPr="000E38D3">
        <w:rPr>
          <w:sz w:val="22"/>
          <w:szCs w:val="22"/>
        </w:rPr>
        <w:t>亿次，同年全球媒体刊载了超过</w:t>
      </w:r>
      <w:r w:rsidRPr="000E38D3">
        <w:rPr>
          <w:sz w:val="22"/>
          <w:szCs w:val="22"/>
        </w:rPr>
        <w:t>13.5</w:t>
      </w:r>
      <w:r w:rsidRPr="000E38D3">
        <w:rPr>
          <w:sz w:val="22"/>
          <w:szCs w:val="22"/>
        </w:rPr>
        <w:t>万篇提及</w:t>
      </w:r>
      <w:r w:rsidRPr="000E38D3">
        <w:rPr>
          <w:sz w:val="22"/>
          <w:szCs w:val="22"/>
        </w:rPr>
        <w:t>QS</w:t>
      </w:r>
      <w:r w:rsidRPr="000E38D3">
        <w:rPr>
          <w:sz w:val="22"/>
          <w:szCs w:val="22"/>
        </w:rPr>
        <w:t>的报道。</w:t>
      </w:r>
    </w:p>
    <w:p w:rsidRPr="000E38D3" w:rsidR="00FB1FFC" w:rsidRDefault="6F3B0832" w14:paraId="4142924F" w14:textId="659B71B7">
      <w:pPr>
        <w:spacing w:after="140"/>
        <w:rPr>
          <w:sz w:val="22"/>
          <w:szCs w:val="22"/>
        </w:rPr>
      </w:pPr>
      <w:r w:rsidRPr="2C075E6E" w:rsidR="6F3B0832">
        <w:rPr>
          <w:sz w:val="22"/>
          <w:szCs w:val="22"/>
        </w:rPr>
        <w:t>完整的《</w:t>
      </w:r>
      <w:r w:rsidRPr="2C075E6E" w:rsidR="6F3B0832">
        <w:rPr>
          <w:sz w:val="22"/>
          <w:szCs w:val="22"/>
        </w:rPr>
        <w:t>2027</w:t>
      </w:r>
      <w:r w:rsidRPr="2C075E6E" w:rsidR="6F3B0832">
        <w:rPr>
          <w:sz w:val="22"/>
          <w:szCs w:val="22"/>
        </w:rPr>
        <w:t>QS</w:t>
      </w:r>
      <w:r w:rsidRPr="2C075E6E" w:rsidR="6F3B0832">
        <w:rPr>
          <w:sz w:val="22"/>
          <w:szCs w:val="22"/>
        </w:rPr>
        <w:t>最佳</w:t>
      </w:r>
      <w:r w:rsidRPr="2C075E6E" w:rsidR="742A0D56">
        <w:rPr>
          <w:sz w:val="22"/>
          <w:szCs w:val="22"/>
        </w:rPr>
        <w:t>留学</w:t>
      </w:r>
      <w:r w:rsidRPr="2C075E6E" w:rsidR="6F3B0832">
        <w:rPr>
          <w:sz w:val="22"/>
          <w:szCs w:val="22"/>
        </w:rPr>
        <w:t>城市排</w:t>
      </w:r>
      <w:r w:rsidRPr="2C075E6E" w:rsidR="3B0A2C22">
        <w:rPr>
          <w:sz w:val="22"/>
          <w:szCs w:val="22"/>
        </w:rPr>
        <w:t>名</w:t>
      </w:r>
      <w:r w:rsidRPr="2C075E6E" w:rsidR="6F3B0832">
        <w:rPr>
          <w:sz w:val="22"/>
          <w:szCs w:val="22"/>
        </w:rPr>
        <w:t>》</w:t>
      </w:r>
      <w:r w:rsidRPr="2C075E6E" w:rsidR="6F3B0832">
        <w:rPr>
          <w:b w:val="1"/>
          <w:bCs w:val="1"/>
          <w:sz w:val="22"/>
          <w:szCs w:val="22"/>
        </w:rPr>
        <w:t>将于</w:t>
      </w:r>
      <w:r w:rsidRPr="2C075E6E" w:rsidR="6F3B0832">
        <w:rPr>
          <w:b w:val="1"/>
          <w:bCs w:val="1"/>
          <w:sz w:val="22"/>
          <w:szCs w:val="22"/>
        </w:rPr>
        <w:t>2026</w:t>
      </w:r>
      <w:r w:rsidRPr="2C075E6E" w:rsidR="6F3B0832">
        <w:rPr>
          <w:b w:val="1"/>
          <w:bCs w:val="1"/>
          <w:sz w:val="22"/>
          <w:szCs w:val="22"/>
        </w:rPr>
        <w:t>年</w:t>
      </w:r>
      <w:r w:rsidRPr="2C075E6E" w:rsidR="6F3B0832">
        <w:rPr>
          <w:b w:val="1"/>
          <w:bCs w:val="1"/>
          <w:sz w:val="22"/>
          <w:szCs w:val="22"/>
        </w:rPr>
        <w:t>7</w:t>
      </w:r>
      <w:r w:rsidRPr="2C075E6E" w:rsidR="6F3B0832">
        <w:rPr>
          <w:b w:val="1"/>
          <w:bCs w:val="1"/>
          <w:sz w:val="22"/>
          <w:szCs w:val="22"/>
        </w:rPr>
        <w:t>月</w:t>
      </w:r>
      <w:r w:rsidRPr="2C075E6E" w:rsidR="6F3B0832">
        <w:rPr>
          <w:b w:val="1"/>
          <w:bCs w:val="1"/>
          <w:sz w:val="22"/>
          <w:szCs w:val="22"/>
        </w:rPr>
        <w:t>21</w:t>
      </w:r>
      <w:r w:rsidRPr="2C075E6E" w:rsidR="6F3B0832">
        <w:rPr>
          <w:b w:val="1"/>
          <w:bCs w:val="1"/>
          <w:sz w:val="22"/>
          <w:szCs w:val="22"/>
        </w:rPr>
        <w:t>日星期二中国标准时间</w:t>
      </w:r>
      <w:r w:rsidRPr="2C075E6E" w:rsidR="6F3B0832">
        <w:rPr>
          <w:b w:val="1"/>
          <w:bCs w:val="1"/>
          <w:sz w:val="22"/>
          <w:szCs w:val="22"/>
        </w:rPr>
        <w:t>17:00</w:t>
      </w:r>
      <w:r w:rsidRPr="2C075E6E" w:rsidR="6F3B0832">
        <w:rPr>
          <w:sz w:val="22"/>
          <w:szCs w:val="22"/>
        </w:rPr>
        <w:t>解禁后发布，并</w:t>
      </w:r>
      <w:hyperlink r:id="R0a9823c3e287411c">
        <w:r w:rsidRPr="2C075E6E" w:rsidR="52788BCC">
          <w:rPr>
            <w:color w:val="0563C1"/>
            <w:sz w:val="22"/>
            <w:szCs w:val="22"/>
            <w:u w:val="single"/>
          </w:rPr>
          <w:t>可在</w:t>
        </w:r>
        <w:r w:rsidRPr="2C075E6E" w:rsidR="52788BCC">
          <w:rPr>
            <w:color w:val="0563C1"/>
            <w:sz w:val="22"/>
            <w:szCs w:val="22"/>
            <w:u w:val="single"/>
          </w:rPr>
          <w:t>topuniversities.com/best-student-cities</w:t>
        </w:r>
      </w:hyperlink>
      <w:r w:rsidRPr="2C075E6E" w:rsidR="6F3B0832">
        <w:rPr>
          <w:sz w:val="22"/>
          <w:szCs w:val="22"/>
        </w:rPr>
        <w:t>上查阅。</w:t>
      </w:r>
    </w:p>
    <w:p w:rsidRPr="000E38D3" w:rsidR="00FB1FFC" w:rsidRDefault="00000000" w14:paraId="702DDBF2" w14:textId="77777777">
      <w:pPr>
        <w:spacing w:before="120"/>
        <w:rPr>
          <w:sz w:val="22"/>
          <w:szCs w:val="22"/>
        </w:rPr>
      </w:pPr>
      <w:r w:rsidRPr="000E38D3">
        <w:rPr>
          <w:noProof/>
          <w:sz w:val="22"/>
          <w:szCs w:val="22"/>
        </w:rPr>
        <w:drawing>
          <wp:inline distT="0" distB="0" distL="0" distR="0" wp14:anchorId="5ED10C76" wp14:editId="14D7FDBC">
            <wp:extent cx="552450" cy="552450"/>
            <wp:effectExtent l="0" t="0" r="0" b="0"/>
            <wp:docPr id="1264435399" name="Picture 1264435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0E38D3" w:rsidR="00FB1FFC">
      <w:pgSz w:w="11906" w:h="16838" w:orient="portrait"/>
      <w:pgMar w:top="1080" w:right="1273" w:bottom="1080" w:left="1273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JZ" w:author="Joyce Zhu" w:date="2026-07-16T10:54:00Z" w:id="44">
    <w:p w:rsidRDefault="00000000" w14:paraId="107F4963" w14:textId="6417E14E">
      <w:r>
        <w:annotationRef/>
      </w:r>
      <w:r w:rsidRPr="2D9F0ECC">
        <w:t>高性价比</w:t>
      </w:r>
    </w:p>
  </w:comment>
  <w:comment w:initials="JZ" w:author="Joyce Zhu" w:date="2026-07-16T10:56:00Z" w:id="45">
    <w:p w:rsidRDefault="00000000" w14:paraId="47A2B9DA" w14:textId="0865647B">
      <w:r>
        <w:annotationRef/>
      </w:r>
      <w:r w:rsidRPr="2EED333D">
        <w:t>日益向研究型转型</w:t>
      </w:r>
    </w:p>
  </w:comment>
  <w:comment w:initials="JZ" w:author="Joyce Zhu" w:date="2026-07-16T10:55:00Z" w:id="46">
    <w:p w:rsidRDefault="00000000" w14:paraId="57501236" w14:textId="5BB60016">
      <w:r>
        <w:annotationRef/>
      </w:r>
      <w:r w:rsidRPr="3FA23C0C">
        <w:t>尤其对亚洲、非洲及</w:t>
      </w:r>
      <w:r w:rsidRPr="3FA23C0C">
        <w:t>”</w:t>
      </w:r>
      <w:r w:rsidRPr="3FA23C0C">
        <w:t>一带一路</w:t>
      </w:r>
      <w:r w:rsidRPr="3FA23C0C">
        <w:t>“</w:t>
      </w:r>
      <w:r w:rsidRPr="3FA23C0C">
        <w:t>共建国家的留学生具有强大吸引力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07F4963"/>
  <w15:commentEx w15:done="1" w15:paraId="47A2B9DA"/>
  <w15:commentEx w15:done="1" w15:paraId="5750123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A5D864" w16cex:dateUtc="2026-07-16T02:54:00Z"/>
  <w16cex:commentExtensible w16cex:durableId="4286CAF4" w16cex:dateUtc="2026-07-16T02:56:00Z"/>
  <w16cex:commentExtensible w16cex:durableId="2035528A" w16cex:dateUtc="2026-07-16T02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07F4963" w16cid:durableId="6EA5D864"/>
  <w16cid:commentId w16cid:paraId="47A2B9DA" w16cid:durableId="4286CAF4"/>
  <w16cid:commentId w16cid:paraId="57501236" w16cid:durableId="203552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2F9B"/>
    <w:multiLevelType w:val="hybridMultilevel"/>
    <w:tmpl w:val="1DB4DAC2"/>
    <w:lvl w:ilvl="0" w:tplc="E98C6300">
      <w:start w:val="1"/>
      <w:numFmt w:val="bullet"/>
      <w:lvlText w:val="●"/>
      <w:lvlJc w:val="left"/>
      <w:pPr>
        <w:ind w:left="720" w:hanging="360"/>
      </w:pPr>
    </w:lvl>
    <w:lvl w:ilvl="1" w:tplc="8A5A0484">
      <w:start w:val="1"/>
      <w:numFmt w:val="bullet"/>
      <w:lvlText w:val="○"/>
      <w:lvlJc w:val="left"/>
      <w:pPr>
        <w:ind w:left="1440" w:hanging="360"/>
      </w:pPr>
    </w:lvl>
    <w:lvl w:ilvl="2" w:tplc="769A620E">
      <w:start w:val="1"/>
      <w:numFmt w:val="bullet"/>
      <w:lvlText w:val="■"/>
      <w:lvlJc w:val="left"/>
      <w:pPr>
        <w:ind w:left="2160" w:hanging="360"/>
      </w:pPr>
    </w:lvl>
    <w:lvl w:ilvl="3" w:tplc="11BE0E00">
      <w:start w:val="1"/>
      <w:numFmt w:val="bullet"/>
      <w:lvlText w:val="●"/>
      <w:lvlJc w:val="left"/>
      <w:pPr>
        <w:ind w:left="2880" w:hanging="360"/>
      </w:pPr>
    </w:lvl>
    <w:lvl w:ilvl="4" w:tplc="96D4E6A2">
      <w:start w:val="1"/>
      <w:numFmt w:val="bullet"/>
      <w:lvlText w:val="○"/>
      <w:lvlJc w:val="left"/>
      <w:pPr>
        <w:ind w:left="3600" w:hanging="360"/>
      </w:pPr>
    </w:lvl>
    <w:lvl w:ilvl="5" w:tplc="9B1886C2">
      <w:start w:val="1"/>
      <w:numFmt w:val="bullet"/>
      <w:lvlText w:val="■"/>
      <w:lvlJc w:val="left"/>
      <w:pPr>
        <w:ind w:left="4320" w:hanging="360"/>
      </w:pPr>
    </w:lvl>
    <w:lvl w:ilvl="6" w:tplc="57908130">
      <w:start w:val="1"/>
      <w:numFmt w:val="bullet"/>
      <w:lvlText w:val="●"/>
      <w:lvlJc w:val="left"/>
      <w:pPr>
        <w:ind w:left="5040" w:hanging="360"/>
      </w:pPr>
    </w:lvl>
    <w:lvl w:ilvl="7" w:tplc="731EC12A">
      <w:start w:val="1"/>
      <w:numFmt w:val="bullet"/>
      <w:lvlText w:val="●"/>
      <w:lvlJc w:val="left"/>
      <w:pPr>
        <w:ind w:left="5760" w:hanging="360"/>
      </w:pPr>
    </w:lvl>
    <w:lvl w:ilvl="8" w:tplc="151AF2A2">
      <w:start w:val="1"/>
      <w:numFmt w:val="bullet"/>
      <w:lvlText w:val="●"/>
      <w:lvlJc w:val="left"/>
      <w:pPr>
        <w:ind w:left="6480" w:hanging="360"/>
      </w:pPr>
    </w:lvl>
  </w:abstractNum>
  <w:num w:numId="1" w16cid:durableId="229274376">
    <w:abstractNumId w:val="0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oyce Zhu">
    <w15:presenceInfo w15:providerId="AD" w15:userId="S::joyce.zhu@qs.com::a78079ed-9e69-4cde-898f-44db81f8e9f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7"/>
  <w:displayBackgroundShape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FC"/>
    <w:rsid w:val="00000000"/>
    <w:rsid w:val="00070F2A"/>
    <w:rsid w:val="000E38D3"/>
    <w:rsid w:val="00335A9B"/>
    <w:rsid w:val="00372838"/>
    <w:rsid w:val="00395025"/>
    <w:rsid w:val="00465769"/>
    <w:rsid w:val="00522764"/>
    <w:rsid w:val="00555559"/>
    <w:rsid w:val="00566C92"/>
    <w:rsid w:val="005D6602"/>
    <w:rsid w:val="006A0644"/>
    <w:rsid w:val="00727D69"/>
    <w:rsid w:val="008E4CA0"/>
    <w:rsid w:val="00957CF9"/>
    <w:rsid w:val="00AA4874"/>
    <w:rsid w:val="00AA796C"/>
    <w:rsid w:val="00CE64BE"/>
    <w:rsid w:val="00EB0B4B"/>
    <w:rsid w:val="00F72500"/>
    <w:rsid w:val="00FB1FFC"/>
    <w:rsid w:val="022E0684"/>
    <w:rsid w:val="0720ED97"/>
    <w:rsid w:val="09B897DD"/>
    <w:rsid w:val="0A92561A"/>
    <w:rsid w:val="0ACCF254"/>
    <w:rsid w:val="0E602D01"/>
    <w:rsid w:val="127DC59B"/>
    <w:rsid w:val="1764870E"/>
    <w:rsid w:val="1A01D74B"/>
    <w:rsid w:val="21826CA7"/>
    <w:rsid w:val="22298FFD"/>
    <w:rsid w:val="265C2798"/>
    <w:rsid w:val="2712B402"/>
    <w:rsid w:val="278297C4"/>
    <w:rsid w:val="278F8534"/>
    <w:rsid w:val="29B667A3"/>
    <w:rsid w:val="2A9F4098"/>
    <w:rsid w:val="2B787917"/>
    <w:rsid w:val="2BEF34BD"/>
    <w:rsid w:val="2C075E6E"/>
    <w:rsid w:val="2D5F1F19"/>
    <w:rsid w:val="2EDC66D7"/>
    <w:rsid w:val="2FE7E537"/>
    <w:rsid w:val="3010C996"/>
    <w:rsid w:val="312B5D6B"/>
    <w:rsid w:val="31F65B4A"/>
    <w:rsid w:val="357120A0"/>
    <w:rsid w:val="36D0E094"/>
    <w:rsid w:val="376BAE23"/>
    <w:rsid w:val="3B0A2C22"/>
    <w:rsid w:val="3C5B7C27"/>
    <w:rsid w:val="3D3929DA"/>
    <w:rsid w:val="40B5DD1F"/>
    <w:rsid w:val="425FFFF4"/>
    <w:rsid w:val="429F687B"/>
    <w:rsid w:val="432B5635"/>
    <w:rsid w:val="475B9BF1"/>
    <w:rsid w:val="4B421057"/>
    <w:rsid w:val="4D7DF8BE"/>
    <w:rsid w:val="4E4DA218"/>
    <w:rsid w:val="4ED515A4"/>
    <w:rsid w:val="50BA355A"/>
    <w:rsid w:val="50F69766"/>
    <w:rsid w:val="52788BCC"/>
    <w:rsid w:val="537D7574"/>
    <w:rsid w:val="55263678"/>
    <w:rsid w:val="55AEC080"/>
    <w:rsid w:val="56499F13"/>
    <w:rsid w:val="567F5621"/>
    <w:rsid w:val="581D9F0D"/>
    <w:rsid w:val="5CF8F6D7"/>
    <w:rsid w:val="5EA39969"/>
    <w:rsid w:val="5EFF9027"/>
    <w:rsid w:val="5F60F727"/>
    <w:rsid w:val="6F3B0832"/>
    <w:rsid w:val="71A49224"/>
    <w:rsid w:val="71DF2524"/>
    <w:rsid w:val="7206FB0E"/>
    <w:rsid w:val="742A0D56"/>
    <w:rsid w:val="7530146A"/>
    <w:rsid w:val="75BE2F49"/>
    <w:rsid w:val="77B804F2"/>
    <w:rsid w:val="7A68C63F"/>
    <w:rsid w:val="7AC45E7D"/>
    <w:rsid w:val="7B04EDBC"/>
    <w:rsid w:val="7B1E7AAF"/>
    <w:rsid w:val="7B9711EE"/>
    <w:rsid w:val="7E9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3D6B7"/>
  <w15:docId w15:val="{7B0BD62D-AFAC-42D4-A7EC-F2AFCD1ED4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SimSun" w:cs="Calibri"/>
        <w:color w:val="22222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2764"/>
    <w:rPr>
      <w:color w:val="605E5C"/>
      <w:shd w:val="clear" w:color="auto" w:fill="E1DFDD"/>
    </w:rPr>
  </w:style>
  <w:style w:type="paragraph" w:styleId="CommentText">
    <w:name w:val="Comment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57CF9"/>
  </w:style>
  <w:style w:type="paragraph" w:styleId="NormalWeb">
    <w:name w:val="Normal (Web)"/>
    <w:basedOn w:val="Normal"/>
    <w:uiPriority w:val="99"/>
    <w:semiHidden/>
    <w:unhideWhenUsed/>
    <w:rsid w:val="00566C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comments" Target="comments.xml" Id="rId9" /><Relationship Type="http://schemas.openxmlformats.org/officeDocument/2006/relationships/fontTable" Target="fontTable.xml" Id="rId14" /><Relationship Type="http://schemas.openxmlformats.org/officeDocument/2006/relationships/hyperlink" Target="https://www.topuniversities.com/city-rankings" TargetMode="External" Id="R8680d4998e154d60" /><Relationship Type="http://schemas.openxmlformats.org/officeDocument/2006/relationships/hyperlink" Target="https://www.topuniversities.com/world-university-rankings" TargetMode="External" Id="R5d74736bbc2047eb" /><Relationship Type="http://schemas.openxmlformats.org/officeDocument/2006/relationships/hyperlink" Target="https://www.qs.com/world-future-skills-index/2027" TargetMode="External" Id="R246eb490783a4815" /><Relationship Type="http://schemas.openxmlformats.org/officeDocument/2006/relationships/hyperlink" Target="mailto:simona@qs.com" TargetMode="External" Id="R1c7632ef8af747ac" /><Relationship Type="http://schemas.openxmlformats.org/officeDocument/2006/relationships/hyperlink" Target="mailto:viggo.stacey@qs.com" TargetMode="External" Id="Rb48e1a0d043146f4" /><Relationship Type="http://schemas.openxmlformats.org/officeDocument/2006/relationships/hyperlink" Target="https://www.topuniversities.com/best-student-cities" TargetMode="External" Id="R0a9823c3e287411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E7D80358B05498AAD86436FFF3841" ma:contentTypeVersion="18" ma:contentTypeDescription="Create a new document." ma:contentTypeScope="" ma:versionID="aeb23b0220247b39bb13556bfa61ed08">
  <xsd:schema xmlns:xsd="http://www.w3.org/2001/XMLSchema" xmlns:xs="http://www.w3.org/2001/XMLSchema" xmlns:p="http://schemas.microsoft.com/office/2006/metadata/properties" xmlns:ns2="0bfbcbea-6f95-4c61-b234-a6bbe804a9e6" xmlns:ns3="d1395174-bdeb-4ce1-892c-65ecf02aaaf8" targetNamespace="http://schemas.microsoft.com/office/2006/metadata/properties" ma:root="true" ma:fieldsID="443d749eda87b5f1d4b61f95be378174" ns2:_="" ns3:_="">
    <xsd:import namespace="0bfbcbea-6f95-4c61-b234-a6bbe804a9e6"/>
    <xsd:import namespace="d1395174-bdeb-4ce1-892c-65ecf02aaa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cbea-6f95-4c61-b234-a6bbe804a9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a89a7e-35a0-4c85-9e66-9ece76e32d86}" ma:internalName="TaxCatchAll" ma:showField="CatchAllData" ma:web="0bfbcbea-6f95-4c61-b234-a6bbe804a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95174-bdeb-4ce1-892c-65ecf02aa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0a45ee-8771-4b9b-8262-76eb4a5fd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fbcbea-6f95-4c61-b234-a6bbe804a9e6" xsi:nil="true"/>
    <lcf76f155ced4ddcb4097134ff3c332f xmlns="d1395174-bdeb-4ce1-892c-65ecf02aa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D4CD53-EC8B-49C8-879C-8159E73B2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cbea-6f95-4c61-b234-a6bbe804a9e6"/>
    <ds:schemaRef ds:uri="d1395174-bdeb-4ce1-892c-65ecf02aa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5D78D-C7CB-4E45-BD06-BF67FBBCA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895D4-3CDE-4B61-82EF-97726AA6A927}">
  <ds:schemaRefs>
    <ds:schemaRef ds:uri="http://schemas.microsoft.com/office/2006/metadata/properties"/>
    <ds:schemaRef ds:uri="http://schemas.microsoft.com/office/infopath/2007/PartnerControls"/>
    <ds:schemaRef ds:uri="0bfbcbea-6f95-4c61-b234-a6bbe804a9e6"/>
    <ds:schemaRef ds:uri="d1395174-bdeb-4ce1-892c-65ecf02aaa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– QS Best Student Cities 2027 – Press Release</dc:title>
  <dc:creator>QS Quacquarelli Symonds</dc:creator>
  <keywords>, docId:AB1936CC05BD98552E3A393A38965B54</keywords>
  <lastModifiedBy>William Barbieri</lastModifiedBy>
  <revision>18</revision>
  <dcterms:created xsi:type="dcterms:W3CDTF">2026-07-15T08:03:00.0000000Z</dcterms:created>
  <dcterms:modified xsi:type="dcterms:W3CDTF">2026-07-20T10:02:19.3804852Z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0x0101003E0E7D80358B05498AAD86436FFF3841</vt:lpwstr>
  </property>
  <property fmtid="{D5CDD505-2E9C-101B-9397-08002B2CF9AE}" pid="3" name="MediaServiceImageTags">
    <vt:lpwstr/>
  </property>
</Properties>
</file>