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B4F4" w14:textId="77777777" w:rsidR="000F1FC4" w:rsidRPr="00D3268F" w:rsidRDefault="000F1FC4" w:rsidP="000F1FC4">
      <w:pPr>
        <w:pStyle w:val="paragraph"/>
        <w:spacing w:before="0" w:beforeAutospacing="0" w:after="160" w:afterAutospacing="0" w:line="360" w:lineRule="auto"/>
        <w:jc w:val="center"/>
        <w:textAlignment w:val="baseline"/>
        <w:rPr>
          <w:rFonts w:ascii="Calibri" w:hAnsi="Calibri" w:cs="Calibri"/>
          <w:lang w:val="de-DE"/>
        </w:rPr>
      </w:pPr>
      <w:r w:rsidRPr="00D3268F">
        <w:rPr>
          <w:rStyle w:val="normaltextrun"/>
          <w:rFonts w:ascii="Calibri" w:eastAsiaTheme="majorEastAsia" w:hAnsi="Calibri" w:cs="Calibri"/>
          <w:b/>
          <w:bCs/>
          <w:color w:val="C00000"/>
          <w:lang w:val="de-DE"/>
        </w:rPr>
        <w:t>INFORMATIONEN UNTER SPERRFRIST BIS M</w:t>
      </w:r>
      <w:r>
        <w:rPr>
          <w:rStyle w:val="normaltextrun"/>
          <w:rFonts w:ascii="Calibri" w:eastAsiaTheme="majorEastAsia" w:hAnsi="Calibri" w:cs="Calibri"/>
          <w:b/>
          <w:bCs/>
          <w:color w:val="C00000"/>
          <w:lang w:val="de-DE"/>
        </w:rPr>
        <w:t xml:space="preserve">ITTWOCH, </w:t>
      </w:r>
      <w:r w:rsidRPr="00D3268F">
        <w:rPr>
          <w:rStyle w:val="normaltextrun"/>
          <w:rFonts w:ascii="Calibri" w:eastAsiaTheme="majorEastAsia" w:hAnsi="Calibri" w:cs="Calibri"/>
          <w:b/>
          <w:bCs/>
          <w:color w:val="C00000"/>
          <w:lang w:val="de-DE"/>
        </w:rPr>
        <w:t>28. JANUAR</w:t>
      </w:r>
      <w:r>
        <w:rPr>
          <w:rStyle w:val="normaltextrun"/>
          <w:rFonts w:ascii="Calibri" w:eastAsiaTheme="majorEastAsia" w:hAnsi="Calibri" w:cs="Calibri"/>
          <w:b/>
          <w:bCs/>
          <w:color w:val="C00000"/>
          <w:lang w:val="de-DE"/>
        </w:rPr>
        <w:t xml:space="preserve"> 2026</w:t>
      </w:r>
      <w:r w:rsidRPr="00D3268F">
        <w:rPr>
          <w:rStyle w:val="normaltextrun"/>
          <w:rFonts w:ascii="Calibri" w:eastAsiaTheme="majorEastAsia" w:hAnsi="Calibri" w:cs="Calibri"/>
          <w:b/>
          <w:bCs/>
          <w:color w:val="C00000"/>
          <w:lang w:val="de-DE"/>
        </w:rPr>
        <w:t xml:space="preserve"> UM 1</w:t>
      </w:r>
      <w:r>
        <w:rPr>
          <w:rStyle w:val="normaltextrun"/>
          <w:rFonts w:ascii="Calibri" w:eastAsiaTheme="majorEastAsia" w:hAnsi="Calibri" w:cs="Calibri"/>
          <w:b/>
          <w:bCs/>
          <w:color w:val="C00000"/>
          <w:lang w:val="de-DE"/>
        </w:rPr>
        <w:t>1</w:t>
      </w:r>
      <w:r w:rsidRPr="00D3268F">
        <w:rPr>
          <w:rStyle w:val="normaltextrun"/>
          <w:rFonts w:ascii="Calibri" w:eastAsiaTheme="majorEastAsia" w:hAnsi="Calibri" w:cs="Calibri"/>
          <w:b/>
          <w:bCs/>
          <w:color w:val="C00000"/>
          <w:lang w:val="de-DE"/>
        </w:rPr>
        <w:t xml:space="preserve">:00 UHR </w:t>
      </w:r>
      <w:r>
        <w:rPr>
          <w:rStyle w:val="normaltextrun"/>
          <w:rFonts w:ascii="Calibri" w:eastAsiaTheme="majorEastAsia" w:hAnsi="Calibri" w:cs="Calibri"/>
          <w:b/>
          <w:bCs/>
          <w:color w:val="C00000"/>
          <w:lang w:val="de-DE"/>
        </w:rPr>
        <w:t>MEZ</w:t>
      </w:r>
      <w:r w:rsidRPr="00D3268F">
        <w:rPr>
          <w:rStyle w:val="normaltextrun"/>
          <w:rFonts w:ascii="Calibri" w:eastAsiaTheme="majorEastAsia" w:hAnsi="Calibri" w:cs="Calibri"/>
          <w:b/>
          <w:bCs/>
          <w:color w:val="C00000"/>
          <w:lang w:val="de-DE"/>
        </w:rPr>
        <w:t>  </w:t>
      </w:r>
    </w:p>
    <w:p w14:paraId="61B99809" w14:textId="0C0300F8" w:rsidR="00641ED4" w:rsidRPr="000F1FC4" w:rsidRDefault="00641ED4" w:rsidP="003411F8">
      <w:pPr>
        <w:pStyle w:val="paragraph"/>
        <w:spacing w:before="0" w:beforeAutospacing="0" w:after="160" w:afterAutospacing="0" w:line="360" w:lineRule="auto"/>
        <w:jc w:val="center"/>
        <w:textAlignment w:val="baseline"/>
        <w:rPr>
          <w:rStyle w:val="eop"/>
          <w:rFonts w:ascii="Calibri" w:eastAsiaTheme="majorEastAsia" w:hAnsi="Calibri" w:cs="Calibri"/>
          <w:lang w:val="de-DE"/>
        </w:rPr>
      </w:pPr>
      <w:r w:rsidRPr="000F1FC4">
        <w:rPr>
          <w:rStyle w:val="normaltextrun"/>
          <w:rFonts w:ascii="Calibri" w:eastAsiaTheme="majorEastAsia" w:hAnsi="Calibri" w:cs="Calibri"/>
          <w:b/>
          <w:bCs/>
          <w:lang w:val="de-DE"/>
        </w:rPr>
        <w:t>QS World University Rankings: Europa 2026</w:t>
      </w:r>
    </w:p>
    <w:p w14:paraId="0DF738DC" w14:textId="4977A03C" w:rsidR="007177CF" w:rsidRPr="000F1FC4" w:rsidRDefault="003411F8" w:rsidP="79CE8CE2">
      <w:pPr>
        <w:pStyle w:val="paragraph"/>
        <w:spacing w:before="0" w:beforeAutospacing="0" w:after="160" w:afterAutospacing="0" w:line="360" w:lineRule="auto"/>
        <w:jc w:val="center"/>
        <w:textAlignment w:val="baseline"/>
        <w:rPr>
          <w:rStyle w:val="normaltextrun"/>
          <w:rFonts w:ascii="Calibri" w:eastAsiaTheme="majorEastAsia" w:hAnsi="Calibri" w:cs="Calibri"/>
          <w:b/>
          <w:bCs/>
          <w:lang w:val="de-DE"/>
        </w:rPr>
      </w:pPr>
      <w:r w:rsidRPr="000F1FC4">
        <w:rPr>
          <w:rFonts w:ascii="Calibri" w:eastAsiaTheme="majorEastAsia" w:hAnsi="Calibri" w:cs="Calibri"/>
          <w:b/>
          <w:bCs/>
          <w:lang w:val="de-DE"/>
        </w:rPr>
        <w:t xml:space="preserve">Deutschland festigt seine Position als weltweit führendes Studienziel mit dem höchsten Wachstum in Europa und </w:t>
      </w:r>
      <w:r w:rsidR="6E35534F" w:rsidRPr="000F1FC4">
        <w:rPr>
          <w:rFonts w:ascii="Calibri" w:eastAsiaTheme="majorEastAsia" w:hAnsi="Calibri" w:cs="Calibri"/>
          <w:b/>
          <w:bCs/>
          <w:lang w:val="de-DE"/>
        </w:rPr>
        <w:t xml:space="preserve">außergewöhnlichen </w:t>
      </w:r>
      <w:r w:rsidRPr="000F1FC4">
        <w:rPr>
          <w:rFonts w:ascii="Calibri" w:eastAsiaTheme="majorEastAsia" w:hAnsi="Calibri" w:cs="Calibri"/>
          <w:b/>
          <w:bCs/>
          <w:lang w:val="de-DE"/>
        </w:rPr>
        <w:t>Lehrressourcen</w:t>
      </w:r>
    </w:p>
    <w:p w14:paraId="69A5EE55" w14:textId="77777777" w:rsidR="004A3107" w:rsidRPr="007F0AFF" w:rsidRDefault="004A3107" w:rsidP="004A3107">
      <w:pPr>
        <w:pStyle w:val="paragraph"/>
        <w:spacing w:before="0" w:beforeAutospacing="0" w:after="160" w:afterAutospacing="0" w:line="360" w:lineRule="auto"/>
        <w:textAlignment w:val="baseline"/>
        <w:rPr>
          <w:rStyle w:val="normaltextrun"/>
          <w:rFonts w:ascii="Calibri" w:eastAsiaTheme="majorEastAsia" w:hAnsi="Calibri" w:cs="Calibri"/>
          <w:color w:val="000000"/>
          <w:sz w:val="20"/>
          <w:szCs w:val="20"/>
          <w:shd w:val="clear" w:color="auto" w:fill="FFFFFF"/>
          <w:lang w:val="de-DE"/>
        </w:rPr>
      </w:pPr>
      <w:r w:rsidRPr="007F0AFF">
        <w:rPr>
          <w:rStyle w:val="normaltextrun"/>
          <w:rFonts w:ascii="Calibri" w:eastAsiaTheme="majorEastAsia" w:hAnsi="Calibri" w:cs="Calibri"/>
          <w:color w:val="000000"/>
          <w:sz w:val="20"/>
          <w:szCs w:val="20"/>
          <w:shd w:val="clear" w:color="auto" w:fill="FFFFFF"/>
          <w:lang w:val="de-DE"/>
        </w:rPr>
        <w:t>London, den 28. Januar 2026</w:t>
      </w:r>
    </w:p>
    <w:p w14:paraId="1DB5267F" w14:textId="77777777" w:rsidR="004A3107" w:rsidRPr="00D3268F" w:rsidRDefault="004A3107" w:rsidP="004A3107">
      <w:pPr>
        <w:pStyle w:val="paragraph"/>
        <w:spacing w:before="0" w:beforeAutospacing="0" w:after="160" w:afterAutospacing="0" w:line="360" w:lineRule="auto"/>
        <w:textAlignment w:val="baseline"/>
        <w:rPr>
          <w:rFonts w:ascii="Calibri" w:hAnsi="Calibri" w:cs="Calibri"/>
          <w:sz w:val="16"/>
          <w:szCs w:val="16"/>
          <w:lang w:val="de-DE"/>
        </w:rPr>
      </w:pPr>
      <w:r w:rsidRPr="00D3268F">
        <w:rPr>
          <w:rStyle w:val="normaltextrun"/>
          <w:rFonts w:ascii="Calibri" w:eastAsiaTheme="majorEastAsia" w:hAnsi="Calibri" w:cs="Calibri"/>
          <w:color w:val="000000"/>
          <w:sz w:val="22"/>
          <w:szCs w:val="22"/>
          <w:shd w:val="clear" w:color="auto" w:fill="FFFFFF"/>
          <w:lang w:val="de-DE"/>
        </w:rPr>
        <w:t xml:space="preserve">Der weltweit tätige Hochschulranking-Experte </w:t>
      </w:r>
      <w:r w:rsidRPr="00D3268F">
        <w:rPr>
          <w:rStyle w:val="normaltextrun"/>
          <w:rFonts w:ascii="Calibri" w:eastAsiaTheme="majorEastAsia" w:hAnsi="Calibri" w:cs="Calibri"/>
          <w:b/>
          <w:bCs/>
          <w:color w:val="000000"/>
          <w:sz w:val="22"/>
          <w:szCs w:val="22"/>
          <w:shd w:val="clear" w:color="auto" w:fill="FFFFFF"/>
          <w:lang w:val="de-DE"/>
        </w:rPr>
        <w:t xml:space="preserve">QS Quacquarelli Symonds </w:t>
      </w:r>
      <w:r w:rsidRPr="00D3268F">
        <w:rPr>
          <w:rStyle w:val="normaltextrun"/>
          <w:rFonts w:ascii="Calibri" w:eastAsiaTheme="majorEastAsia" w:hAnsi="Calibri" w:cs="Calibri"/>
          <w:color w:val="000000"/>
          <w:sz w:val="22"/>
          <w:szCs w:val="22"/>
          <w:shd w:val="clear" w:color="auto" w:fill="FFFFFF"/>
          <w:lang w:val="de-DE"/>
        </w:rPr>
        <w:t xml:space="preserve">hat heute das </w:t>
      </w:r>
      <w:hyperlink r:id="rId8" w:tgtFrame="_blank" w:history="1">
        <w:r w:rsidRPr="00D3268F">
          <w:rPr>
            <w:rStyle w:val="normaltextrun"/>
            <w:rFonts w:ascii="Calibri" w:eastAsiaTheme="majorEastAsia" w:hAnsi="Calibri" w:cs="Calibri"/>
            <w:color w:val="467886"/>
            <w:sz w:val="22"/>
            <w:szCs w:val="22"/>
            <w:u w:val="single"/>
            <w:shd w:val="clear" w:color="auto" w:fill="FFFFFF"/>
            <w:lang w:val="de-DE"/>
          </w:rPr>
          <w:t>QS World University Ranking: Europa</w:t>
        </w:r>
      </w:hyperlink>
      <w:r w:rsidRPr="00992B1A">
        <w:rPr>
          <w:rStyle w:val="normaltextrun"/>
          <w:rFonts w:ascii="Calibri" w:eastAsiaTheme="majorEastAsia" w:hAnsi="Calibri" w:cs="Calibri"/>
          <w:color w:val="467886"/>
          <w:sz w:val="22"/>
          <w:szCs w:val="22"/>
          <w:u w:val="single"/>
          <w:shd w:val="clear" w:color="auto" w:fill="FFFFFF"/>
          <w:lang w:val="de-DE"/>
        </w:rPr>
        <w:t xml:space="preserve"> 2026</w:t>
      </w:r>
      <w:r w:rsidRPr="00D3268F">
        <w:rPr>
          <w:rStyle w:val="normaltextrun"/>
          <w:rFonts w:ascii="Calibri" w:eastAsiaTheme="majorEastAsia" w:hAnsi="Calibri" w:cs="Calibri"/>
          <w:color w:val="000000"/>
          <w:sz w:val="22"/>
          <w:szCs w:val="22"/>
          <w:shd w:val="clear" w:color="auto" w:fill="FFFFFF"/>
          <w:lang w:val="de-DE"/>
        </w:rPr>
        <w:t xml:space="preserve">* veröffentlicht. </w:t>
      </w:r>
      <w:r w:rsidRPr="00D3268F">
        <w:rPr>
          <w:rStyle w:val="normaltextrun"/>
          <w:rFonts w:ascii="Calibri" w:eastAsiaTheme="majorEastAsia" w:hAnsi="Calibri" w:cs="Calibri"/>
          <w:color w:val="EE0000"/>
          <w:sz w:val="16"/>
          <w:szCs w:val="16"/>
          <w:shd w:val="clear" w:color="auto" w:fill="FFFFFF"/>
          <w:lang w:val="de-DE"/>
        </w:rPr>
        <w:t xml:space="preserve">*Der Link wird nach Aufhebung der Sperrfrist mit den aktuellen Ergebnissen aktualisiert. </w:t>
      </w:r>
    </w:p>
    <w:p w14:paraId="49929407" w14:textId="77777777" w:rsidR="004A3107" w:rsidRPr="000562DB" w:rsidRDefault="004A3107" w:rsidP="004A3107">
      <w:pPr>
        <w:pStyle w:val="paragraph"/>
        <w:spacing w:before="0" w:beforeAutospacing="0" w:after="160" w:afterAutospacing="0" w:line="360" w:lineRule="auto"/>
        <w:textAlignment w:val="baseline"/>
        <w:rPr>
          <w:rFonts w:ascii="Calibri" w:eastAsiaTheme="majorEastAsia" w:hAnsi="Calibri" w:cs="Calibri"/>
          <w:sz w:val="22"/>
          <w:szCs w:val="22"/>
          <w:lang w:val="de-DE"/>
        </w:rPr>
      </w:pPr>
      <w:r>
        <w:rPr>
          <w:rStyle w:val="normaltextrun"/>
          <w:rFonts w:ascii="Calibri" w:eastAsiaTheme="majorEastAsia" w:hAnsi="Calibri" w:cs="Calibri"/>
          <w:sz w:val="22"/>
          <w:szCs w:val="22"/>
          <w:lang w:val="de-DE"/>
        </w:rPr>
        <w:t>In dem Ranking erzielt die Universität Oxford den besten Platz in Europa</w:t>
      </w:r>
      <w:r w:rsidRPr="00D3268F">
        <w:rPr>
          <w:rStyle w:val="normaltextrun"/>
          <w:rFonts w:ascii="Calibri" w:eastAsiaTheme="majorEastAsia" w:hAnsi="Calibri" w:cs="Calibri"/>
          <w:sz w:val="22"/>
          <w:szCs w:val="22"/>
          <w:lang w:val="de-DE"/>
        </w:rPr>
        <w:t xml:space="preserve">, nachdem sie sich vom dritten Platz im letzten Jahr verbessert und die ETH Zürich verdrängt hat. Das Imperial College London fällt vom zweiten auf den dritten Platz zurück und liegt nun gleichauf mit der UCL, während die Universität Cambridge den fünften Platz belegt. </w:t>
      </w:r>
    </w:p>
    <w:p w14:paraId="56199677" w14:textId="0417EFF0" w:rsidR="00641ED4" w:rsidRPr="000F1FC4" w:rsidRDefault="00641ED4" w:rsidP="79CE8CE2">
      <w:pPr>
        <w:spacing w:line="360" w:lineRule="auto"/>
        <w:rPr>
          <w:rFonts w:ascii="Calibri" w:eastAsiaTheme="majorEastAsia" w:hAnsi="Calibri" w:cs="Calibri"/>
          <w:kern w:val="0"/>
          <w:sz w:val="22"/>
          <w:szCs w:val="22"/>
          <w:lang w:val="de-DE" w:eastAsia="en-GB"/>
          <w14:ligatures w14:val="none"/>
        </w:rPr>
      </w:pPr>
      <w:r w:rsidRPr="000F1FC4">
        <w:rPr>
          <w:rFonts w:ascii="Calibri" w:hAnsi="Calibri" w:cs="Calibri"/>
          <w:b/>
          <w:bCs/>
          <w:sz w:val="22"/>
          <w:szCs w:val="22"/>
          <w:lang w:val="de-DE"/>
        </w:rPr>
        <w:t xml:space="preserve">Die Technische Universität München </w:t>
      </w:r>
      <w:r w:rsidRPr="000F1FC4">
        <w:rPr>
          <w:rFonts w:ascii="Calibri" w:hAnsi="Calibri" w:cs="Calibri"/>
          <w:sz w:val="22"/>
          <w:szCs w:val="22"/>
          <w:lang w:val="de-DE"/>
        </w:rPr>
        <w:t>ist</w:t>
      </w:r>
      <w:r w:rsidR="003E7E79">
        <w:rPr>
          <w:rFonts w:ascii="Calibri" w:hAnsi="Calibri" w:cs="Calibri"/>
          <w:sz w:val="22"/>
          <w:szCs w:val="22"/>
          <w:lang w:val="de-DE"/>
        </w:rPr>
        <w:t xml:space="preserve"> mit Rang zwölf </w:t>
      </w:r>
      <w:r w:rsidRPr="000F1FC4">
        <w:rPr>
          <w:rFonts w:ascii="Calibri" w:hAnsi="Calibri" w:cs="Calibri"/>
          <w:sz w:val="22"/>
          <w:szCs w:val="22"/>
          <w:lang w:val="de-DE"/>
        </w:rPr>
        <w:t>die bestplatzierte deutsche Hochschule und fällt damit gegenüber dem Vorjahr um einen Platz zurück. Die Ludwig-Maximilians-Universität München schafft den Sprung in die Top 20 und belegt</w:t>
      </w:r>
      <w:r w:rsidR="003E7E79">
        <w:rPr>
          <w:rFonts w:ascii="Calibri" w:hAnsi="Calibri" w:cs="Calibri"/>
          <w:sz w:val="22"/>
          <w:szCs w:val="22"/>
          <w:lang w:val="de-DE"/>
        </w:rPr>
        <w:t xml:space="preserve"> Platz 17 </w:t>
      </w:r>
      <w:r w:rsidRPr="000F1FC4">
        <w:rPr>
          <w:rFonts w:ascii="Calibri" w:hAnsi="Calibri" w:cs="Calibri"/>
          <w:sz w:val="22"/>
          <w:szCs w:val="22"/>
          <w:lang w:val="de-DE"/>
        </w:rPr>
        <w:t>während die Universität Heidelberg von</w:t>
      </w:r>
      <w:r w:rsidR="003E7E79">
        <w:rPr>
          <w:rFonts w:ascii="Calibri" w:hAnsi="Calibri" w:cs="Calibri"/>
          <w:sz w:val="22"/>
          <w:szCs w:val="22"/>
          <w:lang w:val="de-DE"/>
        </w:rPr>
        <w:t xml:space="preserve"> Rang 18 </w:t>
      </w:r>
      <w:r w:rsidRPr="000F1FC4">
        <w:rPr>
          <w:rFonts w:ascii="Calibri" w:hAnsi="Calibri" w:cs="Calibri"/>
          <w:sz w:val="22"/>
          <w:szCs w:val="22"/>
          <w:lang w:val="de-DE"/>
        </w:rPr>
        <w:t xml:space="preserve">auf </w:t>
      </w:r>
      <w:r w:rsidR="003E7E79">
        <w:rPr>
          <w:rFonts w:ascii="Calibri" w:hAnsi="Calibri" w:cs="Calibri"/>
          <w:sz w:val="22"/>
          <w:szCs w:val="22"/>
          <w:lang w:val="de-DE"/>
        </w:rPr>
        <w:t xml:space="preserve">23 </w:t>
      </w:r>
      <w:r w:rsidRPr="000F1FC4">
        <w:rPr>
          <w:rFonts w:ascii="Calibri" w:hAnsi="Calibri" w:cs="Calibri"/>
          <w:sz w:val="22"/>
          <w:szCs w:val="22"/>
          <w:lang w:val="de-DE"/>
        </w:rPr>
        <w:t>zurückfällt.</w:t>
      </w:r>
    </w:p>
    <w:p w14:paraId="7D4C2A8F" w14:textId="67454053" w:rsidR="07211404" w:rsidRPr="000F1FC4" w:rsidRDefault="07211404" w:rsidP="79CE8CE2">
      <w:pPr>
        <w:spacing w:line="360" w:lineRule="auto"/>
        <w:rPr>
          <w:rFonts w:ascii="Calibri" w:eastAsia="Times New Roman" w:hAnsi="Calibri" w:cs="Calibri"/>
          <w:sz w:val="22"/>
          <w:szCs w:val="22"/>
          <w:lang w:val="de-DE" w:eastAsia="en-GB"/>
        </w:rPr>
      </w:pPr>
      <w:r w:rsidRPr="000F1FC4">
        <w:rPr>
          <w:rFonts w:ascii="Calibri" w:eastAsia="Times New Roman" w:hAnsi="Calibri" w:cs="Calibri"/>
          <w:sz w:val="22"/>
          <w:szCs w:val="22"/>
          <w:lang w:val="de-DE" w:eastAsia="en-GB"/>
        </w:rPr>
        <w:t xml:space="preserve">Das </w:t>
      </w:r>
      <w:hyperlink r:id="rId9">
        <w:r w:rsidRPr="000F1FC4">
          <w:rPr>
            <w:rFonts w:ascii="Calibri" w:eastAsia="Times New Roman" w:hAnsi="Calibri" w:cs="Calibri"/>
            <w:color w:val="467886"/>
            <w:sz w:val="22"/>
            <w:szCs w:val="22"/>
            <w:u w:val="single"/>
            <w:lang w:val="de-DE" w:eastAsia="en-GB"/>
          </w:rPr>
          <w:t>QS World University Ranking: Europ</w:t>
        </w:r>
        <w:r w:rsidR="003E7E79">
          <w:rPr>
            <w:rFonts w:ascii="Calibri" w:eastAsia="Times New Roman" w:hAnsi="Calibri" w:cs="Calibri"/>
            <w:color w:val="467886"/>
            <w:sz w:val="22"/>
            <w:szCs w:val="22"/>
            <w:u w:val="single"/>
            <w:lang w:val="de-DE" w:eastAsia="en-GB"/>
          </w:rPr>
          <w:t>a</w:t>
        </w:r>
        <w:r w:rsidRPr="000F1FC4">
          <w:rPr>
            <w:rFonts w:ascii="Calibri" w:eastAsia="Times New Roman" w:hAnsi="Calibri" w:cs="Calibri"/>
            <w:color w:val="467886"/>
            <w:sz w:val="22"/>
            <w:szCs w:val="22"/>
            <w:u w:val="single"/>
            <w:lang w:val="de-DE" w:eastAsia="en-GB"/>
          </w:rPr>
          <w:t xml:space="preserve"> 2026</w:t>
        </w:r>
      </w:hyperlink>
      <w:r w:rsidRPr="000F1FC4">
        <w:rPr>
          <w:rFonts w:ascii="Calibri" w:eastAsia="Times New Roman" w:hAnsi="Calibri" w:cs="Calibri"/>
          <w:sz w:val="22"/>
          <w:szCs w:val="22"/>
          <w:lang w:val="de-DE" w:eastAsia="en-GB"/>
        </w:rPr>
        <w:t xml:space="preserve"> umfasst 958 Universitäten aus 42 Ländern und Territorien. </w:t>
      </w:r>
      <w:r w:rsidRPr="000F1FC4">
        <w:rPr>
          <w:rFonts w:ascii="Calibri" w:eastAsia="Calibri" w:hAnsi="Calibri" w:cs="Calibri"/>
          <w:sz w:val="22"/>
          <w:szCs w:val="22"/>
          <w:lang w:val="de-DE"/>
        </w:rPr>
        <w:t xml:space="preserve">Deutschland ist mit 102 Universitäten </w:t>
      </w:r>
      <w:r w:rsidR="7C57EBD1" w:rsidRPr="000F1FC4">
        <w:rPr>
          <w:rFonts w:ascii="Calibri" w:eastAsia="Calibri" w:hAnsi="Calibri" w:cs="Calibri"/>
          <w:sz w:val="22"/>
          <w:szCs w:val="22"/>
          <w:lang w:val="de-DE"/>
        </w:rPr>
        <w:t>das drittstärkste Land in der Region hinter Großbritannien mit</w:t>
      </w:r>
      <w:r w:rsidR="279678D3" w:rsidRPr="000F1FC4">
        <w:rPr>
          <w:rFonts w:ascii="Calibri" w:eastAsia="Calibri" w:hAnsi="Calibri" w:cs="Calibri"/>
          <w:sz w:val="22"/>
          <w:szCs w:val="22"/>
          <w:lang w:val="de-DE"/>
        </w:rPr>
        <w:t xml:space="preserve"> 129 und der Türkei mit 107. </w:t>
      </w:r>
      <w:r w:rsidRPr="000F1FC4">
        <w:rPr>
          <w:rFonts w:ascii="Calibri" w:eastAsia="Calibri" w:hAnsi="Calibri" w:cs="Calibri"/>
          <w:sz w:val="22"/>
          <w:szCs w:val="22"/>
          <w:lang w:val="de-DE"/>
        </w:rPr>
        <w:t>Frankreich und die Schweiz sind die einzigen anderen Länder, die in den Top 10 vertreten sind.</w:t>
      </w:r>
    </w:p>
    <w:p w14:paraId="740C93D6" w14:textId="66C1AB68" w:rsidR="4D13B96A" w:rsidRPr="000F1FC4" w:rsidRDefault="4D13B96A" w:rsidP="79CE8CE2">
      <w:pPr>
        <w:spacing w:before="240" w:line="360" w:lineRule="auto"/>
        <w:rPr>
          <w:rFonts w:ascii="Calibri" w:eastAsia="Calibri" w:hAnsi="Calibri" w:cs="Calibri"/>
          <w:sz w:val="22"/>
          <w:szCs w:val="22"/>
          <w:lang w:val="de-DE"/>
        </w:rPr>
      </w:pPr>
      <w:r w:rsidRPr="000F1FC4">
        <w:rPr>
          <w:rFonts w:ascii="Calibri" w:eastAsia="Calibri" w:hAnsi="Calibri" w:cs="Calibri"/>
          <w:b/>
          <w:bCs/>
          <w:sz w:val="22"/>
          <w:szCs w:val="22"/>
          <w:lang w:val="de-DE"/>
        </w:rPr>
        <w:t xml:space="preserve">Thomas F. Hofmann, Präsident der Technischen Universität München, sagt: </w:t>
      </w:r>
      <w:r w:rsidRPr="000F1FC4">
        <w:rPr>
          <w:rFonts w:ascii="Calibri" w:eastAsia="Calibri" w:hAnsi="Calibri" w:cs="Calibri"/>
          <w:i/>
          <w:iCs/>
          <w:sz w:val="22"/>
          <w:szCs w:val="22"/>
          <w:lang w:val="de-DE"/>
        </w:rPr>
        <w:t xml:space="preserve">„Wir freuen uns sehr, dass die Leistungen unserer Universitätsgemeinschaft im QS Europe Ranking gewürdigt wurden. </w:t>
      </w:r>
      <w:r w:rsidR="79826657" w:rsidRPr="000F1FC4">
        <w:rPr>
          <w:rFonts w:ascii="Calibri" w:eastAsia="Calibri" w:hAnsi="Calibri" w:cs="Calibri"/>
          <w:i/>
          <w:iCs/>
          <w:sz w:val="22"/>
          <w:szCs w:val="22"/>
          <w:lang w:val="de-DE"/>
        </w:rPr>
        <w:t>An der TUM konzentrieren wir uns auf globale Herausforderungen, sowohl in der Forschung als auch in der Ausbildung der besten jungen Köpfe. Wir sind dabei erfolgreich, weil wir das interdisziplinäre Potenzial unseres breiten Fächerspektrums, das in der EU einzigartig ist, nutzen, einen intensiven Austausch mit der Gesellschaft pflegen und eng mit innovativen Unternehmen zusammenarbeiten</w:t>
      </w:r>
      <w:r w:rsidRPr="000F1FC4">
        <w:rPr>
          <w:rFonts w:ascii="Calibri" w:eastAsia="Calibri" w:hAnsi="Calibri" w:cs="Calibri"/>
          <w:sz w:val="22"/>
          <w:szCs w:val="22"/>
          <w:lang w:val="de-DE"/>
        </w:rPr>
        <w:t>.“</w:t>
      </w:r>
    </w:p>
    <w:p w14:paraId="749F1FD0" w14:textId="57F617F1" w:rsidR="2924FEAC" w:rsidRPr="000F1FC4" w:rsidRDefault="2924FEAC" w:rsidP="79CE8CE2">
      <w:pPr>
        <w:spacing w:line="360" w:lineRule="auto"/>
        <w:rPr>
          <w:rFonts w:ascii="Calibri" w:hAnsi="Calibri" w:cs="Calibri"/>
          <w:i/>
          <w:iCs/>
          <w:sz w:val="22"/>
          <w:szCs w:val="22"/>
          <w:lang w:val="de-DE"/>
        </w:rPr>
      </w:pPr>
      <w:r w:rsidRPr="000F1FC4">
        <w:rPr>
          <w:rFonts w:ascii="Calibri" w:hAnsi="Calibri" w:cs="Calibri"/>
          <w:b/>
          <w:bCs/>
          <w:sz w:val="22"/>
          <w:szCs w:val="22"/>
          <w:lang w:val="de-DE"/>
        </w:rPr>
        <w:t>Ben Sowter, Senior Vice President von QS, sagt</w:t>
      </w:r>
      <w:r w:rsidRPr="000F1FC4">
        <w:rPr>
          <w:rFonts w:ascii="Calibri" w:hAnsi="Calibri" w:cs="Calibri"/>
          <w:sz w:val="22"/>
          <w:szCs w:val="22"/>
          <w:lang w:val="de-DE"/>
        </w:rPr>
        <w:t xml:space="preserve">: </w:t>
      </w:r>
      <w:r w:rsidRPr="000F1FC4">
        <w:rPr>
          <w:rFonts w:ascii="Calibri" w:hAnsi="Calibri" w:cs="Calibri"/>
          <w:i/>
          <w:iCs/>
          <w:sz w:val="22"/>
          <w:szCs w:val="22"/>
          <w:lang w:val="de-DE"/>
        </w:rPr>
        <w:t xml:space="preserve">„Das deutsche Hochschulwesen durchläuft eine intensive Internationalisierung, angetrieben durch </w:t>
      </w:r>
      <w:hyperlink r:id="rId10">
        <w:r w:rsidRPr="000F1FC4">
          <w:rPr>
            <w:rStyle w:val="Hyperlink"/>
            <w:rFonts w:ascii="Calibri" w:hAnsi="Calibri" w:cs="Calibri"/>
            <w:i/>
            <w:iCs/>
            <w:sz w:val="22"/>
            <w:szCs w:val="22"/>
            <w:lang w:val="de-DE"/>
          </w:rPr>
          <w:t>Rekordzahlen bei den Studienanfängern</w:t>
        </w:r>
      </w:hyperlink>
      <w:r w:rsidRPr="000F1FC4">
        <w:rPr>
          <w:rFonts w:ascii="Calibri" w:hAnsi="Calibri" w:cs="Calibri"/>
          <w:i/>
          <w:iCs/>
          <w:sz w:val="22"/>
          <w:szCs w:val="22"/>
          <w:lang w:val="de-DE"/>
        </w:rPr>
        <w:t xml:space="preserve"> und die weltweite Nachfrage nach MINT- und anderen Studiengängen. Gleichzeitig gibt es keine Anzeichen für eine Entspannung der Wohnungsknappheit für Studierende in den großen Universitätsstädten, </w:t>
      </w:r>
      <w:r w:rsidRPr="000F1FC4">
        <w:rPr>
          <w:rFonts w:ascii="Calibri" w:hAnsi="Calibri" w:cs="Calibri"/>
          <w:i/>
          <w:iCs/>
          <w:sz w:val="22"/>
          <w:szCs w:val="22"/>
          <w:lang w:val="de-DE"/>
        </w:rPr>
        <w:lastRenderedPageBreak/>
        <w:t xml:space="preserve">was zu einer Verknappung des Angebots und einem Anstieg der Mieten führt. Auf der Forschungsseite zielt die Exzellenzstrategie des Bundes darauf ab, </w:t>
      </w:r>
      <w:hyperlink r:id="rId11">
        <w:r w:rsidRPr="000F1FC4">
          <w:rPr>
            <w:rStyle w:val="Hyperlink"/>
            <w:rFonts w:ascii="Calibri" w:hAnsi="Calibri" w:cs="Calibri"/>
            <w:i/>
            <w:iCs/>
            <w:sz w:val="22"/>
            <w:szCs w:val="22"/>
            <w:lang w:val="de-DE"/>
          </w:rPr>
          <w:t>die Wettbewerbsfähigkeit Deutschlands in der globalen Forschung zu stärken</w:t>
        </w:r>
      </w:hyperlink>
      <w:r w:rsidRPr="000F1FC4">
        <w:rPr>
          <w:rFonts w:ascii="Calibri" w:hAnsi="Calibri" w:cs="Calibri"/>
          <w:i/>
          <w:iCs/>
          <w:sz w:val="22"/>
          <w:szCs w:val="22"/>
          <w:lang w:val="de-DE"/>
        </w:rPr>
        <w:t xml:space="preserve"> und sollte dazu beitragen, die Kluft zwischen Forschungsquantität und -qualität zu überbrücken, die sich in den diesjährigen Rankings widerspiegelt.</w:t>
      </w:r>
    </w:p>
    <w:p w14:paraId="31FD7CFF" w14:textId="76B00A6E" w:rsidR="2924FEAC" w:rsidRPr="000F1FC4" w:rsidRDefault="2924FEAC" w:rsidP="79CE8CE2">
      <w:pPr>
        <w:spacing w:line="360" w:lineRule="auto"/>
        <w:rPr>
          <w:rFonts w:ascii="Calibri" w:hAnsi="Calibri" w:cs="Calibri"/>
          <w:sz w:val="22"/>
          <w:szCs w:val="22"/>
          <w:lang w:val="de-DE"/>
        </w:rPr>
      </w:pPr>
      <w:r w:rsidRPr="000F1FC4">
        <w:rPr>
          <w:rFonts w:ascii="Calibri" w:hAnsi="Calibri" w:cs="Calibri"/>
          <w:i/>
          <w:iCs/>
          <w:sz w:val="22"/>
          <w:szCs w:val="22"/>
          <w:lang w:val="de-DE"/>
        </w:rPr>
        <w:t>„Daher zei</w:t>
      </w:r>
      <w:r w:rsidR="0037193F">
        <w:rPr>
          <w:rFonts w:ascii="Calibri" w:hAnsi="Calibri" w:cs="Calibri"/>
          <w:i/>
          <w:iCs/>
          <w:sz w:val="22"/>
          <w:szCs w:val="22"/>
          <w:lang w:val="de-DE"/>
        </w:rPr>
        <w:t>gt das</w:t>
      </w:r>
      <w:r w:rsidRPr="000F1FC4">
        <w:rPr>
          <w:rFonts w:ascii="Calibri" w:hAnsi="Calibri" w:cs="Calibri"/>
          <w:i/>
          <w:iCs/>
          <w:sz w:val="22"/>
          <w:szCs w:val="22"/>
          <w:lang w:val="de-DE"/>
        </w:rPr>
        <w:t xml:space="preserve"> QS Europe Rankings 2026 nicht nur die zunehmende Attraktivität Deutschlands als Studienort, sondern auch den Druck auf die Infrastruktur, der mit der hohen Mobilität ausländischer Studierender einhergeht. Dennoch unterstreichen die Daten, dass Deutschland in Europa möglicherweise einzigartig positioniert ist, um die globale Hierarchie der internationalen Studienorte zu verändern, wenn es dieses Ziel mit gezielten Finanzmitteln und politischen Strategien unterstützt</w:t>
      </w:r>
      <w:r w:rsidRPr="000F1FC4">
        <w:rPr>
          <w:rFonts w:ascii="Calibri" w:hAnsi="Calibri" w:cs="Calibri"/>
          <w:sz w:val="22"/>
          <w:szCs w:val="22"/>
          <w:lang w:val="de-DE"/>
        </w:rPr>
        <w:t>.“</w:t>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065"/>
        <w:gridCol w:w="4620"/>
        <w:gridCol w:w="2205"/>
      </w:tblGrid>
      <w:tr w:rsidR="00490D0A" w:rsidRPr="00C63AC1" w14:paraId="05037E25" w14:textId="77777777" w:rsidTr="003D7512">
        <w:trPr>
          <w:trHeight w:val="270"/>
        </w:trPr>
        <w:tc>
          <w:tcPr>
            <w:tcW w:w="8925" w:type="dxa"/>
            <w:gridSpan w:val="4"/>
            <w:tcBorders>
              <w:top w:val="single" w:sz="6" w:space="0" w:color="auto"/>
              <w:left w:val="single" w:sz="6" w:space="0" w:color="auto"/>
              <w:bottom w:val="single" w:sz="6" w:space="0" w:color="auto"/>
              <w:right w:val="single" w:sz="6" w:space="0" w:color="auto"/>
            </w:tcBorders>
            <w:vAlign w:val="bottom"/>
            <w:hideMark/>
          </w:tcPr>
          <w:p w14:paraId="12EC0EE1"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Tabelle 1: Europa – Top 20   </w:t>
            </w:r>
          </w:p>
        </w:tc>
      </w:tr>
      <w:tr w:rsidR="00490D0A" w:rsidRPr="00C63AC1" w14:paraId="468041C2" w14:textId="77777777" w:rsidTr="003D7512">
        <w:trPr>
          <w:trHeight w:val="405"/>
        </w:trPr>
        <w:tc>
          <w:tcPr>
            <w:tcW w:w="1035" w:type="dxa"/>
            <w:tcBorders>
              <w:top w:val="single" w:sz="6" w:space="0" w:color="auto"/>
              <w:left w:val="single" w:sz="6" w:space="0" w:color="auto"/>
              <w:bottom w:val="single" w:sz="6" w:space="0" w:color="auto"/>
              <w:right w:val="single" w:sz="6" w:space="0" w:color="auto"/>
            </w:tcBorders>
            <w:vAlign w:val="center"/>
            <w:hideMark/>
          </w:tcPr>
          <w:p w14:paraId="720B11F4"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Rang 2026   </w:t>
            </w:r>
          </w:p>
        </w:tc>
        <w:tc>
          <w:tcPr>
            <w:tcW w:w="1065" w:type="dxa"/>
            <w:tcBorders>
              <w:top w:val="nil"/>
              <w:left w:val="single" w:sz="6" w:space="0" w:color="auto"/>
              <w:bottom w:val="single" w:sz="6" w:space="0" w:color="auto"/>
              <w:right w:val="single" w:sz="6" w:space="0" w:color="auto"/>
            </w:tcBorders>
            <w:vAlign w:val="center"/>
            <w:hideMark/>
          </w:tcPr>
          <w:p w14:paraId="2DBCA68B"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Rang 2025   </w:t>
            </w:r>
          </w:p>
        </w:tc>
        <w:tc>
          <w:tcPr>
            <w:tcW w:w="4620" w:type="dxa"/>
            <w:tcBorders>
              <w:top w:val="nil"/>
              <w:left w:val="single" w:sz="6" w:space="0" w:color="auto"/>
              <w:bottom w:val="single" w:sz="6" w:space="0" w:color="auto"/>
              <w:right w:val="single" w:sz="6" w:space="0" w:color="auto"/>
            </w:tcBorders>
            <w:vAlign w:val="center"/>
            <w:hideMark/>
          </w:tcPr>
          <w:p w14:paraId="394DE15D"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Institution   </w:t>
            </w:r>
          </w:p>
        </w:tc>
        <w:tc>
          <w:tcPr>
            <w:tcW w:w="2205" w:type="dxa"/>
            <w:tcBorders>
              <w:top w:val="nil"/>
              <w:left w:val="single" w:sz="6" w:space="0" w:color="auto"/>
              <w:bottom w:val="single" w:sz="6" w:space="0" w:color="auto"/>
              <w:right w:val="single" w:sz="6" w:space="0" w:color="auto"/>
            </w:tcBorders>
            <w:vAlign w:val="center"/>
            <w:hideMark/>
          </w:tcPr>
          <w:p w14:paraId="7BCB6F78"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Hochschulsystem   </w:t>
            </w:r>
          </w:p>
        </w:tc>
      </w:tr>
      <w:tr w:rsidR="00490D0A" w:rsidRPr="00C63AC1" w14:paraId="07CA1584"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167905C"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D19EDF1"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6CA0C32"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University of Oxford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042A53E"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1C6AF7CF"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EA82232"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334CFAD"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5C0FEEE5"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ETH Z</w:t>
            </w:r>
            <w:r>
              <w:rPr>
                <w:rFonts w:ascii="Calibri" w:eastAsia="Times New Roman" w:hAnsi="Calibri" w:cs="Calibri"/>
                <w:kern w:val="0"/>
                <w:sz w:val="20"/>
                <w:szCs w:val="20"/>
                <w:lang w:eastAsia="en-GB"/>
                <w14:ligatures w14:val="none"/>
              </w:rPr>
              <w:t>ü</w:t>
            </w:r>
            <w:r w:rsidRPr="00C63AC1">
              <w:rPr>
                <w:rFonts w:ascii="Calibri" w:eastAsia="Times New Roman" w:hAnsi="Calibri" w:cs="Calibri"/>
                <w:kern w:val="0"/>
                <w:sz w:val="20"/>
                <w:szCs w:val="20"/>
                <w:lang w:eastAsia="en-GB"/>
                <w14:ligatures w14:val="none"/>
              </w:rPr>
              <w:t>rich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A4CB93B"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Schweiz   </w:t>
            </w:r>
          </w:p>
        </w:tc>
      </w:tr>
      <w:tr w:rsidR="00490D0A" w:rsidRPr="00C63AC1" w14:paraId="247BB3FE"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EB17ED7"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=3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A5BD241"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7F9DBA69"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Imperial College London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1055431"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5DF5CDE4"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38B4E919"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=3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F5F250C"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5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501D0357"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UCL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4161379"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77C1D0F7"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39E881DD"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5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7CAD38D"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4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B22A104"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University of Cambridge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A87D34B"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17879447"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17A8312"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6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40346BF"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6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7CBDD4DD"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The University of Edinburgh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199C2D6E"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0944CFFD"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7502DED"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9FEB789"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8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BD3E5D3"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King's College London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B24AE70"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3653C2A7"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FEBD376"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8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51C1257"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9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0F83720"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Université PSL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D677DD8"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Frankreich   </w:t>
            </w:r>
          </w:p>
        </w:tc>
      </w:tr>
      <w:tr w:rsidR="00490D0A" w:rsidRPr="00C63AC1" w14:paraId="1FB29C83"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65F4BD2"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9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0EC983F"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7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F998460"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The University of Manchester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F782865"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6B3828F8"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22AFDB2"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65360AA"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10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7B05325" w14:textId="77777777" w:rsidR="00490D0A" w:rsidRPr="00D3268F" w:rsidRDefault="00490D0A" w:rsidP="003D7512">
            <w:pPr>
              <w:spacing w:after="0" w:line="240" w:lineRule="auto"/>
              <w:textAlignment w:val="baseline"/>
              <w:rPr>
                <w:rFonts w:ascii="Segoe UI" w:eastAsia="Times New Roman" w:hAnsi="Segoe UI" w:cs="Segoe UI"/>
                <w:kern w:val="0"/>
                <w:sz w:val="18"/>
                <w:szCs w:val="18"/>
                <w:lang w:val="fr-FR" w:eastAsia="en-GB"/>
                <w14:ligatures w14:val="none"/>
              </w:rPr>
            </w:pPr>
            <w:r w:rsidRPr="00C63AC1">
              <w:rPr>
                <w:rFonts w:ascii="Calibri" w:eastAsia="Times New Roman" w:hAnsi="Calibri" w:cs="Calibri"/>
                <w:kern w:val="0"/>
                <w:sz w:val="20"/>
                <w:szCs w:val="20"/>
                <w:lang w:val="fr-FR" w:eastAsia="en-GB"/>
                <w14:ligatures w14:val="none"/>
              </w:rPr>
              <w:t>EPFL – École polytechnique fédérale de Lausanne </w:t>
            </w:r>
            <w:r w:rsidRPr="00C63AC1">
              <w:rPr>
                <w:rFonts w:ascii="Calibri" w:eastAsia="Times New Roman" w:hAnsi="Calibri" w:cs="Calibri"/>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2726FCF"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Schweiz   </w:t>
            </w:r>
          </w:p>
        </w:tc>
      </w:tr>
      <w:tr w:rsidR="00490D0A" w:rsidRPr="00C63AC1" w14:paraId="3CE450DC"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488AAF4"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11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A132C07"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15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7C8CFD21"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Delft University of Technology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47D7CD1B"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Niederlande   </w:t>
            </w:r>
          </w:p>
        </w:tc>
      </w:tr>
      <w:tr w:rsidR="00490D0A" w:rsidRPr="00C63AC1" w14:paraId="639D65E6"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DFEEFC6"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8414F54"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5C8D1F88"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Lund University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CFF9254"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Schweden   </w:t>
            </w:r>
          </w:p>
        </w:tc>
      </w:tr>
      <w:tr w:rsidR="00490D0A" w:rsidRPr="00C63AC1" w14:paraId="4BCDB5CB"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85B0A0A"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79CE12C"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8773005"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sz w:val="20"/>
                <w:szCs w:val="20"/>
                <w:lang w:eastAsia="en-GB"/>
                <w14:ligatures w14:val="none"/>
              </w:rPr>
              <w:t>Technische Universität München</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F7A2441"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Deutschland   </w:t>
            </w:r>
          </w:p>
        </w:tc>
      </w:tr>
      <w:tr w:rsidR="00490D0A" w:rsidRPr="00C63AC1" w14:paraId="18A4F07D"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DC400F8"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14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5365E3DD"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6E370DA"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The London School of Economics and Political Science (LSE)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E6D0D52"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084BB444"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AAA9BE4"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15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E2B414F"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14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C75587A"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University of Bristol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CD025EC"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270E95DF"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5B4F4CF9"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16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C48D61C"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20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14AA7FE"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University of Leeds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81BA17B"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36664B53"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598499A"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E4C7E9F"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7A28656"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Ludwig-Maximilians-Universität München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1084C5D"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Deutschland   </w:t>
            </w:r>
          </w:p>
        </w:tc>
      </w:tr>
      <w:tr w:rsidR="00490D0A" w:rsidRPr="00C63AC1" w14:paraId="53EFBCFE"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D648A32"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5165357"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4880CC5"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The University of Warwick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125EA514"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6638275F"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F32361D"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19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452C835"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16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6D772A4"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University of Glasgow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7255F22A"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Vereinigtes Königreich   </w:t>
            </w:r>
          </w:p>
        </w:tc>
      </w:tr>
      <w:tr w:rsidR="00490D0A" w:rsidRPr="00C63AC1" w14:paraId="6E63D034" w14:textId="77777777" w:rsidTr="003D7512">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34B59EE"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b/>
                <w:bCs/>
                <w:kern w:val="0"/>
                <w:sz w:val="20"/>
                <w:szCs w:val="20"/>
                <w:lang w:eastAsia="en-GB"/>
                <w14:ligatures w14:val="none"/>
              </w:rPr>
              <w:t>20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CC5C0F3" w14:textId="77777777" w:rsidR="00490D0A" w:rsidRPr="00C63AC1" w:rsidRDefault="00490D0A" w:rsidP="003D7512">
            <w:pPr>
              <w:spacing w:after="0" w:line="240" w:lineRule="auto"/>
              <w:jc w:val="center"/>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23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5987FAAD"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Institut Polytechnique de Paris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0A894DD" w14:textId="77777777" w:rsidR="00490D0A" w:rsidRPr="00C63AC1" w:rsidRDefault="00490D0A" w:rsidP="003D7512">
            <w:pPr>
              <w:spacing w:after="0" w:line="240" w:lineRule="auto"/>
              <w:textAlignment w:val="baseline"/>
              <w:rPr>
                <w:rFonts w:ascii="Segoe UI" w:eastAsia="Times New Roman" w:hAnsi="Segoe UI" w:cs="Segoe UI"/>
                <w:kern w:val="0"/>
                <w:sz w:val="18"/>
                <w:szCs w:val="18"/>
                <w:lang w:eastAsia="en-GB"/>
                <w14:ligatures w14:val="none"/>
              </w:rPr>
            </w:pPr>
            <w:r w:rsidRPr="00C63AC1">
              <w:rPr>
                <w:rFonts w:ascii="Calibri" w:eastAsia="Times New Roman" w:hAnsi="Calibri" w:cs="Calibri"/>
                <w:kern w:val="0"/>
                <w:sz w:val="20"/>
                <w:szCs w:val="20"/>
                <w:lang w:eastAsia="en-GB"/>
                <w14:ligatures w14:val="none"/>
              </w:rPr>
              <w:t>Frankreich   </w:t>
            </w:r>
          </w:p>
        </w:tc>
      </w:tr>
    </w:tbl>
    <w:p w14:paraId="3B76B0DC" w14:textId="77777777" w:rsidR="007177CF" w:rsidRDefault="007177CF" w:rsidP="00641ED4">
      <w:pPr>
        <w:spacing w:after="0" w:line="240" w:lineRule="auto"/>
        <w:textAlignment w:val="baseline"/>
        <w:rPr>
          <w:rFonts w:ascii="Calibri" w:eastAsia="Times New Roman" w:hAnsi="Calibri" w:cs="Calibri"/>
          <w:kern w:val="0"/>
          <w:sz w:val="22"/>
          <w:szCs w:val="22"/>
          <w:lang w:eastAsia="en-GB"/>
          <w14:ligatures w14:val="none"/>
        </w:rPr>
      </w:pPr>
    </w:p>
    <w:p w14:paraId="52435FA8" w14:textId="49C3CAFE" w:rsidR="00641ED4" w:rsidRPr="000F1FC4" w:rsidRDefault="48FB1BFD" w:rsidP="79CE8CE2">
      <w:pPr>
        <w:spacing w:line="360" w:lineRule="auto"/>
        <w:textAlignment w:val="baseline"/>
        <w:rPr>
          <w:rFonts w:ascii="Calibri" w:eastAsia="Times New Roman" w:hAnsi="Calibri" w:cs="Calibri"/>
          <w:sz w:val="22"/>
          <w:szCs w:val="22"/>
          <w:lang w:val="de-DE" w:eastAsia="en-GB"/>
        </w:rPr>
      </w:pPr>
      <w:r w:rsidRPr="000F1FC4">
        <w:rPr>
          <w:rFonts w:ascii="Calibri" w:eastAsia="Times New Roman" w:hAnsi="Calibri" w:cs="Calibri"/>
          <w:sz w:val="22"/>
          <w:szCs w:val="22"/>
          <w:lang w:val="de-DE" w:eastAsia="en-GB"/>
        </w:rPr>
        <w:t xml:space="preserve">Deutschland </w:t>
      </w:r>
      <w:r w:rsidR="2B9DE360" w:rsidRPr="000F1FC4">
        <w:rPr>
          <w:rFonts w:ascii="Calibri" w:eastAsia="Times New Roman" w:hAnsi="Calibri" w:cs="Calibri"/>
          <w:kern w:val="0"/>
          <w:sz w:val="22"/>
          <w:szCs w:val="22"/>
          <w:lang w:val="de-DE" w:eastAsia="en-GB"/>
          <w14:ligatures w14:val="none"/>
        </w:rPr>
        <w:t xml:space="preserve">verzeichnet </w:t>
      </w:r>
      <w:r w:rsidR="2431391B" w:rsidRPr="000F1FC4">
        <w:rPr>
          <w:rFonts w:ascii="Calibri" w:eastAsia="Times New Roman" w:hAnsi="Calibri" w:cs="Calibri"/>
          <w:kern w:val="0"/>
          <w:sz w:val="22"/>
          <w:szCs w:val="22"/>
          <w:lang w:val="de-DE" w:eastAsia="en-GB"/>
          <w14:ligatures w14:val="none"/>
        </w:rPr>
        <w:t xml:space="preserve">in der diesjährigen Ausgabe </w:t>
      </w:r>
      <w:r w:rsidR="2B9DE360" w:rsidRPr="000F1FC4">
        <w:rPr>
          <w:rFonts w:ascii="Calibri" w:eastAsia="Times New Roman" w:hAnsi="Calibri" w:cs="Calibri"/>
          <w:kern w:val="0"/>
          <w:sz w:val="22"/>
          <w:szCs w:val="22"/>
          <w:lang w:val="de-DE" w:eastAsia="en-GB"/>
          <w14:ligatures w14:val="none"/>
        </w:rPr>
        <w:t xml:space="preserve">den größten Zuwachs an Vertretungen und kann beeindruckende 50 neue Universitäten vorweisen. </w:t>
      </w:r>
      <w:r w:rsidR="75C4B788" w:rsidRPr="000F1FC4">
        <w:rPr>
          <w:rFonts w:ascii="Calibri" w:hAnsi="Calibri" w:cs="Calibri"/>
          <w:sz w:val="22"/>
          <w:szCs w:val="22"/>
          <w:lang w:val="de-DE"/>
        </w:rPr>
        <w:t>Von den neu in die Rangliste aufgenommenen deutschen Hochschulen rangieren acht unter den Top 500 in Europa, wobei die Otto-von-Guericke-Universität Magdeburg</w:t>
      </w:r>
      <w:r w:rsidR="00490D0A">
        <w:rPr>
          <w:rFonts w:ascii="Calibri" w:hAnsi="Calibri" w:cs="Calibri"/>
          <w:sz w:val="22"/>
          <w:szCs w:val="22"/>
          <w:lang w:val="de-DE"/>
        </w:rPr>
        <w:t xml:space="preserve"> mit Rang</w:t>
      </w:r>
      <w:r w:rsidR="75C4B788" w:rsidRPr="000F1FC4">
        <w:rPr>
          <w:rFonts w:ascii="Calibri" w:hAnsi="Calibri" w:cs="Calibri"/>
          <w:sz w:val="22"/>
          <w:szCs w:val="22"/>
          <w:lang w:val="de-DE"/>
        </w:rPr>
        <w:t xml:space="preserve"> 321 die höchste Platzierung</w:t>
      </w:r>
      <w:r w:rsidR="00490D0A">
        <w:rPr>
          <w:rFonts w:ascii="Calibri" w:hAnsi="Calibri" w:cs="Calibri"/>
          <w:sz w:val="22"/>
          <w:szCs w:val="22"/>
          <w:lang w:val="de-DE"/>
        </w:rPr>
        <w:t xml:space="preserve"> erreicht</w:t>
      </w:r>
      <w:r w:rsidR="75C4B788" w:rsidRPr="000F1FC4">
        <w:rPr>
          <w:rFonts w:ascii="Calibri" w:hAnsi="Calibri" w:cs="Calibri"/>
          <w:sz w:val="22"/>
          <w:szCs w:val="22"/>
          <w:lang w:val="de-DE"/>
        </w:rPr>
        <w:t xml:space="preserve">. </w:t>
      </w:r>
    </w:p>
    <w:p w14:paraId="79EF2D5A" w14:textId="78BE6AC3" w:rsidR="00641ED4" w:rsidRPr="000F1FC4" w:rsidRDefault="790BC425" w:rsidP="79CE8CE2">
      <w:pPr>
        <w:spacing w:line="360" w:lineRule="auto"/>
        <w:textAlignment w:val="baseline"/>
        <w:rPr>
          <w:rFonts w:ascii="Calibri" w:hAnsi="Calibri" w:cs="Calibri"/>
          <w:kern w:val="0"/>
          <w:sz w:val="22"/>
          <w:szCs w:val="22"/>
          <w:lang w:val="de-DE" w:eastAsia="en-GB"/>
          <w14:ligatures w14:val="none"/>
        </w:rPr>
      </w:pPr>
      <w:r w:rsidRPr="000F1FC4">
        <w:rPr>
          <w:rFonts w:ascii="Calibri" w:eastAsia="Times New Roman" w:hAnsi="Calibri" w:cs="Calibri"/>
          <w:kern w:val="0"/>
          <w:sz w:val="22"/>
          <w:szCs w:val="22"/>
          <w:lang w:val="de-DE" w:eastAsia="en-GB"/>
          <w14:ligatures w14:val="none"/>
        </w:rPr>
        <w:t xml:space="preserve">Von den zuvor gelisteten </w:t>
      </w:r>
      <w:r w:rsidR="788E604F" w:rsidRPr="000F1FC4">
        <w:rPr>
          <w:rFonts w:ascii="Calibri" w:eastAsia="Times New Roman" w:hAnsi="Calibri" w:cs="Calibri"/>
          <w:kern w:val="0"/>
          <w:sz w:val="22"/>
          <w:szCs w:val="22"/>
          <w:lang w:val="de-DE" w:eastAsia="en-GB"/>
          <w14:ligatures w14:val="none"/>
        </w:rPr>
        <w:t xml:space="preserve">deutschen </w:t>
      </w:r>
      <w:r w:rsidRPr="000F1FC4">
        <w:rPr>
          <w:rFonts w:ascii="Calibri" w:eastAsia="Times New Roman" w:hAnsi="Calibri" w:cs="Calibri"/>
          <w:kern w:val="0"/>
          <w:sz w:val="22"/>
          <w:szCs w:val="22"/>
          <w:lang w:val="de-DE" w:eastAsia="en-GB"/>
          <w14:ligatures w14:val="none"/>
        </w:rPr>
        <w:t xml:space="preserve">Universitäten </w:t>
      </w:r>
      <w:r w:rsidR="25002840" w:rsidRPr="000F1FC4">
        <w:rPr>
          <w:rFonts w:ascii="Calibri" w:eastAsia="Times New Roman" w:hAnsi="Calibri" w:cs="Calibri"/>
          <w:kern w:val="0"/>
          <w:sz w:val="22"/>
          <w:szCs w:val="22"/>
          <w:lang w:val="de-DE" w:eastAsia="en-GB"/>
          <w14:ligatures w14:val="none"/>
        </w:rPr>
        <w:t>klettern 44% in der Rangliste nach oben, 4% bleiben stabil in ihrer Position und</w:t>
      </w:r>
      <w:r w:rsidRPr="000F1FC4">
        <w:rPr>
          <w:rFonts w:ascii="Calibri" w:eastAsia="Times New Roman" w:hAnsi="Calibri" w:cs="Calibri"/>
          <w:kern w:val="0"/>
          <w:sz w:val="22"/>
          <w:szCs w:val="22"/>
          <w:lang w:val="de-DE" w:eastAsia="en-GB"/>
          <w14:ligatures w14:val="none"/>
        </w:rPr>
        <w:t xml:space="preserve"> 52% fallen zurück</w:t>
      </w:r>
      <w:r w:rsidR="25002840" w:rsidRPr="000F1FC4">
        <w:rPr>
          <w:rFonts w:ascii="Calibri" w:eastAsia="Times New Roman" w:hAnsi="Calibri" w:cs="Calibri"/>
          <w:sz w:val="22"/>
          <w:szCs w:val="22"/>
          <w:lang w:val="de-DE" w:eastAsia="en-GB"/>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1133"/>
        <w:gridCol w:w="712"/>
        <w:gridCol w:w="1065"/>
        <w:gridCol w:w="832"/>
        <w:gridCol w:w="624"/>
        <w:gridCol w:w="614"/>
        <w:gridCol w:w="614"/>
        <w:gridCol w:w="614"/>
        <w:gridCol w:w="616"/>
        <w:gridCol w:w="650"/>
      </w:tblGrid>
      <w:tr w:rsidR="00641ED4" w:rsidRPr="000F1FC4" w14:paraId="60C07ACA" w14:textId="77777777" w:rsidTr="79CE8CE2">
        <w:trPr>
          <w:trHeight w:val="300"/>
        </w:trPr>
        <w:tc>
          <w:tcPr>
            <w:tcW w:w="9195" w:type="dxa"/>
            <w:gridSpan w:val="11"/>
            <w:tcBorders>
              <w:top w:val="single" w:sz="6" w:space="0" w:color="auto"/>
              <w:left w:val="single" w:sz="6" w:space="0" w:color="auto"/>
              <w:bottom w:val="single" w:sz="6" w:space="0" w:color="auto"/>
              <w:right w:val="single" w:sz="6" w:space="0" w:color="auto"/>
            </w:tcBorders>
            <w:vAlign w:val="bottom"/>
            <w:hideMark/>
          </w:tcPr>
          <w:p w14:paraId="549DD4CE" w14:textId="2DEF376F" w:rsidR="79CE8CE2" w:rsidRPr="000F1FC4" w:rsidRDefault="79CE8CE2" w:rsidP="79CE8CE2">
            <w:pPr>
              <w:spacing w:after="0"/>
              <w:jc w:val="center"/>
              <w:rPr>
                <w:rFonts w:ascii="Calibri" w:eastAsia="Calibri" w:hAnsi="Calibri" w:cs="Calibri"/>
                <w:color w:val="000000" w:themeColor="text1"/>
                <w:sz w:val="20"/>
                <w:szCs w:val="20"/>
                <w:lang w:val="de-DE"/>
              </w:rPr>
            </w:pPr>
            <w:r w:rsidRPr="000F1FC4">
              <w:rPr>
                <w:rFonts w:ascii="Calibri" w:eastAsia="Calibri" w:hAnsi="Calibri" w:cs="Calibri"/>
                <w:b/>
                <w:bCs/>
                <w:color w:val="000000" w:themeColor="text1"/>
                <w:sz w:val="20"/>
                <w:szCs w:val="20"/>
                <w:lang w:val="de-DE"/>
              </w:rPr>
              <w:lastRenderedPageBreak/>
              <w:t xml:space="preserve">Tabelle 2: Die 10 besten Hochschulsysteme nach Gesamtzahl der gelisteten Universitäten </w:t>
            </w:r>
          </w:p>
        </w:tc>
      </w:tr>
      <w:tr w:rsidR="00641ED4" w:rsidRPr="00641ED4" w14:paraId="5C331523" w14:textId="77777777" w:rsidTr="79CE8CE2">
        <w:trPr>
          <w:trHeight w:val="300"/>
        </w:trPr>
        <w:tc>
          <w:tcPr>
            <w:tcW w:w="1620" w:type="dxa"/>
            <w:tcBorders>
              <w:top w:val="nil"/>
              <w:left w:val="single" w:sz="6" w:space="0" w:color="auto"/>
              <w:bottom w:val="single" w:sz="6" w:space="0" w:color="auto"/>
              <w:right w:val="single" w:sz="6" w:space="0" w:color="auto"/>
            </w:tcBorders>
            <w:vAlign w:val="center"/>
            <w:hideMark/>
          </w:tcPr>
          <w:p w14:paraId="6A05E30F" w14:textId="7FAE1775"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b/>
                <w:bCs/>
                <w:color w:val="000000" w:themeColor="text1"/>
                <w:sz w:val="20"/>
                <w:szCs w:val="20"/>
              </w:rPr>
              <w:t>Land</w:t>
            </w:r>
          </w:p>
        </w:tc>
        <w:tc>
          <w:tcPr>
            <w:tcW w:w="885" w:type="dxa"/>
            <w:tcBorders>
              <w:top w:val="nil"/>
              <w:left w:val="nil"/>
              <w:bottom w:val="single" w:sz="6" w:space="0" w:color="auto"/>
              <w:right w:val="single" w:sz="6" w:space="0" w:color="auto"/>
            </w:tcBorders>
            <w:vAlign w:val="center"/>
            <w:hideMark/>
          </w:tcPr>
          <w:p w14:paraId="3AC1B54C" w14:textId="51AB8145"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b/>
                <w:bCs/>
                <w:color w:val="000000" w:themeColor="text1"/>
                <w:sz w:val="20"/>
                <w:szCs w:val="20"/>
              </w:rPr>
              <w:t>Gesamtzahl der gerankten</w:t>
            </w:r>
            <w:r w:rsidR="00490D0A">
              <w:rPr>
                <w:rFonts w:ascii="Calibri" w:eastAsia="Calibri" w:hAnsi="Calibri" w:cs="Calibri"/>
                <w:b/>
                <w:bCs/>
                <w:color w:val="000000" w:themeColor="text1"/>
                <w:sz w:val="20"/>
                <w:szCs w:val="20"/>
              </w:rPr>
              <w:t xml:space="preserve"> Universitäten</w:t>
            </w:r>
          </w:p>
        </w:tc>
        <w:tc>
          <w:tcPr>
            <w:tcW w:w="735" w:type="dxa"/>
            <w:tcBorders>
              <w:top w:val="nil"/>
              <w:left w:val="nil"/>
              <w:bottom w:val="single" w:sz="6" w:space="0" w:color="auto"/>
              <w:right w:val="single" w:sz="6" w:space="0" w:color="auto"/>
            </w:tcBorders>
            <w:vAlign w:val="center"/>
            <w:hideMark/>
          </w:tcPr>
          <w:p w14:paraId="6C4C5D9B" w14:textId="178F9896" w:rsidR="79CE8CE2" w:rsidRDefault="79CE8CE2" w:rsidP="79CE8CE2">
            <w:pPr>
              <w:spacing w:after="0"/>
              <w:jc w:val="center"/>
              <w:rPr>
                <w:rFonts w:ascii="Calibri" w:eastAsia="Calibri" w:hAnsi="Calibri" w:cs="Calibri"/>
                <w:color w:val="00B050"/>
                <w:sz w:val="20"/>
                <w:szCs w:val="20"/>
              </w:rPr>
            </w:pPr>
            <w:r w:rsidRPr="79CE8CE2">
              <w:rPr>
                <w:rFonts w:ascii="Calibri" w:eastAsia="Calibri" w:hAnsi="Calibri" w:cs="Calibri"/>
                <w:b/>
                <w:bCs/>
                <w:color w:val="00B050"/>
                <w:sz w:val="20"/>
                <w:szCs w:val="20"/>
              </w:rPr>
              <w:t>Anstieg in %</w:t>
            </w:r>
          </w:p>
        </w:tc>
        <w:tc>
          <w:tcPr>
            <w:tcW w:w="840" w:type="dxa"/>
            <w:tcBorders>
              <w:top w:val="nil"/>
              <w:left w:val="nil"/>
              <w:bottom w:val="single" w:sz="6" w:space="0" w:color="auto"/>
              <w:right w:val="single" w:sz="6" w:space="0" w:color="auto"/>
            </w:tcBorders>
            <w:vAlign w:val="center"/>
            <w:hideMark/>
          </w:tcPr>
          <w:p w14:paraId="5632F6F7" w14:textId="7A6AD3A1" w:rsidR="79CE8CE2" w:rsidRDefault="79CE8CE2" w:rsidP="79CE8CE2">
            <w:pPr>
              <w:spacing w:after="0"/>
              <w:jc w:val="center"/>
              <w:rPr>
                <w:rFonts w:ascii="Calibri" w:eastAsia="Calibri" w:hAnsi="Calibri" w:cs="Calibri"/>
                <w:color w:val="FFC000"/>
                <w:sz w:val="20"/>
                <w:szCs w:val="20"/>
              </w:rPr>
            </w:pPr>
            <w:r w:rsidRPr="79CE8CE2">
              <w:rPr>
                <w:rFonts w:ascii="Calibri" w:eastAsia="Calibri" w:hAnsi="Calibri" w:cs="Calibri"/>
                <w:b/>
                <w:bCs/>
                <w:color w:val="FFC000"/>
                <w:sz w:val="20"/>
                <w:szCs w:val="20"/>
              </w:rPr>
              <w:t>Unverändert %</w:t>
            </w:r>
          </w:p>
        </w:tc>
        <w:tc>
          <w:tcPr>
            <w:tcW w:w="840" w:type="dxa"/>
            <w:tcBorders>
              <w:top w:val="nil"/>
              <w:left w:val="nil"/>
              <w:bottom w:val="single" w:sz="6" w:space="0" w:color="auto"/>
              <w:right w:val="single" w:sz="6" w:space="0" w:color="auto"/>
            </w:tcBorders>
            <w:vAlign w:val="center"/>
            <w:hideMark/>
          </w:tcPr>
          <w:p w14:paraId="74FB2592" w14:textId="05198E7A" w:rsidR="79CE8CE2" w:rsidRDefault="79CE8CE2" w:rsidP="79CE8CE2">
            <w:pPr>
              <w:spacing w:after="0"/>
              <w:jc w:val="center"/>
              <w:rPr>
                <w:rFonts w:ascii="Calibri" w:eastAsia="Calibri" w:hAnsi="Calibri" w:cs="Calibri"/>
                <w:color w:val="C00000"/>
                <w:sz w:val="20"/>
                <w:szCs w:val="20"/>
              </w:rPr>
            </w:pPr>
            <w:r w:rsidRPr="79CE8CE2">
              <w:rPr>
                <w:rFonts w:ascii="Calibri" w:eastAsia="Calibri" w:hAnsi="Calibri" w:cs="Calibri"/>
                <w:b/>
                <w:bCs/>
                <w:color w:val="C00000"/>
                <w:sz w:val="20"/>
                <w:szCs w:val="20"/>
              </w:rPr>
              <w:t>Rückgang in %</w:t>
            </w:r>
          </w:p>
        </w:tc>
        <w:tc>
          <w:tcPr>
            <w:tcW w:w="705" w:type="dxa"/>
            <w:tcBorders>
              <w:top w:val="nil"/>
              <w:left w:val="nil"/>
              <w:bottom w:val="single" w:sz="6" w:space="0" w:color="auto"/>
              <w:right w:val="single" w:sz="6" w:space="0" w:color="auto"/>
            </w:tcBorders>
            <w:vAlign w:val="center"/>
            <w:hideMark/>
          </w:tcPr>
          <w:p w14:paraId="4C5182EB" w14:textId="214F872C" w:rsidR="79CE8CE2" w:rsidRDefault="79CE8CE2" w:rsidP="79CE8CE2">
            <w:pPr>
              <w:spacing w:after="0"/>
              <w:jc w:val="center"/>
              <w:rPr>
                <w:rFonts w:ascii="Calibri" w:eastAsia="Calibri" w:hAnsi="Calibri" w:cs="Calibri"/>
                <w:color w:val="0070C0"/>
                <w:sz w:val="20"/>
                <w:szCs w:val="20"/>
              </w:rPr>
            </w:pPr>
            <w:r w:rsidRPr="79CE8CE2">
              <w:rPr>
                <w:rFonts w:ascii="Calibri" w:eastAsia="Calibri" w:hAnsi="Calibri" w:cs="Calibri"/>
                <w:b/>
                <w:bCs/>
                <w:color w:val="0070C0"/>
                <w:sz w:val="20"/>
                <w:szCs w:val="20"/>
              </w:rPr>
              <w:t>Neu</w:t>
            </w:r>
          </w:p>
        </w:tc>
        <w:tc>
          <w:tcPr>
            <w:tcW w:w="705" w:type="dxa"/>
            <w:tcBorders>
              <w:top w:val="nil"/>
              <w:left w:val="nil"/>
              <w:bottom w:val="single" w:sz="6" w:space="0" w:color="auto"/>
              <w:right w:val="single" w:sz="6" w:space="0" w:color="auto"/>
            </w:tcBorders>
            <w:vAlign w:val="center"/>
            <w:hideMark/>
          </w:tcPr>
          <w:p w14:paraId="4642CFB8" w14:textId="241AC65C"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b/>
                <w:bCs/>
                <w:color w:val="000000" w:themeColor="text1"/>
                <w:sz w:val="20"/>
                <w:szCs w:val="20"/>
              </w:rPr>
              <w:t>Top 10</w:t>
            </w:r>
          </w:p>
        </w:tc>
        <w:tc>
          <w:tcPr>
            <w:tcW w:w="705" w:type="dxa"/>
            <w:tcBorders>
              <w:top w:val="nil"/>
              <w:left w:val="nil"/>
              <w:bottom w:val="single" w:sz="6" w:space="0" w:color="auto"/>
              <w:right w:val="single" w:sz="6" w:space="0" w:color="auto"/>
            </w:tcBorders>
            <w:vAlign w:val="center"/>
            <w:hideMark/>
          </w:tcPr>
          <w:p w14:paraId="2E7C66B5" w14:textId="1928EC62"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b/>
                <w:bCs/>
                <w:color w:val="000000" w:themeColor="text1"/>
                <w:sz w:val="20"/>
                <w:szCs w:val="20"/>
              </w:rPr>
              <w:t>Top 20</w:t>
            </w:r>
          </w:p>
        </w:tc>
        <w:tc>
          <w:tcPr>
            <w:tcW w:w="705" w:type="dxa"/>
            <w:tcBorders>
              <w:top w:val="nil"/>
              <w:left w:val="nil"/>
              <w:bottom w:val="single" w:sz="6" w:space="0" w:color="auto"/>
              <w:right w:val="single" w:sz="6" w:space="0" w:color="auto"/>
            </w:tcBorders>
            <w:vAlign w:val="center"/>
            <w:hideMark/>
          </w:tcPr>
          <w:p w14:paraId="57916BFA" w14:textId="353B03C0"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b/>
                <w:bCs/>
                <w:color w:val="000000" w:themeColor="text1"/>
                <w:sz w:val="20"/>
                <w:szCs w:val="20"/>
              </w:rPr>
              <w:t>Top 50</w:t>
            </w:r>
          </w:p>
        </w:tc>
        <w:tc>
          <w:tcPr>
            <w:tcW w:w="705" w:type="dxa"/>
            <w:tcBorders>
              <w:top w:val="nil"/>
              <w:left w:val="nil"/>
              <w:bottom w:val="single" w:sz="6" w:space="0" w:color="auto"/>
              <w:right w:val="single" w:sz="6" w:space="0" w:color="auto"/>
            </w:tcBorders>
            <w:vAlign w:val="center"/>
            <w:hideMark/>
          </w:tcPr>
          <w:p w14:paraId="7C9A1A5B" w14:textId="6CA96775"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b/>
                <w:bCs/>
                <w:color w:val="000000" w:themeColor="text1"/>
                <w:sz w:val="20"/>
                <w:szCs w:val="20"/>
              </w:rPr>
              <w:t>Top 100</w:t>
            </w:r>
          </w:p>
        </w:tc>
        <w:tc>
          <w:tcPr>
            <w:tcW w:w="705" w:type="dxa"/>
            <w:tcBorders>
              <w:top w:val="nil"/>
              <w:left w:val="nil"/>
              <w:bottom w:val="single" w:sz="6" w:space="0" w:color="auto"/>
              <w:right w:val="single" w:sz="6" w:space="0" w:color="auto"/>
            </w:tcBorders>
            <w:vAlign w:val="center"/>
            <w:hideMark/>
          </w:tcPr>
          <w:p w14:paraId="7D1C86E4" w14:textId="014ECC7E"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b/>
                <w:bCs/>
                <w:color w:val="000000" w:themeColor="text1"/>
                <w:sz w:val="20"/>
                <w:szCs w:val="20"/>
              </w:rPr>
              <w:t>Top 200</w:t>
            </w:r>
          </w:p>
        </w:tc>
      </w:tr>
      <w:tr w:rsidR="00641ED4" w:rsidRPr="00641ED4" w14:paraId="6D2C90B3" w14:textId="77777777" w:rsidTr="79CE8CE2">
        <w:trPr>
          <w:trHeight w:val="300"/>
        </w:trPr>
        <w:tc>
          <w:tcPr>
            <w:tcW w:w="1620" w:type="dxa"/>
            <w:tcBorders>
              <w:top w:val="nil"/>
              <w:left w:val="single" w:sz="6" w:space="0" w:color="auto"/>
              <w:bottom w:val="single" w:sz="6" w:space="0" w:color="auto"/>
              <w:right w:val="single" w:sz="6" w:space="0" w:color="auto"/>
            </w:tcBorders>
            <w:vAlign w:val="bottom"/>
            <w:hideMark/>
          </w:tcPr>
          <w:p w14:paraId="325EA932" w14:textId="64685A8F" w:rsidR="79CE8CE2" w:rsidRDefault="79CE8CE2" w:rsidP="79CE8CE2">
            <w:pPr>
              <w:spacing w:after="0"/>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Großbritannien</w:t>
            </w:r>
          </w:p>
        </w:tc>
        <w:tc>
          <w:tcPr>
            <w:tcW w:w="885" w:type="dxa"/>
            <w:tcBorders>
              <w:top w:val="nil"/>
              <w:left w:val="nil"/>
              <w:bottom w:val="single" w:sz="6" w:space="0" w:color="auto"/>
              <w:right w:val="single" w:sz="6" w:space="0" w:color="auto"/>
            </w:tcBorders>
            <w:vAlign w:val="center"/>
            <w:hideMark/>
          </w:tcPr>
          <w:p w14:paraId="23CFF613" w14:textId="4FAC468C"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129</w:t>
            </w:r>
          </w:p>
        </w:tc>
        <w:tc>
          <w:tcPr>
            <w:tcW w:w="735" w:type="dxa"/>
            <w:tcBorders>
              <w:top w:val="nil"/>
              <w:left w:val="nil"/>
              <w:bottom w:val="single" w:sz="6" w:space="0" w:color="auto"/>
              <w:right w:val="single" w:sz="6" w:space="0" w:color="auto"/>
            </w:tcBorders>
            <w:vAlign w:val="bottom"/>
            <w:hideMark/>
          </w:tcPr>
          <w:p w14:paraId="00435308" w14:textId="5BF1F86F" w:rsidR="79CE8CE2" w:rsidRDefault="79CE8CE2" w:rsidP="79CE8CE2">
            <w:pPr>
              <w:spacing w:after="0"/>
              <w:jc w:val="center"/>
              <w:rPr>
                <w:rFonts w:ascii="Calibri" w:eastAsia="Calibri" w:hAnsi="Calibri" w:cs="Calibri"/>
                <w:color w:val="00B050"/>
                <w:sz w:val="20"/>
                <w:szCs w:val="20"/>
              </w:rPr>
            </w:pPr>
            <w:r w:rsidRPr="79CE8CE2">
              <w:rPr>
                <w:rFonts w:ascii="Calibri" w:eastAsia="Calibri" w:hAnsi="Calibri" w:cs="Calibri"/>
                <w:b/>
                <w:bCs/>
                <w:color w:val="00B050"/>
                <w:sz w:val="20"/>
                <w:szCs w:val="20"/>
              </w:rPr>
              <w:t>40,2</w:t>
            </w:r>
          </w:p>
        </w:tc>
        <w:tc>
          <w:tcPr>
            <w:tcW w:w="840" w:type="dxa"/>
            <w:tcBorders>
              <w:top w:val="nil"/>
              <w:left w:val="nil"/>
              <w:bottom w:val="single" w:sz="6" w:space="0" w:color="auto"/>
              <w:right w:val="single" w:sz="6" w:space="0" w:color="auto"/>
            </w:tcBorders>
            <w:vAlign w:val="bottom"/>
            <w:hideMark/>
          </w:tcPr>
          <w:p w14:paraId="212C7360" w14:textId="42EDF947" w:rsidR="79CE8CE2" w:rsidRDefault="79CE8CE2" w:rsidP="79CE8CE2">
            <w:pPr>
              <w:spacing w:after="0"/>
              <w:jc w:val="center"/>
              <w:rPr>
                <w:rFonts w:ascii="Calibri" w:eastAsia="Calibri" w:hAnsi="Calibri" w:cs="Calibri"/>
                <w:color w:val="FFC000"/>
                <w:sz w:val="20"/>
                <w:szCs w:val="20"/>
              </w:rPr>
            </w:pPr>
            <w:r w:rsidRPr="79CE8CE2">
              <w:rPr>
                <w:rFonts w:ascii="Calibri" w:eastAsia="Calibri" w:hAnsi="Calibri" w:cs="Calibri"/>
                <w:b/>
                <w:bCs/>
                <w:color w:val="FFC000"/>
                <w:sz w:val="20"/>
                <w:szCs w:val="20"/>
              </w:rPr>
              <w:t>5,9</w:t>
            </w:r>
          </w:p>
        </w:tc>
        <w:tc>
          <w:tcPr>
            <w:tcW w:w="840" w:type="dxa"/>
            <w:tcBorders>
              <w:top w:val="nil"/>
              <w:left w:val="nil"/>
              <w:bottom w:val="single" w:sz="6" w:space="0" w:color="auto"/>
              <w:right w:val="single" w:sz="6" w:space="0" w:color="auto"/>
            </w:tcBorders>
            <w:vAlign w:val="bottom"/>
            <w:hideMark/>
          </w:tcPr>
          <w:p w14:paraId="29BBC1B0" w14:textId="5B5A7618" w:rsidR="79CE8CE2" w:rsidRDefault="79CE8CE2" w:rsidP="79CE8CE2">
            <w:pPr>
              <w:spacing w:after="0"/>
              <w:jc w:val="center"/>
              <w:rPr>
                <w:rFonts w:ascii="Calibri" w:eastAsia="Calibri" w:hAnsi="Calibri" w:cs="Calibri"/>
                <w:color w:val="C00000"/>
                <w:sz w:val="20"/>
                <w:szCs w:val="20"/>
              </w:rPr>
            </w:pPr>
            <w:r w:rsidRPr="79CE8CE2">
              <w:rPr>
                <w:rFonts w:ascii="Calibri" w:eastAsia="Calibri" w:hAnsi="Calibri" w:cs="Calibri"/>
                <w:b/>
                <w:bCs/>
                <w:color w:val="C00000"/>
                <w:sz w:val="20"/>
                <w:szCs w:val="20"/>
              </w:rPr>
              <w:t>53,9</w:t>
            </w:r>
          </w:p>
        </w:tc>
        <w:tc>
          <w:tcPr>
            <w:tcW w:w="705" w:type="dxa"/>
            <w:tcBorders>
              <w:top w:val="nil"/>
              <w:left w:val="nil"/>
              <w:bottom w:val="single" w:sz="6" w:space="0" w:color="auto"/>
              <w:right w:val="single" w:sz="6" w:space="0" w:color="auto"/>
            </w:tcBorders>
            <w:vAlign w:val="bottom"/>
            <w:hideMark/>
          </w:tcPr>
          <w:p w14:paraId="0DA07376" w14:textId="702B05DD" w:rsidR="79CE8CE2" w:rsidRDefault="79CE8CE2" w:rsidP="79CE8CE2">
            <w:pPr>
              <w:spacing w:after="0"/>
              <w:jc w:val="center"/>
              <w:rPr>
                <w:rFonts w:ascii="Calibri" w:eastAsia="Calibri" w:hAnsi="Calibri" w:cs="Calibri"/>
                <w:color w:val="0070C0"/>
                <w:sz w:val="20"/>
                <w:szCs w:val="20"/>
              </w:rPr>
            </w:pPr>
            <w:r w:rsidRPr="79CE8CE2">
              <w:rPr>
                <w:rFonts w:ascii="Calibri" w:eastAsia="Calibri" w:hAnsi="Calibri" w:cs="Calibri"/>
                <w:b/>
                <w:bCs/>
                <w:color w:val="0070C0"/>
                <w:sz w:val="20"/>
                <w:szCs w:val="20"/>
              </w:rPr>
              <w:t>27</w:t>
            </w:r>
          </w:p>
        </w:tc>
        <w:tc>
          <w:tcPr>
            <w:tcW w:w="705" w:type="dxa"/>
            <w:tcBorders>
              <w:top w:val="nil"/>
              <w:left w:val="nil"/>
              <w:bottom w:val="single" w:sz="6" w:space="0" w:color="auto"/>
              <w:right w:val="single" w:sz="6" w:space="0" w:color="auto"/>
            </w:tcBorders>
            <w:vAlign w:val="bottom"/>
            <w:hideMark/>
          </w:tcPr>
          <w:p w14:paraId="28341C18" w14:textId="524C8D7B"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7</w:t>
            </w:r>
          </w:p>
        </w:tc>
        <w:tc>
          <w:tcPr>
            <w:tcW w:w="705" w:type="dxa"/>
            <w:tcBorders>
              <w:top w:val="nil"/>
              <w:left w:val="nil"/>
              <w:bottom w:val="single" w:sz="6" w:space="0" w:color="auto"/>
              <w:right w:val="single" w:sz="6" w:space="0" w:color="auto"/>
            </w:tcBorders>
            <w:vAlign w:val="bottom"/>
            <w:hideMark/>
          </w:tcPr>
          <w:p w14:paraId="28921B48" w14:textId="5F31EECD"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12</w:t>
            </w:r>
          </w:p>
        </w:tc>
        <w:tc>
          <w:tcPr>
            <w:tcW w:w="705" w:type="dxa"/>
            <w:tcBorders>
              <w:top w:val="nil"/>
              <w:left w:val="nil"/>
              <w:bottom w:val="single" w:sz="6" w:space="0" w:color="auto"/>
              <w:right w:val="single" w:sz="6" w:space="0" w:color="auto"/>
            </w:tcBorders>
            <w:vAlign w:val="bottom"/>
            <w:hideMark/>
          </w:tcPr>
          <w:p w14:paraId="1F85F049" w14:textId="217EB296"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21</w:t>
            </w:r>
          </w:p>
        </w:tc>
        <w:tc>
          <w:tcPr>
            <w:tcW w:w="705" w:type="dxa"/>
            <w:tcBorders>
              <w:top w:val="nil"/>
              <w:left w:val="nil"/>
              <w:bottom w:val="single" w:sz="6" w:space="0" w:color="auto"/>
              <w:right w:val="single" w:sz="6" w:space="0" w:color="auto"/>
            </w:tcBorders>
            <w:vAlign w:val="bottom"/>
            <w:hideMark/>
          </w:tcPr>
          <w:p w14:paraId="4742A9FE" w14:textId="50B0BD36"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30</w:t>
            </w:r>
          </w:p>
        </w:tc>
        <w:tc>
          <w:tcPr>
            <w:tcW w:w="705" w:type="dxa"/>
            <w:tcBorders>
              <w:top w:val="nil"/>
              <w:left w:val="nil"/>
              <w:bottom w:val="single" w:sz="6" w:space="0" w:color="auto"/>
              <w:right w:val="single" w:sz="6" w:space="0" w:color="auto"/>
            </w:tcBorders>
            <w:vAlign w:val="bottom"/>
            <w:hideMark/>
          </w:tcPr>
          <w:p w14:paraId="7DB9D2DB" w14:textId="1EF6201C"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48</w:t>
            </w:r>
          </w:p>
        </w:tc>
      </w:tr>
      <w:tr w:rsidR="00641ED4" w:rsidRPr="00641ED4" w14:paraId="50C46A19" w14:textId="77777777" w:rsidTr="79CE8CE2">
        <w:trPr>
          <w:trHeight w:val="300"/>
        </w:trPr>
        <w:tc>
          <w:tcPr>
            <w:tcW w:w="1620" w:type="dxa"/>
            <w:tcBorders>
              <w:top w:val="nil"/>
              <w:left w:val="single" w:sz="6" w:space="0" w:color="auto"/>
              <w:bottom w:val="single" w:sz="6" w:space="0" w:color="auto"/>
              <w:right w:val="single" w:sz="6" w:space="0" w:color="auto"/>
            </w:tcBorders>
            <w:vAlign w:val="bottom"/>
            <w:hideMark/>
          </w:tcPr>
          <w:p w14:paraId="48E7EEEA" w14:textId="0F90A244" w:rsidR="79CE8CE2" w:rsidRDefault="79CE8CE2" w:rsidP="79CE8CE2">
            <w:pPr>
              <w:spacing w:after="0"/>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Türk</w:t>
            </w:r>
            <w:r w:rsidR="00CE48F2">
              <w:rPr>
                <w:rFonts w:ascii="Calibri" w:eastAsia="Calibri" w:hAnsi="Calibri" w:cs="Calibri"/>
                <w:color w:val="000000" w:themeColor="text1"/>
                <w:sz w:val="20"/>
                <w:szCs w:val="20"/>
              </w:rPr>
              <w:t>ei</w:t>
            </w:r>
          </w:p>
        </w:tc>
        <w:tc>
          <w:tcPr>
            <w:tcW w:w="885" w:type="dxa"/>
            <w:tcBorders>
              <w:top w:val="nil"/>
              <w:left w:val="nil"/>
              <w:bottom w:val="single" w:sz="6" w:space="0" w:color="auto"/>
              <w:right w:val="single" w:sz="6" w:space="0" w:color="auto"/>
            </w:tcBorders>
            <w:vAlign w:val="center"/>
            <w:hideMark/>
          </w:tcPr>
          <w:p w14:paraId="073C3D4C" w14:textId="73697750"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107</w:t>
            </w:r>
          </w:p>
        </w:tc>
        <w:tc>
          <w:tcPr>
            <w:tcW w:w="735" w:type="dxa"/>
            <w:tcBorders>
              <w:top w:val="nil"/>
              <w:left w:val="nil"/>
              <w:bottom w:val="single" w:sz="6" w:space="0" w:color="auto"/>
              <w:right w:val="single" w:sz="6" w:space="0" w:color="auto"/>
            </w:tcBorders>
            <w:vAlign w:val="bottom"/>
            <w:hideMark/>
          </w:tcPr>
          <w:p w14:paraId="5FB44244" w14:textId="0836E9B4" w:rsidR="79CE8CE2" w:rsidRDefault="79CE8CE2" w:rsidP="79CE8CE2">
            <w:pPr>
              <w:spacing w:after="0"/>
              <w:jc w:val="center"/>
              <w:rPr>
                <w:rFonts w:ascii="Calibri" w:eastAsia="Calibri" w:hAnsi="Calibri" w:cs="Calibri"/>
                <w:color w:val="00B050"/>
                <w:sz w:val="20"/>
                <w:szCs w:val="20"/>
              </w:rPr>
            </w:pPr>
            <w:r w:rsidRPr="79CE8CE2">
              <w:rPr>
                <w:rFonts w:ascii="Calibri" w:eastAsia="Calibri" w:hAnsi="Calibri" w:cs="Calibri"/>
                <w:b/>
                <w:bCs/>
                <w:color w:val="00B050"/>
                <w:sz w:val="20"/>
                <w:szCs w:val="20"/>
              </w:rPr>
              <w:t>26,8</w:t>
            </w:r>
          </w:p>
        </w:tc>
        <w:tc>
          <w:tcPr>
            <w:tcW w:w="840" w:type="dxa"/>
            <w:tcBorders>
              <w:top w:val="nil"/>
              <w:left w:val="nil"/>
              <w:bottom w:val="single" w:sz="6" w:space="0" w:color="auto"/>
              <w:right w:val="single" w:sz="6" w:space="0" w:color="auto"/>
            </w:tcBorders>
            <w:vAlign w:val="bottom"/>
            <w:hideMark/>
          </w:tcPr>
          <w:p w14:paraId="2EE1068D" w14:textId="74FED1E8" w:rsidR="79CE8CE2" w:rsidRDefault="79CE8CE2" w:rsidP="79CE8CE2">
            <w:pPr>
              <w:spacing w:after="0"/>
              <w:jc w:val="center"/>
              <w:rPr>
                <w:rFonts w:ascii="Calibri" w:eastAsia="Calibri" w:hAnsi="Calibri" w:cs="Calibri"/>
                <w:color w:val="FFC000"/>
                <w:sz w:val="20"/>
                <w:szCs w:val="20"/>
              </w:rPr>
            </w:pPr>
            <w:r w:rsidRPr="79CE8CE2">
              <w:rPr>
                <w:rFonts w:ascii="Calibri" w:eastAsia="Calibri" w:hAnsi="Calibri" w:cs="Calibri"/>
                <w:b/>
                <w:bCs/>
                <w:color w:val="FFC000"/>
                <w:sz w:val="20"/>
                <w:szCs w:val="20"/>
              </w:rPr>
              <w:t>47,9</w:t>
            </w:r>
          </w:p>
        </w:tc>
        <w:tc>
          <w:tcPr>
            <w:tcW w:w="840" w:type="dxa"/>
            <w:tcBorders>
              <w:top w:val="nil"/>
              <w:left w:val="nil"/>
              <w:bottom w:val="single" w:sz="6" w:space="0" w:color="auto"/>
              <w:right w:val="single" w:sz="6" w:space="0" w:color="auto"/>
            </w:tcBorders>
            <w:vAlign w:val="bottom"/>
            <w:hideMark/>
          </w:tcPr>
          <w:p w14:paraId="6EF0DDD6" w14:textId="08D1CC9F" w:rsidR="79CE8CE2" w:rsidRDefault="79CE8CE2" w:rsidP="79CE8CE2">
            <w:pPr>
              <w:spacing w:after="0"/>
              <w:jc w:val="center"/>
              <w:rPr>
                <w:rFonts w:ascii="Calibri" w:eastAsia="Calibri" w:hAnsi="Calibri" w:cs="Calibri"/>
                <w:color w:val="C00000"/>
                <w:sz w:val="20"/>
                <w:szCs w:val="20"/>
              </w:rPr>
            </w:pPr>
            <w:r w:rsidRPr="79CE8CE2">
              <w:rPr>
                <w:rFonts w:ascii="Calibri" w:eastAsia="Calibri" w:hAnsi="Calibri" w:cs="Calibri"/>
                <w:b/>
                <w:bCs/>
                <w:color w:val="C00000"/>
                <w:sz w:val="20"/>
                <w:szCs w:val="20"/>
              </w:rPr>
              <w:t>25,4</w:t>
            </w:r>
          </w:p>
        </w:tc>
        <w:tc>
          <w:tcPr>
            <w:tcW w:w="705" w:type="dxa"/>
            <w:tcBorders>
              <w:top w:val="nil"/>
              <w:left w:val="nil"/>
              <w:bottom w:val="single" w:sz="6" w:space="0" w:color="auto"/>
              <w:right w:val="single" w:sz="6" w:space="0" w:color="auto"/>
            </w:tcBorders>
            <w:vAlign w:val="bottom"/>
            <w:hideMark/>
          </w:tcPr>
          <w:p w14:paraId="604F48AF" w14:textId="4A70EB64" w:rsidR="79CE8CE2" w:rsidRDefault="79CE8CE2" w:rsidP="79CE8CE2">
            <w:pPr>
              <w:spacing w:after="0"/>
              <w:jc w:val="center"/>
              <w:rPr>
                <w:rFonts w:ascii="Calibri" w:eastAsia="Calibri" w:hAnsi="Calibri" w:cs="Calibri"/>
                <w:color w:val="0070C0"/>
                <w:sz w:val="20"/>
                <w:szCs w:val="20"/>
              </w:rPr>
            </w:pPr>
            <w:r w:rsidRPr="79CE8CE2">
              <w:rPr>
                <w:rFonts w:ascii="Calibri" w:eastAsia="Calibri" w:hAnsi="Calibri" w:cs="Calibri"/>
                <w:b/>
                <w:bCs/>
                <w:color w:val="0070C0"/>
                <w:sz w:val="20"/>
                <w:szCs w:val="20"/>
              </w:rPr>
              <w:t>36</w:t>
            </w:r>
          </w:p>
        </w:tc>
        <w:tc>
          <w:tcPr>
            <w:tcW w:w="705" w:type="dxa"/>
            <w:tcBorders>
              <w:top w:val="nil"/>
              <w:left w:val="nil"/>
              <w:bottom w:val="single" w:sz="6" w:space="0" w:color="auto"/>
              <w:right w:val="single" w:sz="6" w:space="0" w:color="auto"/>
            </w:tcBorders>
            <w:vAlign w:val="bottom"/>
            <w:hideMark/>
          </w:tcPr>
          <w:p w14:paraId="4F985F79" w14:textId="11EEB4AB"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5E8B4396" w14:textId="389367CF"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2077BD12" w14:textId="5791AF54"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533B71DA" w14:textId="33781610"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3CD5079C" w14:textId="16877B03"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7</w:t>
            </w:r>
          </w:p>
        </w:tc>
      </w:tr>
      <w:tr w:rsidR="00641ED4" w:rsidRPr="00641ED4" w14:paraId="26B79BE7" w14:textId="77777777" w:rsidTr="79CE8CE2">
        <w:trPr>
          <w:trHeight w:val="300"/>
        </w:trPr>
        <w:tc>
          <w:tcPr>
            <w:tcW w:w="1620" w:type="dxa"/>
            <w:tcBorders>
              <w:top w:val="nil"/>
              <w:left w:val="single" w:sz="6" w:space="0" w:color="auto"/>
              <w:bottom w:val="single" w:sz="6" w:space="0" w:color="auto"/>
              <w:right w:val="single" w:sz="6" w:space="0" w:color="auto"/>
            </w:tcBorders>
            <w:vAlign w:val="bottom"/>
            <w:hideMark/>
          </w:tcPr>
          <w:p w14:paraId="265CB0AD" w14:textId="3951494A" w:rsidR="79CE8CE2" w:rsidRDefault="79CE8CE2" w:rsidP="79CE8CE2">
            <w:pPr>
              <w:spacing w:after="0"/>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Deutschland</w:t>
            </w:r>
          </w:p>
        </w:tc>
        <w:tc>
          <w:tcPr>
            <w:tcW w:w="885" w:type="dxa"/>
            <w:tcBorders>
              <w:top w:val="nil"/>
              <w:left w:val="nil"/>
              <w:bottom w:val="single" w:sz="6" w:space="0" w:color="auto"/>
              <w:right w:val="single" w:sz="6" w:space="0" w:color="auto"/>
            </w:tcBorders>
            <w:vAlign w:val="center"/>
            <w:hideMark/>
          </w:tcPr>
          <w:p w14:paraId="5802324F" w14:textId="2760F8F7"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102</w:t>
            </w:r>
          </w:p>
        </w:tc>
        <w:tc>
          <w:tcPr>
            <w:tcW w:w="735" w:type="dxa"/>
            <w:tcBorders>
              <w:top w:val="nil"/>
              <w:left w:val="nil"/>
              <w:bottom w:val="single" w:sz="6" w:space="0" w:color="auto"/>
              <w:right w:val="single" w:sz="6" w:space="0" w:color="auto"/>
            </w:tcBorders>
            <w:vAlign w:val="bottom"/>
            <w:hideMark/>
          </w:tcPr>
          <w:p w14:paraId="01ADDDD3" w14:textId="3BF92CAC" w:rsidR="79CE8CE2" w:rsidRDefault="79CE8CE2" w:rsidP="79CE8CE2">
            <w:pPr>
              <w:spacing w:after="0"/>
              <w:jc w:val="center"/>
              <w:rPr>
                <w:rFonts w:ascii="Calibri" w:eastAsia="Calibri" w:hAnsi="Calibri" w:cs="Calibri"/>
                <w:color w:val="00B050"/>
                <w:sz w:val="20"/>
                <w:szCs w:val="20"/>
              </w:rPr>
            </w:pPr>
            <w:r w:rsidRPr="79CE8CE2">
              <w:rPr>
                <w:rFonts w:ascii="Calibri" w:eastAsia="Calibri" w:hAnsi="Calibri" w:cs="Calibri"/>
                <w:b/>
                <w:bCs/>
                <w:color w:val="00B050"/>
                <w:sz w:val="20"/>
                <w:szCs w:val="20"/>
              </w:rPr>
              <w:t>44,2</w:t>
            </w:r>
          </w:p>
        </w:tc>
        <w:tc>
          <w:tcPr>
            <w:tcW w:w="840" w:type="dxa"/>
            <w:tcBorders>
              <w:top w:val="nil"/>
              <w:left w:val="nil"/>
              <w:bottom w:val="single" w:sz="6" w:space="0" w:color="auto"/>
              <w:right w:val="single" w:sz="6" w:space="0" w:color="auto"/>
            </w:tcBorders>
            <w:vAlign w:val="bottom"/>
            <w:hideMark/>
          </w:tcPr>
          <w:p w14:paraId="5320C5E8" w14:textId="246C6265" w:rsidR="79CE8CE2" w:rsidRDefault="79CE8CE2" w:rsidP="79CE8CE2">
            <w:pPr>
              <w:spacing w:after="0"/>
              <w:jc w:val="center"/>
              <w:rPr>
                <w:rFonts w:ascii="Calibri" w:eastAsia="Calibri" w:hAnsi="Calibri" w:cs="Calibri"/>
                <w:color w:val="FFC000"/>
                <w:sz w:val="20"/>
                <w:szCs w:val="20"/>
              </w:rPr>
            </w:pPr>
            <w:r w:rsidRPr="79CE8CE2">
              <w:rPr>
                <w:rFonts w:ascii="Calibri" w:eastAsia="Calibri" w:hAnsi="Calibri" w:cs="Calibri"/>
                <w:b/>
                <w:bCs/>
                <w:color w:val="FFC000"/>
                <w:sz w:val="20"/>
                <w:szCs w:val="20"/>
              </w:rPr>
              <w:t>3,8</w:t>
            </w:r>
          </w:p>
        </w:tc>
        <w:tc>
          <w:tcPr>
            <w:tcW w:w="840" w:type="dxa"/>
            <w:tcBorders>
              <w:top w:val="nil"/>
              <w:left w:val="nil"/>
              <w:bottom w:val="single" w:sz="6" w:space="0" w:color="auto"/>
              <w:right w:val="single" w:sz="6" w:space="0" w:color="auto"/>
            </w:tcBorders>
            <w:vAlign w:val="bottom"/>
            <w:hideMark/>
          </w:tcPr>
          <w:p w14:paraId="4648588B" w14:textId="565CCA4C" w:rsidR="79CE8CE2" w:rsidRDefault="79CE8CE2" w:rsidP="79CE8CE2">
            <w:pPr>
              <w:spacing w:after="0"/>
              <w:jc w:val="center"/>
              <w:rPr>
                <w:rFonts w:ascii="Calibri" w:eastAsia="Calibri" w:hAnsi="Calibri" w:cs="Calibri"/>
                <w:color w:val="C00000"/>
                <w:sz w:val="20"/>
                <w:szCs w:val="20"/>
              </w:rPr>
            </w:pPr>
            <w:r w:rsidRPr="79CE8CE2">
              <w:rPr>
                <w:rFonts w:ascii="Calibri" w:eastAsia="Calibri" w:hAnsi="Calibri" w:cs="Calibri"/>
                <w:b/>
                <w:bCs/>
                <w:color w:val="C00000"/>
                <w:sz w:val="20"/>
                <w:szCs w:val="20"/>
              </w:rPr>
              <w:t>51,9</w:t>
            </w:r>
          </w:p>
        </w:tc>
        <w:tc>
          <w:tcPr>
            <w:tcW w:w="705" w:type="dxa"/>
            <w:tcBorders>
              <w:top w:val="nil"/>
              <w:left w:val="nil"/>
              <w:bottom w:val="single" w:sz="6" w:space="0" w:color="auto"/>
              <w:right w:val="single" w:sz="6" w:space="0" w:color="auto"/>
            </w:tcBorders>
            <w:vAlign w:val="bottom"/>
            <w:hideMark/>
          </w:tcPr>
          <w:p w14:paraId="7D4297C9" w14:textId="0F8CD3C5" w:rsidR="79CE8CE2" w:rsidRDefault="79CE8CE2" w:rsidP="79CE8CE2">
            <w:pPr>
              <w:spacing w:after="0"/>
              <w:jc w:val="center"/>
              <w:rPr>
                <w:rFonts w:ascii="Calibri" w:eastAsia="Calibri" w:hAnsi="Calibri" w:cs="Calibri"/>
                <w:color w:val="0070C0"/>
                <w:sz w:val="20"/>
                <w:szCs w:val="20"/>
              </w:rPr>
            </w:pPr>
            <w:r w:rsidRPr="79CE8CE2">
              <w:rPr>
                <w:rFonts w:ascii="Calibri" w:eastAsia="Calibri" w:hAnsi="Calibri" w:cs="Calibri"/>
                <w:b/>
                <w:bCs/>
                <w:color w:val="0070C0"/>
                <w:sz w:val="20"/>
                <w:szCs w:val="20"/>
              </w:rPr>
              <w:t>50</w:t>
            </w:r>
          </w:p>
        </w:tc>
        <w:tc>
          <w:tcPr>
            <w:tcW w:w="705" w:type="dxa"/>
            <w:tcBorders>
              <w:top w:val="nil"/>
              <w:left w:val="nil"/>
              <w:bottom w:val="single" w:sz="6" w:space="0" w:color="auto"/>
              <w:right w:val="single" w:sz="6" w:space="0" w:color="auto"/>
            </w:tcBorders>
            <w:vAlign w:val="bottom"/>
            <w:hideMark/>
          </w:tcPr>
          <w:p w14:paraId="6E59BEFD" w14:textId="0AE970D4"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22028476" w14:textId="77BC71E9"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2</w:t>
            </w:r>
          </w:p>
        </w:tc>
        <w:tc>
          <w:tcPr>
            <w:tcW w:w="705" w:type="dxa"/>
            <w:tcBorders>
              <w:top w:val="nil"/>
              <w:left w:val="nil"/>
              <w:bottom w:val="single" w:sz="6" w:space="0" w:color="auto"/>
              <w:right w:val="single" w:sz="6" w:space="0" w:color="auto"/>
            </w:tcBorders>
            <w:vAlign w:val="bottom"/>
            <w:hideMark/>
          </w:tcPr>
          <w:p w14:paraId="69294546" w14:textId="4CA4B2DB"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6</w:t>
            </w:r>
          </w:p>
        </w:tc>
        <w:tc>
          <w:tcPr>
            <w:tcW w:w="705" w:type="dxa"/>
            <w:tcBorders>
              <w:top w:val="nil"/>
              <w:left w:val="nil"/>
              <w:bottom w:val="single" w:sz="6" w:space="0" w:color="auto"/>
              <w:right w:val="single" w:sz="6" w:space="0" w:color="auto"/>
            </w:tcBorders>
            <w:vAlign w:val="bottom"/>
            <w:hideMark/>
          </w:tcPr>
          <w:p w14:paraId="364C43EB" w14:textId="5BAB485A"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15</w:t>
            </w:r>
          </w:p>
        </w:tc>
        <w:tc>
          <w:tcPr>
            <w:tcW w:w="705" w:type="dxa"/>
            <w:tcBorders>
              <w:top w:val="nil"/>
              <w:left w:val="nil"/>
              <w:bottom w:val="single" w:sz="6" w:space="0" w:color="auto"/>
              <w:right w:val="single" w:sz="6" w:space="0" w:color="auto"/>
            </w:tcBorders>
            <w:vAlign w:val="bottom"/>
            <w:hideMark/>
          </w:tcPr>
          <w:p w14:paraId="0FF1D4FD" w14:textId="5C723BF4"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27</w:t>
            </w:r>
          </w:p>
        </w:tc>
      </w:tr>
      <w:tr w:rsidR="00641ED4" w:rsidRPr="00641ED4" w14:paraId="49E5704C" w14:textId="77777777" w:rsidTr="79CE8CE2">
        <w:trPr>
          <w:trHeight w:val="300"/>
        </w:trPr>
        <w:tc>
          <w:tcPr>
            <w:tcW w:w="1620" w:type="dxa"/>
            <w:tcBorders>
              <w:top w:val="nil"/>
              <w:left w:val="single" w:sz="6" w:space="0" w:color="auto"/>
              <w:bottom w:val="single" w:sz="6" w:space="0" w:color="auto"/>
              <w:right w:val="single" w:sz="6" w:space="0" w:color="auto"/>
            </w:tcBorders>
            <w:vAlign w:val="bottom"/>
            <w:hideMark/>
          </w:tcPr>
          <w:p w14:paraId="5F6CB2BC" w14:textId="5B3A7B30" w:rsidR="79CE8CE2" w:rsidRDefault="79CE8CE2" w:rsidP="79CE8CE2">
            <w:pPr>
              <w:spacing w:after="0"/>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Italien</w:t>
            </w:r>
          </w:p>
        </w:tc>
        <w:tc>
          <w:tcPr>
            <w:tcW w:w="885" w:type="dxa"/>
            <w:tcBorders>
              <w:top w:val="nil"/>
              <w:left w:val="nil"/>
              <w:bottom w:val="single" w:sz="6" w:space="0" w:color="auto"/>
              <w:right w:val="single" w:sz="6" w:space="0" w:color="auto"/>
            </w:tcBorders>
            <w:vAlign w:val="center"/>
            <w:hideMark/>
          </w:tcPr>
          <w:p w14:paraId="752457BE" w14:textId="0FAA3037"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65</w:t>
            </w:r>
          </w:p>
        </w:tc>
        <w:tc>
          <w:tcPr>
            <w:tcW w:w="735" w:type="dxa"/>
            <w:tcBorders>
              <w:top w:val="nil"/>
              <w:left w:val="nil"/>
              <w:bottom w:val="single" w:sz="6" w:space="0" w:color="auto"/>
              <w:right w:val="single" w:sz="6" w:space="0" w:color="auto"/>
            </w:tcBorders>
            <w:vAlign w:val="bottom"/>
            <w:hideMark/>
          </w:tcPr>
          <w:p w14:paraId="3B512A25" w14:textId="165F2AAE" w:rsidR="79CE8CE2" w:rsidRDefault="79CE8CE2" w:rsidP="79CE8CE2">
            <w:pPr>
              <w:spacing w:after="0"/>
              <w:jc w:val="center"/>
              <w:rPr>
                <w:rFonts w:ascii="Calibri" w:eastAsia="Calibri" w:hAnsi="Calibri" w:cs="Calibri"/>
                <w:color w:val="00B050"/>
                <w:sz w:val="20"/>
                <w:szCs w:val="20"/>
              </w:rPr>
            </w:pPr>
            <w:r w:rsidRPr="79CE8CE2">
              <w:rPr>
                <w:rFonts w:ascii="Calibri" w:eastAsia="Calibri" w:hAnsi="Calibri" w:cs="Calibri"/>
                <w:b/>
                <w:bCs/>
                <w:color w:val="00B050"/>
                <w:sz w:val="20"/>
                <w:szCs w:val="20"/>
              </w:rPr>
              <w:t>27,5</w:t>
            </w:r>
          </w:p>
        </w:tc>
        <w:tc>
          <w:tcPr>
            <w:tcW w:w="840" w:type="dxa"/>
            <w:tcBorders>
              <w:top w:val="nil"/>
              <w:left w:val="nil"/>
              <w:bottom w:val="single" w:sz="6" w:space="0" w:color="auto"/>
              <w:right w:val="single" w:sz="6" w:space="0" w:color="auto"/>
            </w:tcBorders>
            <w:vAlign w:val="bottom"/>
            <w:hideMark/>
          </w:tcPr>
          <w:p w14:paraId="19136ACB" w14:textId="55BDBBE1" w:rsidR="79CE8CE2" w:rsidRDefault="79CE8CE2" w:rsidP="79CE8CE2">
            <w:pPr>
              <w:spacing w:after="0"/>
              <w:jc w:val="center"/>
              <w:rPr>
                <w:rFonts w:ascii="Calibri" w:eastAsia="Calibri" w:hAnsi="Calibri" w:cs="Calibri"/>
                <w:color w:val="FFC000"/>
                <w:sz w:val="20"/>
                <w:szCs w:val="20"/>
              </w:rPr>
            </w:pPr>
            <w:r w:rsidRPr="79CE8CE2">
              <w:rPr>
                <w:rFonts w:ascii="Calibri" w:eastAsia="Calibri" w:hAnsi="Calibri" w:cs="Calibri"/>
                <w:b/>
                <w:bCs/>
                <w:color w:val="FFC000"/>
                <w:sz w:val="20"/>
                <w:szCs w:val="20"/>
              </w:rPr>
              <w:t>3,9</w:t>
            </w:r>
          </w:p>
        </w:tc>
        <w:tc>
          <w:tcPr>
            <w:tcW w:w="840" w:type="dxa"/>
            <w:tcBorders>
              <w:top w:val="nil"/>
              <w:left w:val="nil"/>
              <w:bottom w:val="single" w:sz="6" w:space="0" w:color="auto"/>
              <w:right w:val="single" w:sz="6" w:space="0" w:color="auto"/>
            </w:tcBorders>
            <w:vAlign w:val="bottom"/>
            <w:hideMark/>
          </w:tcPr>
          <w:p w14:paraId="0EED4417" w14:textId="65E53312" w:rsidR="79CE8CE2" w:rsidRDefault="79CE8CE2" w:rsidP="79CE8CE2">
            <w:pPr>
              <w:spacing w:after="0"/>
              <w:jc w:val="center"/>
              <w:rPr>
                <w:rFonts w:ascii="Calibri" w:eastAsia="Calibri" w:hAnsi="Calibri" w:cs="Calibri"/>
                <w:color w:val="C00000"/>
                <w:sz w:val="20"/>
                <w:szCs w:val="20"/>
              </w:rPr>
            </w:pPr>
            <w:r w:rsidRPr="79CE8CE2">
              <w:rPr>
                <w:rFonts w:ascii="Calibri" w:eastAsia="Calibri" w:hAnsi="Calibri" w:cs="Calibri"/>
                <w:b/>
                <w:bCs/>
                <w:color w:val="C00000"/>
                <w:sz w:val="20"/>
                <w:szCs w:val="20"/>
              </w:rPr>
              <w:t>68,6</w:t>
            </w:r>
          </w:p>
        </w:tc>
        <w:tc>
          <w:tcPr>
            <w:tcW w:w="705" w:type="dxa"/>
            <w:tcBorders>
              <w:top w:val="nil"/>
              <w:left w:val="nil"/>
              <w:bottom w:val="single" w:sz="6" w:space="0" w:color="auto"/>
              <w:right w:val="single" w:sz="6" w:space="0" w:color="auto"/>
            </w:tcBorders>
            <w:vAlign w:val="bottom"/>
            <w:hideMark/>
          </w:tcPr>
          <w:p w14:paraId="23CE46E2" w14:textId="3274E51B" w:rsidR="79CE8CE2" w:rsidRDefault="79CE8CE2" w:rsidP="79CE8CE2">
            <w:pPr>
              <w:spacing w:after="0"/>
              <w:jc w:val="center"/>
              <w:rPr>
                <w:rFonts w:ascii="Calibri" w:eastAsia="Calibri" w:hAnsi="Calibri" w:cs="Calibri"/>
                <w:color w:val="0070C0"/>
                <w:sz w:val="20"/>
                <w:szCs w:val="20"/>
              </w:rPr>
            </w:pPr>
            <w:r w:rsidRPr="79CE8CE2">
              <w:rPr>
                <w:rFonts w:ascii="Calibri" w:eastAsia="Calibri" w:hAnsi="Calibri" w:cs="Calibri"/>
                <w:b/>
                <w:bCs/>
                <w:color w:val="0070C0"/>
                <w:sz w:val="20"/>
                <w:szCs w:val="20"/>
              </w:rPr>
              <w:t>14</w:t>
            </w:r>
          </w:p>
        </w:tc>
        <w:tc>
          <w:tcPr>
            <w:tcW w:w="705" w:type="dxa"/>
            <w:tcBorders>
              <w:top w:val="nil"/>
              <w:left w:val="nil"/>
              <w:bottom w:val="single" w:sz="6" w:space="0" w:color="auto"/>
              <w:right w:val="single" w:sz="6" w:space="0" w:color="auto"/>
            </w:tcBorders>
            <w:vAlign w:val="bottom"/>
            <w:hideMark/>
          </w:tcPr>
          <w:p w14:paraId="0B201235" w14:textId="5A854688"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493376F6" w14:textId="3F9F9224"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611141FB" w14:textId="505FE0BF"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w:t>
            </w:r>
          </w:p>
        </w:tc>
        <w:tc>
          <w:tcPr>
            <w:tcW w:w="705" w:type="dxa"/>
            <w:tcBorders>
              <w:top w:val="nil"/>
              <w:left w:val="nil"/>
              <w:bottom w:val="single" w:sz="6" w:space="0" w:color="auto"/>
              <w:right w:val="single" w:sz="6" w:space="0" w:color="auto"/>
            </w:tcBorders>
            <w:vAlign w:val="bottom"/>
            <w:hideMark/>
          </w:tcPr>
          <w:p w14:paraId="392B9242" w14:textId="191D2436"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4</w:t>
            </w:r>
          </w:p>
        </w:tc>
        <w:tc>
          <w:tcPr>
            <w:tcW w:w="705" w:type="dxa"/>
            <w:tcBorders>
              <w:top w:val="nil"/>
              <w:left w:val="nil"/>
              <w:bottom w:val="single" w:sz="6" w:space="0" w:color="auto"/>
              <w:right w:val="single" w:sz="6" w:space="0" w:color="auto"/>
            </w:tcBorders>
            <w:vAlign w:val="bottom"/>
            <w:hideMark/>
          </w:tcPr>
          <w:p w14:paraId="4845BA4B" w14:textId="071C552B"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14</w:t>
            </w:r>
          </w:p>
        </w:tc>
      </w:tr>
      <w:tr w:rsidR="00641ED4" w:rsidRPr="00641ED4" w14:paraId="032447AF" w14:textId="77777777" w:rsidTr="79CE8CE2">
        <w:trPr>
          <w:trHeight w:val="300"/>
        </w:trPr>
        <w:tc>
          <w:tcPr>
            <w:tcW w:w="1620" w:type="dxa"/>
            <w:tcBorders>
              <w:top w:val="nil"/>
              <w:left w:val="single" w:sz="6" w:space="0" w:color="auto"/>
              <w:bottom w:val="single" w:sz="6" w:space="0" w:color="auto"/>
              <w:right w:val="single" w:sz="6" w:space="0" w:color="auto"/>
            </w:tcBorders>
            <w:vAlign w:val="bottom"/>
            <w:hideMark/>
          </w:tcPr>
          <w:p w14:paraId="66C8C589" w14:textId="383CC156" w:rsidR="79CE8CE2" w:rsidRDefault="79CE8CE2" w:rsidP="79CE8CE2">
            <w:pPr>
              <w:spacing w:after="0"/>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Spanien</w:t>
            </w:r>
          </w:p>
        </w:tc>
        <w:tc>
          <w:tcPr>
            <w:tcW w:w="885" w:type="dxa"/>
            <w:tcBorders>
              <w:top w:val="nil"/>
              <w:left w:val="nil"/>
              <w:bottom w:val="single" w:sz="6" w:space="0" w:color="auto"/>
              <w:right w:val="single" w:sz="6" w:space="0" w:color="auto"/>
            </w:tcBorders>
            <w:vAlign w:val="center"/>
            <w:hideMark/>
          </w:tcPr>
          <w:p w14:paraId="65DD1A37" w14:textId="1215229A"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62</w:t>
            </w:r>
          </w:p>
        </w:tc>
        <w:tc>
          <w:tcPr>
            <w:tcW w:w="735" w:type="dxa"/>
            <w:tcBorders>
              <w:top w:val="nil"/>
              <w:left w:val="nil"/>
              <w:bottom w:val="single" w:sz="6" w:space="0" w:color="auto"/>
              <w:right w:val="single" w:sz="6" w:space="0" w:color="auto"/>
            </w:tcBorders>
            <w:vAlign w:val="bottom"/>
            <w:hideMark/>
          </w:tcPr>
          <w:p w14:paraId="056A87B4" w14:textId="3E38E120" w:rsidR="79CE8CE2" w:rsidRDefault="79CE8CE2" w:rsidP="79CE8CE2">
            <w:pPr>
              <w:spacing w:after="0"/>
              <w:jc w:val="center"/>
              <w:rPr>
                <w:rFonts w:ascii="Calibri" w:eastAsia="Calibri" w:hAnsi="Calibri" w:cs="Calibri"/>
                <w:color w:val="00B050"/>
                <w:sz w:val="20"/>
                <w:szCs w:val="20"/>
              </w:rPr>
            </w:pPr>
            <w:r w:rsidRPr="79CE8CE2">
              <w:rPr>
                <w:rFonts w:ascii="Calibri" w:eastAsia="Calibri" w:hAnsi="Calibri" w:cs="Calibri"/>
                <w:b/>
                <w:bCs/>
                <w:color w:val="00B050"/>
                <w:sz w:val="20"/>
                <w:szCs w:val="20"/>
              </w:rPr>
              <w:t>29,5</w:t>
            </w:r>
          </w:p>
        </w:tc>
        <w:tc>
          <w:tcPr>
            <w:tcW w:w="840" w:type="dxa"/>
            <w:tcBorders>
              <w:top w:val="nil"/>
              <w:left w:val="nil"/>
              <w:bottom w:val="single" w:sz="6" w:space="0" w:color="auto"/>
              <w:right w:val="single" w:sz="6" w:space="0" w:color="auto"/>
            </w:tcBorders>
            <w:vAlign w:val="bottom"/>
            <w:hideMark/>
          </w:tcPr>
          <w:p w14:paraId="028B07E9" w14:textId="20B78EBC" w:rsidR="79CE8CE2" w:rsidRDefault="79CE8CE2" w:rsidP="79CE8CE2">
            <w:pPr>
              <w:spacing w:after="0"/>
              <w:jc w:val="center"/>
              <w:rPr>
                <w:rFonts w:ascii="Calibri" w:eastAsia="Calibri" w:hAnsi="Calibri" w:cs="Calibri"/>
                <w:color w:val="FFC000"/>
                <w:sz w:val="20"/>
                <w:szCs w:val="20"/>
              </w:rPr>
            </w:pPr>
            <w:r w:rsidRPr="79CE8CE2">
              <w:rPr>
                <w:rFonts w:ascii="Calibri" w:eastAsia="Calibri" w:hAnsi="Calibri" w:cs="Calibri"/>
                <w:b/>
                <w:bCs/>
                <w:color w:val="FFC000"/>
                <w:sz w:val="20"/>
                <w:szCs w:val="20"/>
              </w:rPr>
              <w:t>0,0</w:t>
            </w:r>
          </w:p>
        </w:tc>
        <w:tc>
          <w:tcPr>
            <w:tcW w:w="840" w:type="dxa"/>
            <w:tcBorders>
              <w:top w:val="nil"/>
              <w:left w:val="nil"/>
              <w:bottom w:val="single" w:sz="6" w:space="0" w:color="auto"/>
              <w:right w:val="single" w:sz="6" w:space="0" w:color="auto"/>
            </w:tcBorders>
            <w:vAlign w:val="bottom"/>
            <w:hideMark/>
          </w:tcPr>
          <w:p w14:paraId="596D285A" w14:textId="14861EE6" w:rsidR="79CE8CE2" w:rsidRDefault="79CE8CE2" w:rsidP="79CE8CE2">
            <w:pPr>
              <w:spacing w:after="0"/>
              <w:jc w:val="center"/>
              <w:rPr>
                <w:rFonts w:ascii="Calibri" w:eastAsia="Calibri" w:hAnsi="Calibri" w:cs="Calibri"/>
                <w:color w:val="C00000"/>
                <w:sz w:val="20"/>
                <w:szCs w:val="20"/>
              </w:rPr>
            </w:pPr>
            <w:r w:rsidRPr="79CE8CE2">
              <w:rPr>
                <w:rFonts w:ascii="Calibri" w:eastAsia="Calibri" w:hAnsi="Calibri" w:cs="Calibri"/>
                <w:b/>
                <w:bCs/>
                <w:color w:val="C00000"/>
                <w:sz w:val="20"/>
                <w:szCs w:val="20"/>
              </w:rPr>
              <w:t>70,5</w:t>
            </w:r>
          </w:p>
        </w:tc>
        <w:tc>
          <w:tcPr>
            <w:tcW w:w="705" w:type="dxa"/>
            <w:tcBorders>
              <w:top w:val="nil"/>
              <w:left w:val="nil"/>
              <w:bottom w:val="single" w:sz="6" w:space="0" w:color="auto"/>
              <w:right w:val="single" w:sz="6" w:space="0" w:color="auto"/>
            </w:tcBorders>
            <w:vAlign w:val="bottom"/>
            <w:hideMark/>
          </w:tcPr>
          <w:p w14:paraId="7A69B0B1" w14:textId="1F24234A" w:rsidR="79CE8CE2" w:rsidRDefault="79CE8CE2" w:rsidP="79CE8CE2">
            <w:pPr>
              <w:spacing w:after="0"/>
              <w:jc w:val="center"/>
              <w:rPr>
                <w:rFonts w:ascii="Calibri" w:eastAsia="Calibri" w:hAnsi="Calibri" w:cs="Calibri"/>
                <w:color w:val="0070C0"/>
                <w:sz w:val="20"/>
                <w:szCs w:val="20"/>
              </w:rPr>
            </w:pPr>
            <w:r w:rsidRPr="79CE8CE2">
              <w:rPr>
                <w:rFonts w:ascii="Calibri" w:eastAsia="Calibri" w:hAnsi="Calibri" w:cs="Calibri"/>
                <w:b/>
                <w:bCs/>
                <w:color w:val="0070C0"/>
                <w:sz w:val="20"/>
                <w:szCs w:val="20"/>
              </w:rPr>
              <w:t>18</w:t>
            </w:r>
          </w:p>
        </w:tc>
        <w:tc>
          <w:tcPr>
            <w:tcW w:w="705" w:type="dxa"/>
            <w:tcBorders>
              <w:top w:val="nil"/>
              <w:left w:val="nil"/>
              <w:bottom w:val="single" w:sz="6" w:space="0" w:color="auto"/>
              <w:right w:val="single" w:sz="6" w:space="0" w:color="auto"/>
            </w:tcBorders>
            <w:vAlign w:val="bottom"/>
            <w:hideMark/>
          </w:tcPr>
          <w:p w14:paraId="58CF611B" w14:textId="3AC970AD"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4B8A284C" w14:textId="32F1004F"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5E0C2F46" w14:textId="03D13837"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3E74AF63" w14:textId="2B5BBD02"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5</w:t>
            </w:r>
          </w:p>
        </w:tc>
        <w:tc>
          <w:tcPr>
            <w:tcW w:w="705" w:type="dxa"/>
            <w:tcBorders>
              <w:top w:val="nil"/>
              <w:left w:val="nil"/>
              <w:bottom w:val="single" w:sz="6" w:space="0" w:color="auto"/>
              <w:right w:val="single" w:sz="6" w:space="0" w:color="auto"/>
            </w:tcBorders>
            <w:vAlign w:val="bottom"/>
            <w:hideMark/>
          </w:tcPr>
          <w:p w14:paraId="56BC4B2A" w14:textId="3655F1C1"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17</w:t>
            </w:r>
          </w:p>
        </w:tc>
      </w:tr>
      <w:tr w:rsidR="00641ED4" w:rsidRPr="00641ED4" w14:paraId="3888B85D" w14:textId="77777777" w:rsidTr="79CE8CE2">
        <w:trPr>
          <w:trHeight w:val="300"/>
        </w:trPr>
        <w:tc>
          <w:tcPr>
            <w:tcW w:w="1620" w:type="dxa"/>
            <w:tcBorders>
              <w:top w:val="nil"/>
              <w:left w:val="single" w:sz="6" w:space="0" w:color="auto"/>
              <w:bottom w:val="single" w:sz="6" w:space="0" w:color="auto"/>
              <w:right w:val="single" w:sz="6" w:space="0" w:color="auto"/>
            </w:tcBorders>
            <w:vAlign w:val="bottom"/>
            <w:hideMark/>
          </w:tcPr>
          <w:p w14:paraId="733E7DC8" w14:textId="12C024BC" w:rsidR="79CE8CE2" w:rsidRDefault="79CE8CE2" w:rsidP="79CE8CE2">
            <w:pPr>
              <w:spacing w:after="0"/>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Frankreich</w:t>
            </w:r>
          </w:p>
        </w:tc>
        <w:tc>
          <w:tcPr>
            <w:tcW w:w="885" w:type="dxa"/>
            <w:tcBorders>
              <w:top w:val="nil"/>
              <w:left w:val="nil"/>
              <w:bottom w:val="single" w:sz="6" w:space="0" w:color="auto"/>
              <w:right w:val="single" w:sz="6" w:space="0" w:color="auto"/>
            </w:tcBorders>
            <w:vAlign w:val="center"/>
            <w:hideMark/>
          </w:tcPr>
          <w:p w14:paraId="40E8B28D" w14:textId="7403A91C"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60</w:t>
            </w:r>
          </w:p>
        </w:tc>
        <w:tc>
          <w:tcPr>
            <w:tcW w:w="735" w:type="dxa"/>
            <w:tcBorders>
              <w:top w:val="nil"/>
              <w:left w:val="nil"/>
              <w:bottom w:val="single" w:sz="6" w:space="0" w:color="auto"/>
              <w:right w:val="single" w:sz="6" w:space="0" w:color="auto"/>
            </w:tcBorders>
            <w:vAlign w:val="bottom"/>
            <w:hideMark/>
          </w:tcPr>
          <w:p w14:paraId="59677241" w14:textId="229E2FA1" w:rsidR="79CE8CE2" w:rsidRDefault="79CE8CE2" w:rsidP="79CE8CE2">
            <w:pPr>
              <w:spacing w:after="0"/>
              <w:jc w:val="center"/>
              <w:rPr>
                <w:rFonts w:ascii="Calibri" w:eastAsia="Calibri" w:hAnsi="Calibri" w:cs="Calibri"/>
                <w:color w:val="00B050"/>
                <w:sz w:val="20"/>
                <w:szCs w:val="20"/>
              </w:rPr>
            </w:pPr>
            <w:r w:rsidRPr="79CE8CE2">
              <w:rPr>
                <w:rFonts w:ascii="Calibri" w:eastAsia="Calibri" w:hAnsi="Calibri" w:cs="Calibri"/>
                <w:b/>
                <w:bCs/>
                <w:color w:val="00B050"/>
                <w:sz w:val="20"/>
                <w:szCs w:val="20"/>
              </w:rPr>
              <w:t>22,7</w:t>
            </w:r>
          </w:p>
        </w:tc>
        <w:tc>
          <w:tcPr>
            <w:tcW w:w="840" w:type="dxa"/>
            <w:tcBorders>
              <w:top w:val="nil"/>
              <w:left w:val="nil"/>
              <w:bottom w:val="single" w:sz="6" w:space="0" w:color="auto"/>
              <w:right w:val="single" w:sz="6" w:space="0" w:color="auto"/>
            </w:tcBorders>
            <w:vAlign w:val="bottom"/>
            <w:hideMark/>
          </w:tcPr>
          <w:p w14:paraId="3FA413B1" w14:textId="75E7760B" w:rsidR="79CE8CE2" w:rsidRDefault="79CE8CE2" w:rsidP="79CE8CE2">
            <w:pPr>
              <w:spacing w:after="0"/>
              <w:jc w:val="center"/>
              <w:rPr>
                <w:rFonts w:ascii="Calibri" w:eastAsia="Calibri" w:hAnsi="Calibri" w:cs="Calibri"/>
                <w:color w:val="FFC000"/>
                <w:sz w:val="20"/>
                <w:szCs w:val="20"/>
              </w:rPr>
            </w:pPr>
            <w:r w:rsidRPr="79CE8CE2">
              <w:rPr>
                <w:rFonts w:ascii="Calibri" w:eastAsia="Calibri" w:hAnsi="Calibri" w:cs="Calibri"/>
                <w:b/>
                <w:bCs/>
                <w:color w:val="FFC000"/>
                <w:sz w:val="20"/>
                <w:szCs w:val="20"/>
              </w:rPr>
              <w:t>11,4</w:t>
            </w:r>
          </w:p>
        </w:tc>
        <w:tc>
          <w:tcPr>
            <w:tcW w:w="840" w:type="dxa"/>
            <w:tcBorders>
              <w:top w:val="nil"/>
              <w:left w:val="nil"/>
              <w:bottom w:val="single" w:sz="6" w:space="0" w:color="auto"/>
              <w:right w:val="single" w:sz="6" w:space="0" w:color="auto"/>
            </w:tcBorders>
            <w:vAlign w:val="bottom"/>
            <w:hideMark/>
          </w:tcPr>
          <w:p w14:paraId="2B7B0B17" w14:textId="55B779E5" w:rsidR="79CE8CE2" w:rsidRDefault="79CE8CE2" w:rsidP="79CE8CE2">
            <w:pPr>
              <w:spacing w:after="0"/>
              <w:jc w:val="center"/>
              <w:rPr>
                <w:rFonts w:ascii="Calibri" w:eastAsia="Calibri" w:hAnsi="Calibri" w:cs="Calibri"/>
                <w:color w:val="C00000"/>
                <w:sz w:val="20"/>
                <w:szCs w:val="20"/>
              </w:rPr>
            </w:pPr>
            <w:r w:rsidRPr="79CE8CE2">
              <w:rPr>
                <w:rFonts w:ascii="Calibri" w:eastAsia="Calibri" w:hAnsi="Calibri" w:cs="Calibri"/>
                <w:b/>
                <w:bCs/>
                <w:color w:val="C00000"/>
                <w:sz w:val="20"/>
                <w:szCs w:val="20"/>
              </w:rPr>
              <w:t>65,9</w:t>
            </w:r>
          </w:p>
        </w:tc>
        <w:tc>
          <w:tcPr>
            <w:tcW w:w="705" w:type="dxa"/>
            <w:tcBorders>
              <w:top w:val="nil"/>
              <w:left w:val="nil"/>
              <w:bottom w:val="single" w:sz="6" w:space="0" w:color="auto"/>
              <w:right w:val="single" w:sz="6" w:space="0" w:color="auto"/>
            </w:tcBorders>
            <w:vAlign w:val="bottom"/>
            <w:hideMark/>
          </w:tcPr>
          <w:p w14:paraId="47BBC569" w14:textId="54F4E46E" w:rsidR="79CE8CE2" w:rsidRDefault="79CE8CE2" w:rsidP="79CE8CE2">
            <w:pPr>
              <w:spacing w:after="0"/>
              <w:jc w:val="center"/>
              <w:rPr>
                <w:rFonts w:ascii="Calibri" w:eastAsia="Calibri" w:hAnsi="Calibri" w:cs="Calibri"/>
                <w:color w:val="0070C0"/>
                <w:sz w:val="20"/>
                <w:szCs w:val="20"/>
              </w:rPr>
            </w:pPr>
            <w:r w:rsidRPr="79CE8CE2">
              <w:rPr>
                <w:rFonts w:ascii="Calibri" w:eastAsia="Calibri" w:hAnsi="Calibri" w:cs="Calibri"/>
                <w:b/>
                <w:bCs/>
                <w:color w:val="0070C0"/>
                <w:sz w:val="20"/>
                <w:szCs w:val="20"/>
              </w:rPr>
              <w:t>16</w:t>
            </w:r>
          </w:p>
        </w:tc>
        <w:tc>
          <w:tcPr>
            <w:tcW w:w="705" w:type="dxa"/>
            <w:tcBorders>
              <w:top w:val="nil"/>
              <w:left w:val="nil"/>
              <w:bottom w:val="single" w:sz="6" w:space="0" w:color="auto"/>
              <w:right w:val="single" w:sz="6" w:space="0" w:color="auto"/>
            </w:tcBorders>
            <w:vAlign w:val="bottom"/>
            <w:hideMark/>
          </w:tcPr>
          <w:p w14:paraId="6BEDBB80" w14:textId="74A6DAE6"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w:t>
            </w:r>
          </w:p>
        </w:tc>
        <w:tc>
          <w:tcPr>
            <w:tcW w:w="705" w:type="dxa"/>
            <w:tcBorders>
              <w:top w:val="nil"/>
              <w:left w:val="nil"/>
              <w:bottom w:val="single" w:sz="6" w:space="0" w:color="auto"/>
              <w:right w:val="single" w:sz="6" w:space="0" w:color="auto"/>
            </w:tcBorders>
            <w:vAlign w:val="bottom"/>
            <w:hideMark/>
          </w:tcPr>
          <w:p w14:paraId="4A2FBC9A" w14:textId="786C3DF5"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2</w:t>
            </w:r>
          </w:p>
        </w:tc>
        <w:tc>
          <w:tcPr>
            <w:tcW w:w="705" w:type="dxa"/>
            <w:tcBorders>
              <w:top w:val="nil"/>
              <w:left w:val="nil"/>
              <w:bottom w:val="single" w:sz="6" w:space="0" w:color="auto"/>
              <w:right w:val="single" w:sz="6" w:space="0" w:color="auto"/>
            </w:tcBorders>
            <w:vAlign w:val="bottom"/>
            <w:hideMark/>
          </w:tcPr>
          <w:p w14:paraId="356E7A20" w14:textId="7D101A16"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4</w:t>
            </w:r>
          </w:p>
        </w:tc>
        <w:tc>
          <w:tcPr>
            <w:tcW w:w="705" w:type="dxa"/>
            <w:tcBorders>
              <w:top w:val="nil"/>
              <w:left w:val="nil"/>
              <w:bottom w:val="single" w:sz="6" w:space="0" w:color="auto"/>
              <w:right w:val="single" w:sz="6" w:space="0" w:color="auto"/>
            </w:tcBorders>
            <w:vAlign w:val="bottom"/>
            <w:hideMark/>
          </w:tcPr>
          <w:p w14:paraId="69E33777" w14:textId="79BE730F"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4</w:t>
            </w:r>
          </w:p>
        </w:tc>
        <w:tc>
          <w:tcPr>
            <w:tcW w:w="705" w:type="dxa"/>
            <w:tcBorders>
              <w:top w:val="nil"/>
              <w:left w:val="nil"/>
              <w:bottom w:val="single" w:sz="6" w:space="0" w:color="auto"/>
              <w:right w:val="single" w:sz="6" w:space="0" w:color="auto"/>
            </w:tcBorders>
            <w:vAlign w:val="bottom"/>
            <w:hideMark/>
          </w:tcPr>
          <w:p w14:paraId="6D65C8DE" w14:textId="1E1F4FFE"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12</w:t>
            </w:r>
          </w:p>
        </w:tc>
      </w:tr>
      <w:tr w:rsidR="00641ED4" w:rsidRPr="00641ED4" w14:paraId="06FCDB28" w14:textId="77777777" w:rsidTr="79CE8CE2">
        <w:trPr>
          <w:trHeight w:val="300"/>
        </w:trPr>
        <w:tc>
          <w:tcPr>
            <w:tcW w:w="1620" w:type="dxa"/>
            <w:tcBorders>
              <w:top w:val="nil"/>
              <w:left w:val="single" w:sz="6" w:space="0" w:color="auto"/>
              <w:bottom w:val="single" w:sz="6" w:space="0" w:color="auto"/>
              <w:right w:val="single" w:sz="6" w:space="0" w:color="auto"/>
            </w:tcBorders>
            <w:vAlign w:val="bottom"/>
            <w:hideMark/>
          </w:tcPr>
          <w:p w14:paraId="4298DA27" w14:textId="441517C5" w:rsidR="79CE8CE2" w:rsidRDefault="79CE8CE2" w:rsidP="79CE8CE2">
            <w:pPr>
              <w:spacing w:after="0"/>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Ukraine</w:t>
            </w:r>
          </w:p>
        </w:tc>
        <w:tc>
          <w:tcPr>
            <w:tcW w:w="885" w:type="dxa"/>
            <w:tcBorders>
              <w:top w:val="nil"/>
              <w:left w:val="nil"/>
              <w:bottom w:val="single" w:sz="6" w:space="0" w:color="auto"/>
              <w:right w:val="single" w:sz="6" w:space="0" w:color="auto"/>
            </w:tcBorders>
            <w:vAlign w:val="center"/>
            <w:hideMark/>
          </w:tcPr>
          <w:p w14:paraId="07FC5AA3" w14:textId="43715CE2"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58</w:t>
            </w:r>
          </w:p>
        </w:tc>
        <w:tc>
          <w:tcPr>
            <w:tcW w:w="735" w:type="dxa"/>
            <w:tcBorders>
              <w:top w:val="nil"/>
              <w:left w:val="nil"/>
              <w:bottom w:val="single" w:sz="6" w:space="0" w:color="auto"/>
              <w:right w:val="single" w:sz="6" w:space="0" w:color="auto"/>
            </w:tcBorders>
            <w:vAlign w:val="bottom"/>
            <w:hideMark/>
          </w:tcPr>
          <w:p w14:paraId="161E4ECA" w14:textId="50A68EA6" w:rsidR="79CE8CE2" w:rsidRDefault="79CE8CE2" w:rsidP="79CE8CE2">
            <w:pPr>
              <w:spacing w:after="0"/>
              <w:jc w:val="center"/>
              <w:rPr>
                <w:rFonts w:ascii="Calibri" w:eastAsia="Calibri" w:hAnsi="Calibri" w:cs="Calibri"/>
                <w:color w:val="00B050"/>
                <w:sz w:val="20"/>
                <w:szCs w:val="20"/>
              </w:rPr>
            </w:pPr>
            <w:r w:rsidRPr="79CE8CE2">
              <w:rPr>
                <w:rFonts w:ascii="Calibri" w:eastAsia="Calibri" w:hAnsi="Calibri" w:cs="Calibri"/>
                <w:b/>
                <w:bCs/>
                <w:color w:val="00B050"/>
                <w:sz w:val="20"/>
                <w:szCs w:val="20"/>
              </w:rPr>
              <w:t>0,0</w:t>
            </w:r>
          </w:p>
        </w:tc>
        <w:tc>
          <w:tcPr>
            <w:tcW w:w="840" w:type="dxa"/>
            <w:tcBorders>
              <w:top w:val="nil"/>
              <w:left w:val="nil"/>
              <w:bottom w:val="single" w:sz="6" w:space="0" w:color="auto"/>
              <w:right w:val="single" w:sz="6" w:space="0" w:color="auto"/>
            </w:tcBorders>
            <w:vAlign w:val="bottom"/>
            <w:hideMark/>
          </w:tcPr>
          <w:p w14:paraId="710738E9" w14:textId="2E3F9FF5" w:rsidR="79CE8CE2" w:rsidRDefault="79CE8CE2" w:rsidP="79CE8CE2">
            <w:pPr>
              <w:spacing w:after="0"/>
              <w:jc w:val="center"/>
              <w:rPr>
                <w:rFonts w:ascii="Calibri" w:eastAsia="Calibri" w:hAnsi="Calibri" w:cs="Calibri"/>
                <w:color w:val="FFC000"/>
                <w:sz w:val="20"/>
                <w:szCs w:val="20"/>
              </w:rPr>
            </w:pPr>
            <w:r w:rsidRPr="79CE8CE2">
              <w:rPr>
                <w:rFonts w:ascii="Calibri" w:eastAsia="Calibri" w:hAnsi="Calibri" w:cs="Calibri"/>
                <w:b/>
                <w:bCs/>
                <w:color w:val="FFC000"/>
                <w:sz w:val="20"/>
                <w:szCs w:val="20"/>
              </w:rPr>
              <w:t>55,6</w:t>
            </w:r>
          </w:p>
        </w:tc>
        <w:tc>
          <w:tcPr>
            <w:tcW w:w="840" w:type="dxa"/>
            <w:tcBorders>
              <w:top w:val="nil"/>
              <w:left w:val="nil"/>
              <w:bottom w:val="single" w:sz="6" w:space="0" w:color="auto"/>
              <w:right w:val="single" w:sz="6" w:space="0" w:color="auto"/>
            </w:tcBorders>
            <w:vAlign w:val="bottom"/>
            <w:hideMark/>
          </w:tcPr>
          <w:p w14:paraId="3A5AD068" w14:textId="70425C81" w:rsidR="79CE8CE2" w:rsidRDefault="79CE8CE2" w:rsidP="79CE8CE2">
            <w:pPr>
              <w:spacing w:after="0"/>
              <w:jc w:val="center"/>
              <w:rPr>
                <w:rFonts w:ascii="Calibri" w:eastAsia="Calibri" w:hAnsi="Calibri" w:cs="Calibri"/>
                <w:color w:val="C00000"/>
                <w:sz w:val="20"/>
                <w:szCs w:val="20"/>
              </w:rPr>
            </w:pPr>
            <w:r w:rsidRPr="79CE8CE2">
              <w:rPr>
                <w:rFonts w:ascii="Calibri" w:eastAsia="Calibri" w:hAnsi="Calibri" w:cs="Calibri"/>
                <w:b/>
                <w:bCs/>
                <w:color w:val="C00000"/>
                <w:sz w:val="20"/>
                <w:szCs w:val="20"/>
              </w:rPr>
              <w:t>44,4</w:t>
            </w:r>
          </w:p>
        </w:tc>
        <w:tc>
          <w:tcPr>
            <w:tcW w:w="705" w:type="dxa"/>
            <w:tcBorders>
              <w:top w:val="nil"/>
              <w:left w:val="nil"/>
              <w:bottom w:val="single" w:sz="6" w:space="0" w:color="auto"/>
              <w:right w:val="single" w:sz="6" w:space="0" w:color="auto"/>
            </w:tcBorders>
            <w:vAlign w:val="bottom"/>
            <w:hideMark/>
          </w:tcPr>
          <w:p w14:paraId="41998265" w14:textId="1DE1FA0E" w:rsidR="79CE8CE2" w:rsidRDefault="79CE8CE2" w:rsidP="79CE8CE2">
            <w:pPr>
              <w:spacing w:after="0"/>
              <w:jc w:val="center"/>
              <w:rPr>
                <w:rFonts w:ascii="Calibri" w:eastAsia="Calibri" w:hAnsi="Calibri" w:cs="Calibri"/>
                <w:color w:val="0070C0"/>
                <w:sz w:val="20"/>
                <w:szCs w:val="20"/>
              </w:rPr>
            </w:pPr>
            <w:r w:rsidRPr="79CE8CE2">
              <w:rPr>
                <w:rFonts w:ascii="Calibri" w:eastAsia="Calibri" w:hAnsi="Calibri" w:cs="Calibri"/>
                <w:b/>
                <w:bCs/>
                <w:color w:val="0070C0"/>
                <w:sz w:val="20"/>
                <w:szCs w:val="20"/>
              </w:rPr>
              <w:t>22</w:t>
            </w:r>
          </w:p>
        </w:tc>
        <w:tc>
          <w:tcPr>
            <w:tcW w:w="705" w:type="dxa"/>
            <w:tcBorders>
              <w:top w:val="nil"/>
              <w:left w:val="nil"/>
              <w:bottom w:val="single" w:sz="6" w:space="0" w:color="auto"/>
              <w:right w:val="single" w:sz="6" w:space="0" w:color="auto"/>
            </w:tcBorders>
            <w:vAlign w:val="bottom"/>
            <w:hideMark/>
          </w:tcPr>
          <w:p w14:paraId="6F93D990" w14:textId="52D1E7F9"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539DB5FB" w14:textId="24EFAF5E"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7DB5CEA5" w14:textId="5AB3A3BA"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71B3F7A6" w14:textId="56503E26"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5FE24663" w14:textId="29748334"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r>
      <w:tr w:rsidR="00641ED4" w:rsidRPr="00641ED4" w14:paraId="49B2BDF7" w14:textId="77777777" w:rsidTr="79CE8CE2">
        <w:trPr>
          <w:trHeight w:val="300"/>
        </w:trPr>
        <w:tc>
          <w:tcPr>
            <w:tcW w:w="1620" w:type="dxa"/>
            <w:tcBorders>
              <w:top w:val="nil"/>
              <w:left w:val="single" w:sz="6" w:space="0" w:color="auto"/>
              <w:bottom w:val="single" w:sz="6" w:space="0" w:color="auto"/>
              <w:right w:val="single" w:sz="6" w:space="0" w:color="auto"/>
            </w:tcBorders>
            <w:vAlign w:val="bottom"/>
            <w:hideMark/>
          </w:tcPr>
          <w:p w14:paraId="6FA22DBA" w14:textId="2E02330F" w:rsidR="79CE8CE2" w:rsidRDefault="79CE8CE2" w:rsidP="79CE8CE2">
            <w:pPr>
              <w:spacing w:after="0"/>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Polen</w:t>
            </w:r>
          </w:p>
        </w:tc>
        <w:tc>
          <w:tcPr>
            <w:tcW w:w="885" w:type="dxa"/>
            <w:tcBorders>
              <w:top w:val="nil"/>
              <w:left w:val="nil"/>
              <w:bottom w:val="single" w:sz="6" w:space="0" w:color="auto"/>
              <w:right w:val="single" w:sz="6" w:space="0" w:color="auto"/>
            </w:tcBorders>
            <w:vAlign w:val="center"/>
            <w:hideMark/>
          </w:tcPr>
          <w:p w14:paraId="34E02F82" w14:textId="129D2E91"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40</w:t>
            </w:r>
          </w:p>
        </w:tc>
        <w:tc>
          <w:tcPr>
            <w:tcW w:w="735" w:type="dxa"/>
            <w:tcBorders>
              <w:top w:val="nil"/>
              <w:left w:val="nil"/>
              <w:bottom w:val="single" w:sz="6" w:space="0" w:color="auto"/>
              <w:right w:val="single" w:sz="6" w:space="0" w:color="auto"/>
            </w:tcBorders>
            <w:vAlign w:val="bottom"/>
            <w:hideMark/>
          </w:tcPr>
          <w:p w14:paraId="1997349A" w14:textId="760C7FB0" w:rsidR="79CE8CE2" w:rsidRDefault="79CE8CE2" w:rsidP="79CE8CE2">
            <w:pPr>
              <w:spacing w:after="0"/>
              <w:jc w:val="center"/>
              <w:rPr>
                <w:rFonts w:ascii="Calibri" w:eastAsia="Calibri" w:hAnsi="Calibri" w:cs="Calibri"/>
                <w:color w:val="00B050"/>
                <w:sz w:val="20"/>
                <w:szCs w:val="20"/>
              </w:rPr>
            </w:pPr>
            <w:r w:rsidRPr="79CE8CE2">
              <w:rPr>
                <w:rFonts w:ascii="Calibri" w:eastAsia="Calibri" w:hAnsi="Calibri" w:cs="Calibri"/>
                <w:b/>
                <w:bCs/>
                <w:color w:val="00B050"/>
                <w:sz w:val="20"/>
                <w:szCs w:val="20"/>
              </w:rPr>
              <w:t>38,7</w:t>
            </w:r>
          </w:p>
        </w:tc>
        <w:tc>
          <w:tcPr>
            <w:tcW w:w="840" w:type="dxa"/>
            <w:tcBorders>
              <w:top w:val="nil"/>
              <w:left w:val="nil"/>
              <w:bottom w:val="single" w:sz="6" w:space="0" w:color="auto"/>
              <w:right w:val="single" w:sz="6" w:space="0" w:color="auto"/>
            </w:tcBorders>
            <w:vAlign w:val="bottom"/>
            <w:hideMark/>
          </w:tcPr>
          <w:p w14:paraId="68825CFB" w14:textId="309A0A63" w:rsidR="79CE8CE2" w:rsidRDefault="79CE8CE2" w:rsidP="79CE8CE2">
            <w:pPr>
              <w:spacing w:after="0"/>
              <w:jc w:val="center"/>
              <w:rPr>
                <w:rFonts w:ascii="Calibri" w:eastAsia="Calibri" w:hAnsi="Calibri" w:cs="Calibri"/>
                <w:color w:val="FFC000"/>
                <w:sz w:val="20"/>
                <w:szCs w:val="20"/>
              </w:rPr>
            </w:pPr>
            <w:r w:rsidRPr="79CE8CE2">
              <w:rPr>
                <w:rFonts w:ascii="Calibri" w:eastAsia="Calibri" w:hAnsi="Calibri" w:cs="Calibri"/>
                <w:b/>
                <w:bCs/>
                <w:color w:val="FFC000"/>
                <w:sz w:val="20"/>
                <w:szCs w:val="20"/>
              </w:rPr>
              <w:t>3,2</w:t>
            </w:r>
          </w:p>
        </w:tc>
        <w:tc>
          <w:tcPr>
            <w:tcW w:w="840" w:type="dxa"/>
            <w:tcBorders>
              <w:top w:val="nil"/>
              <w:left w:val="nil"/>
              <w:bottom w:val="single" w:sz="6" w:space="0" w:color="auto"/>
              <w:right w:val="single" w:sz="6" w:space="0" w:color="auto"/>
            </w:tcBorders>
            <w:vAlign w:val="bottom"/>
            <w:hideMark/>
          </w:tcPr>
          <w:p w14:paraId="1F885294" w14:textId="0DC68D74" w:rsidR="79CE8CE2" w:rsidRDefault="79CE8CE2" w:rsidP="79CE8CE2">
            <w:pPr>
              <w:spacing w:after="0"/>
              <w:jc w:val="center"/>
              <w:rPr>
                <w:rFonts w:ascii="Calibri" w:eastAsia="Calibri" w:hAnsi="Calibri" w:cs="Calibri"/>
                <w:color w:val="C00000"/>
                <w:sz w:val="20"/>
                <w:szCs w:val="20"/>
              </w:rPr>
            </w:pPr>
            <w:r w:rsidRPr="79CE8CE2">
              <w:rPr>
                <w:rFonts w:ascii="Calibri" w:eastAsia="Calibri" w:hAnsi="Calibri" w:cs="Calibri"/>
                <w:b/>
                <w:bCs/>
                <w:color w:val="C00000"/>
                <w:sz w:val="20"/>
                <w:szCs w:val="20"/>
              </w:rPr>
              <w:t>58,1</w:t>
            </w:r>
          </w:p>
        </w:tc>
        <w:tc>
          <w:tcPr>
            <w:tcW w:w="705" w:type="dxa"/>
            <w:tcBorders>
              <w:top w:val="nil"/>
              <w:left w:val="nil"/>
              <w:bottom w:val="single" w:sz="6" w:space="0" w:color="auto"/>
              <w:right w:val="single" w:sz="6" w:space="0" w:color="auto"/>
            </w:tcBorders>
            <w:vAlign w:val="bottom"/>
            <w:hideMark/>
          </w:tcPr>
          <w:p w14:paraId="795435A8" w14:textId="7CBC535E" w:rsidR="79CE8CE2" w:rsidRDefault="79CE8CE2" w:rsidP="79CE8CE2">
            <w:pPr>
              <w:spacing w:after="0"/>
              <w:jc w:val="center"/>
              <w:rPr>
                <w:rFonts w:ascii="Calibri" w:eastAsia="Calibri" w:hAnsi="Calibri" w:cs="Calibri"/>
                <w:color w:val="0070C0"/>
                <w:sz w:val="20"/>
                <w:szCs w:val="20"/>
              </w:rPr>
            </w:pPr>
            <w:r w:rsidRPr="79CE8CE2">
              <w:rPr>
                <w:rFonts w:ascii="Calibri" w:eastAsia="Calibri" w:hAnsi="Calibri" w:cs="Calibri"/>
                <w:b/>
                <w:bCs/>
                <w:color w:val="0070C0"/>
                <w:sz w:val="20"/>
                <w:szCs w:val="20"/>
              </w:rPr>
              <w:t>9</w:t>
            </w:r>
          </w:p>
        </w:tc>
        <w:tc>
          <w:tcPr>
            <w:tcW w:w="705" w:type="dxa"/>
            <w:tcBorders>
              <w:top w:val="nil"/>
              <w:left w:val="nil"/>
              <w:bottom w:val="single" w:sz="6" w:space="0" w:color="auto"/>
              <w:right w:val="single" w:sz="6" w:space="0" w:color="auto"/>
            </w:tcBorders>
            <w:vAlign w:val="bottom"/>
            <w:hideMark/>
          </w:tcPr>
          <w:p w14:paraId="658F8DD9" w14:textId="74672D50"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60314BB3" w14:textId="3355B01B"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46E32CA0" w14:textId="6257F42D"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2F4F2636" w14:textId="2B0059FB"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158C6DDC" w14:textId="321760E5"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2</w:t>
            </w:r>
          </w:p>
        </w:tc>
      </w:tr>
      <w:tr w:rsidR="00641ED4" w:rsidRPr="00641ED4" w14:paraId="4F3E87BB" w14:textId="77777777" w:rsidTr="79CE8CE2">
        <w:trPr>
          <w:trHeight w:val="300"/>
        </w:trPr>
        <w:tc>
          <w:tcPr>
            <w:tcW w:w="1620" w:type="dxa"/>
            <w:tcBorders>
              <w:top w:val="nil"/>
              <w:left w:val="single" w:sz="6" w:space="0" w:color="auto"/>
              <w:bottom w:val="single" w:sz="6" w:space="0" w:color="auto"/>
              <w:right w:val="single" w:sz="6" w:space="0" w:color="auto"/>
            </w:tcBorders>
            <w:vAlign w:val="bottom"/>
            <w:hideMark/>
          </w:tcPr>
          <w:p w14:paraId="5FEBE881" w14:textId="2084F34E" w:rsidR="79CE8CE2" w:rsidRDefault="79CE8CE2" w:rsidP="79CE8CE2">
            <w:pPr>
              <w:spacing w:after="0"/>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Portugal</w:t>
            </w:r>
          </w:p>
        </w:tc>
        <w:tc>
          <w:tcPr>
            <w:tcW w:w="885" w:type="dxa"/>
            <w:tcBorders>
              <w:top w:val="nil"/>
              <w:left w:val="nil"/>
              <w:bottom w:val="single" w:sz="6" w:space="0" w:color="auto"/>
              <w:right w:val="single" w:sz="6" w:space="0" w:color="auto"/>
            </w:tcBorders>
            <w:vAlign w:val="center"/>
            <w:hideMark/>
          </w:tcPr>
          <w:p w14:paraId="04DD021B" w14:textId="1A0874CF"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26</w:t>
            </w:r>
          </w:p>
        </w:tc>
        <w:tc>
          <w:tcPr>
            <w:tcW w:w="735" w:type="dxa"/>
            <w:tcBorders>
              <w:top w:val="nil"/>
              <w:left w:val="nil"/>
              <w:bottom w:val="single" w:sz="6" w:space="0" w:color="auto"/>
              <w:right w:val="single" w:sz="6" w:space="0" w:color="auto"/>
            </w:tcBorders>
            <w:vAlign w:val="bottom"/>
            <w:hideMark/>
          </w:tcPr>
          <w:p w14:paraId="00A4A883" w14:textId="4E15C595" w:rsidR="79CE8CE2" w:rsidRDefault="79CE8CE2" w:rsidP="79CE8CE2">
            <w:pPr>
              <w:spacing w:after="0"/>
              <w:jc w:val="center"/>
              <w:rPr>
                <w:rFonts w:ascii="Calibri" w:eastAsia="Calibri" w:hAnsi="Calibri" w:cs="Calibri"/>
                <w:color w:val="00B050"/>
                <w:sz w:val="20"/>
                <w:szCs w:val="20"/>
              </w:rPr>
            </w:pPr>
            <w:r w:rsidRPr="79CE8CE2">
              <w:rPr>
                <w:rFonts w:ascii="Calibri" w:eastAsia="Calibri" w:hAnsi="Calibri" w:cs="Calibri"/>
                <w:b/>
                <w:bCs/>
                <w:color w:val="00B050"/>
                <w:sz w:val="20"/>
                <w:szCs w:val="20"/>
              </w:rPr>
              <w:t>75,0</w:t>
            </w:r>
          </w:p>
        </w:tc>
        <w:tc>
          <w:tcPr>
            <w:tcW w:w="840" w:type="dxa"/>
            <w:tcBorders>
              <w:top w:val="nil"/>
              <w:left w:val="nil"/>
              <w:bottom w:val="single" w:sz="6" w:space="0" w:color="auto"/>
              <w:right w:val="single" w:sz="6" w:space="0" w:color="auto"/>
            </w:tcBorders>
            <w:vAlign w:val="bottom"/>
            <w:hideMark/>
          </w:tcPr>
          <w:p w14:paraId="14760CF2" w14:textId="10181E56" w:rsidR="79CE8CE2" w:rsidRDefault="79CE8CE2" w:rsidP="79CE8CE2">
            <w:pPr>
              <w:spacing w:after="0"/>
              <w:jc w:val="center"/>
              <w:rPr>
                <w:rFonts w:ascii="Calibri" w:eastAsia="Calibri" w:hAnsi="Calibri" w:cs="Calibri"/>
                <w:color w:val="FFC000"/>
                <w:sz w:val="20"/>
                <w:szCs w:val="20"/>
              </w:rPr>
            </w:pPr>
            <w:r w:rsidRPr="79CE8CE2">
              <w:rPr>
                <w:rFonts w:ascii="Calibri" w:eastAsia="Calibri" w:hAnsi="Calibri" w:cs="Calibri"/>
                <w:b/>
                <w:bCs/>
                <w:color w:val="FFC000"/>
                <w:sz w:val="20"/>
                <w:szCs w:val="20"/>
              </w:rPr>
              <w:t>8,3</w:t>
            </w:r>
          </w:p>
        </w:tc>
        <w:tc>
          <w:tcPr>
            <w:tcW w:w="840" w:type="dxa"/>
            <w:tcBorders>
              <w:top w:val="nil"/>
              <w:left w:val="nil"/>
              <w:bottom w:val="single" w:sz="6" w:space="0" w:color="auto"/>
              <w:right w:val="single" w:sz="6" w:space="0" w:color="auto"/>
            </w:tcBorders>
            <w:vAlign w:val="bottom"/>
            <w:hideMark/>
          </w:tcPr>
          <w:p w14:paraId="11317308" w14:textId="7A48C621" w:rsidR="79CE8CE2" w:rsidRDefault="79CE8CE2" w:rsidP="79CE8CE2">
            <w:pPr>
              <w:spacing w:after="0"/>
              <w:jc w:val="center"/>
              <w:rPr>
                <w:rFonts w:ascii="Calibri" w:eastAsia="Calibri" w:hAnsi="Calibri" w:cs="Calibri"/>
                <w:color w:val="C00000"/>
                <w:sz w:val="20"/>
                <w:szCs w:val="20"/>
              </w:rPr>
            </w:pPr>
            <w:r w:rsidRPr="79CE8CE2">
              <w:rPr>
                <w:rFonts w:ascii="Calibri" w:eastAsia="Calibri" w:hAnsi="Calibri" w:cs="Calibri"/>
                <w:b/>
                <w:bCs/>
                <w:color w:val="C00000"/>
                <w:sz w:val="20"/>
                <w:szCs w:val="20"/>
              </w:rPr>
              <w:t>16,7</w:t>
            </w:r>
          </w:p>
        </w:tc>
        <w:tc>
          <w:tcPr>
            <w:tcW w:w="705" w:type="dxa"/>
            <w:tcBorders>
              <w:top w:val="nil"/>
              <w:left w:val="nil"/>
              <w:bottom w:val="single" w:sz="6" w:space="0" w:color="auto"/>
              <w:right w:val="single" w:sz="6" w:space="0" w:color="auto"/>
            </w:tcBorders>
            <w:vAlign w:val="bottom"/>
            <w:hideMark/>
          </w:tcPr>
          <w:p w14:paraId="47D5B082" w14:textId="590D7CDA" w:rsidR="79CE8CE2" w:rsidRDefault="79CE8CE2" w:rsidP="79CE8CE2">
            <w:pPr>
              <w:spacing w:after="0"/>
              <w:jc w:val="center"/>
              <w:rPr>
                <w:rFonts w:ascii="Calibri" w:eastAsia="Calibri" w:hAnsi="Calibri" w:cs="Calibri"/>
                <w:color w:val="0070C0"/>
                <w:sz w:val="20"/>
                <w:szCs w:val="20"/>
              </w:rPr>
            </w:pPr>
            <w:r w:rsidRPr="79CE8CE2">
              <w:rPr>
                <w:rFonts w:ascii="Calibri" w:eastAsia="Calibri" w:hAnsi="Calibri" w:cs="Calibri"/>
                <w:b/>
                <w:bCs/>
                <w:color w:val="0070C0"/>
                <w:sz w:val="20"/>
                <w:szCs w:val="20"/>
              </w:rPr>
              <w:t>14</w:t>
            </w:r>
          </w:p>
        </w:tc>
        <w:tc>
          <w:tcPr>
            <w:tcW w:w="705" w:type="dxa"/>
            <w:tcBorders>
              <w:top w:val="nil"/>
              <w:left w:val="nil"/>
              <w:bottom w:val="single" w:sz="6" w:space="0" w:color="auto"/>
              <w:right w:val="single" w:sz="6" w:space="0" w:color="auto"/>
            </w:tcBorders>
            <w:vAlign w:val="bottom"/>
            <w:hideMark/>
          </w:tcPr>
          <w:p w14:paraId="26F2B8EE" w14:textId="4E483B82"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176D0CDB" w14:textId="4181B371"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30151BE9" w14:textId="44D037B4"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4BB89CBE" w14:textId="42006C50"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2</w:t>
            </w:r>
          </w:p>
        </w:tc>
        <w:tc>
          <w:tcPr>
            <w:tcW w:w="705" w:type="dxa"/>
            <w:tcBorders>
              <w:top w:val="nil"/>
              <w:left w:val="nil"/>
              <w:bottom w:val="single" w:sz="6" w:space="0" w:color="auto"/>
              <w:right w:val="single" w:sz="6" w:space="0" w:color="auto"/>
            </w:tcBorders>
            <w:vAlign w:val="bottom"/>
            <w:hideMark/>
          </w:tcPr>
          <w:p w14:paraId="0A2A27D0" w14:textId="1A09BC0D"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4</w:t>
            </w:r>
          </w:p>
        </w:tc>
      </w:tr>
      <w:tr w:rsidR="00641ED4" w:rsidRPr="00641ED4" w14:paraId="16055D10" w14:textId="77777777" w:rsidTr="79CE8CE2">
        <w:trPr>
          <w:trHeight w:val="300"/>
        </w:trPr>
        <w:tc>
          <w:tcPr>
            <w:tcW w:w="1620" w:type="dxa"/>
            <w:tcBorders>
              <w:top w:val="nil"/>
              <w:left w:val="single" w:sz="6" w:space="0" w:color="auto"/>
              <w:bottom w:val="single" w:sz="6" w:space="0" w:color="auto"/>
              <w:right w:val="single" w:sz="6" w:space="0" w:color="auto"/>
            </w:tcBorders>
            <w:vAlign w:val="bottom"/>
            <w:hideMark/>
          </w:tcPr>
          <w:p w14:paraId="31A38B33" w14:textId="42864F94" w:rsidR="79CE8CE2" w:rsidRDefault="79CE8CE2" w:rsidP="79CE8CE2">
            <w:pPr>
              <w:spacing w:after="0"/>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Niederlande</w:t>
            </w:r>
          </w:p>
        </w:tc>
        <w:tc>
          <w:tcPr>
            <w:tcW w:w="885" w:type="dxa"/>
            <w:tcBorders>
              <w:top w:val="nil"/>
              <w:left w:val="nil"/>
              <w:bottom w:val="single" w:sz="6" w:space="0" w:color="auto"/>
              <w:right w:val="single" w:sz="6" w:space="0" w:color="auto"/>
            </w:tcBorders>
            <w:vAlign w:val="center"/>
            <w:hideMark/>
          </w:tcPr>
          <w:p w14:paraId="59FBD986" w14:textId="3D0EC56C"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22</w:t>
            </w:r>
          </w:p>
        </w:tc>
        <w:tc>
          <w:tcPr>
            <w:tcW w:w="735" w:type="dxa"/>
            <w:tcBorders>
              <w:top w:val="nil"/>
              <w:left w:val="nil"/>
              <w:bottom w:val="single" w:sz="6" w:space="0" w:color="auto"/>
              <w:right w:val="single" w:sz="6" w:space="0" w:color="auto"/>
            </w:tcBorders>
            <w:vAlign w:val="bottom"/>
            <w:hideMark/>
          </w:tcPr>
          <w:p w14:paraId="279586A9" w14:textId="664CE342" w:rsidR="79CE8CE2" w:rsidRDefault="79CE8CE2" w:rsidP="79CE8CE2">
            <w:pPr>
              <w:spacing w:after="0"/>
              <w:jc w:val="center"/>
              <w:rPr>
                <w:rFonts w:ascii="Calibri" w:eastAsia="Calibri" w:hAnsi="Calibri" w:cs="Calibri"/>
                <w:color w:val="00B050"/>
                <w:sz w:val="20"/>
                <w:szCs w:val="20"/>
              </w:rPr>
            </w:pPr>
            <w:r w:rsidRPr="79CE8CE2">
              <w:rPr>
                <w:rFonts w:ascii="Calibri" w:eastAsia="Calibri" w:hAnsi="Calibri" w:cs="Calibri"/>
                <w:b/>
                <w:bCs/>
                <w:color w:val="00B050"/>
                <w:sz w:val="20"/>
                <w:szCs w:val="20"/>
              </w:rPr>
              <w:t>53,3</w:t>
            </w:r>
          </w:p>
        </w:tc>
        <w:tc>
          <w:tcPr>
            <w:tcW w:w="840" w:type="dxa"/>
            <w:tcBorders>
              <w:top w:val="nil"/>
              <w:left w:val="nil"/>
              <w:bottom w:val="single" w:sz="6" w:space="0" w:color="auto"/>
              <w:right w:val="single" w:sz="6" w:space="0" w:color="auto"/>
            </w:tcBorders>
            <w:vAlign w:val="bottom"/>
            <w:hideMark/>
          </w:tcPr>
          <w:p w14:paraId="3EE98F1A" w14:textId="5CDED080" w:rsidR="79CE8CE2" w:rsidRDefault="79CE8CE2" w:rsidP="79CE8CE2">
            <w:pPr>
              <w:spacing w:after="0"/>
              <w:jc w:val="center"/>
              <w:rPr>
                <w:rFonts w:ascii="Calibri" w:eastAsia="Calibri" w:hAnsi="Calibri" w:cs="Calibri"/>
                <w:color w:val="FFC000"/>
                <w:sz w:val="20"/>
                <w:szCs w:val="20"/>
              </w:rPr>
            </w:pPr>
            <w:r w:rsidRPr="79CE8CE2">
              <w:rPr>
                <w:rFonts w:ascii="Calibri" w:eastAsia="Calibri" w:hAnsi="Calibri" w:cs="Calibri"/>
                <w:b/>
                <w:bCs/>
                <w:color w:val="FFC000"/>
                <w:sz w:val="20"/>
                <w:szCs w:val="20"/>
              </w:rPr>
              <w:t>0,0</w:t>
            </w:r>
          </w:p>
        </w:tc>
        <w:tc>
          <w:tcPr>
            <w:tcW w:w="840" w:type="dxa"/>
            <w:tcBorders>
              <w:top w:val="nil"/>
              <w:left w:val="nil"/>
              <w:bottom w:val="single" w:sz="6" w:space="0" w:color="auto"/>
              <w:right w:val="single" w:sz="6" w:space="0" w:color="auto"/>
            </w:tcBorders>
            <w:vAlign w:val="bottom"/>
            <w:hideMark/>
          </w:tcPr>
          <w:p w14:paraId="655EE4F4" w14:textId="187EA7CC" w:rsidR="79CE8CE2" w:rsidRDefault="79CE8CE2" w:rsidP="79CE8CE2">
            <w:pPr>
              <w:spacing w:after="0"/>
              <w:jc w:val="center"/>
              <w:rPr>
                <w:rFonts w:ascii="Calibri" w:eastAsia="Calibri" w:hAnsi="Calibri" w:cs="Calibri"/>
                <w:color w:val="C00000"/>
                <w:sz w:val="20"/>
                <w:szCs w:val="20"/>
              </w:rPr>
            </w:pPr>
            <w:r w:rsidRPr="79CE8CE2">
              <w:rPr>
                <w:rFonts w:ascii="Calibri" w:eastAsia="Calibri" w:hAnsi="Calibri" w:cs="Calibri"/>
                <w:b/>
                <w:bCs/>
                <w:color w:val="C00000"/>
                <w:sz w:val="20"/>
                <w:szCs w:val="20"/>
              </w:rPr>
              <w:t>46,7</w:t>
            </w:r>
          </w:p>
        </w:tc>
        <w:tc>
          <w:tcPr>
            <w:tcW w:w="705" w:type="dxa"/>
            <w:tcBorders>
              <w:top w:val="nil"/>
              <w:left w:val="nil"/>
              <w:bottom w:val="single" w:sz="6" w:space="0" w:color="auto"/>
              <w:right w:val="single" w:sz="6" w:space="0" w:color="auto"/>
            </w:tcBorders>
            <w:vAlign w:val="bottom"/>
            <w:hideMark/>
          </w:tcPr>
          <w:p w14:paraId="2EC57649" w14:textId="37050A74" w:rsidR="79CE8CE2" w:rsidRDefault="79CE8CE2" w:rsidP="79CE8CE2">
            <w:pPr>
              <w:spacing w:after="0"/>
              <w:jc w:val="center"/>
              <w:rPr>
                <w:rFonts w:ascii="Calibri" w:eastAsia="Calibri" w:hAnsi="Calibri" w:cs="Calibri"/>
                <w:color w:val="0070C0"/>
                <w:sz w:val="20"/>
                <w:szCs w:val="20"/>
              </w:rPr>
            </w:pPr>
            <w:r w:rsidRPr="79CE8CE2">
              <w:rPr>
                <w:rFonts w:ascii="Calibri" w:eastAsia="Calibri" w:hAnsi="Calibri" w:cs="Calibri"/>
                <w:b/>
                <w:bCs/>
                <w:color w:val="0070C0"/>
                <w:sz w:val="20"/>
                <w:szCs w:val="20"/>
              </w:rPr>
              <w:t>7</w:t>
            </w:r>
          </w:p>
        </w:tc>
        <w:tc>
          <w:tcPr>
            <w:tcW w:w="705" w:type="dxa"/>
            <w:tcBorders>
              <w:top w:val="nil"/>
              <w:left w:val="nil"/>
              <w:bottom w:val="single" w:sz="6" w:space="0" w:color="auto"/>
              <w:right w:val="single" w:sz="6" w:space="0" w:color="auto"/>
            </w:tcBorders>
            <w:vAlign w:val="bottom"/>
            <w:hideMark/>
          </w:tcPr>
          <w:p w14:paraId="3581B28D" w14:textId="3A5C7846"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 xml:space="preserve"> </w:t>
            </w:r>
          </w:p>
        </w:tc>
        <w:tc>
          <w:tcPr>
            <w:tcW w:w="705" w:type="dxa"/>
            <w:tcBorders>
              <w:top w:val="nil"/>
              <w:left w:val="nil"/>
              <w:bottom w:val="single" w:sz="6" w:space="0" w:color="auto"/>
              <w:right w:val="single" w:sz="6" w:space="0" w:color="auto"/>
            </w:tcBorders>
            <w:vAlign w:val="bottom"/>
            <w:hideMark/>
          </w:tcPr>
          <w:p w14:paraId="43A74623" w14:textId="08FC46AC"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w:t>
            </w:r>
          </w:p>
        </w:tc>
        <w:tc>
          <w:tcPr>
            <w:tcW w:w="705" w:type="dxa"/>
            <w:tcBorders>
              <w:top w:val="nil"/>
              <w:left w:val="nil"/>
              <w:bottom w:val="single" w:sz="6" w:space="0" w:color="auto"/>
              <w:right w:val="single" w:sz="6" w:space="0" w:color="auto"/>
            </w:tcBorders>
            <w:vAlign w:val="bottom"/>
            <w:hideMark/>
          </w:tcPr>
          <w:p w14:paraId="48C38E3B" w14:textId="1CF18E4F"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2</w:t>
            </w:r>
          </w:p>
        </w:tc>
        <w:tc>
          <w:tcPr>
            <w:tcW w:w="705" w:type="dxa"/>
            <w:tcBorders>
              <w:top w:val="nil"/>
              <w:left w:val="nil"/>
              <w:bottom w:val="single" w:sz="6" w:space="0" w:color="auto"/>
              <w:right w:val="single" w:sz="6" w:space="0" w:color="auto"/>
            </w:tcBorders>
            <w:vAlign w:val="bottom"/>
            <w:hideMark/>
          </w:tcPr>
          <w:p w14:paraId="40320E55" w14:textId="793D4645"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10</w:t>
            </w:r>
          </w:p>
        </w:tc>
        <w:tc>
          <w:tcPr>
            <w:tcW w:w="705" w:type="dxa"/>
            <w:tcBorders>
              <w:top w:val="nil"/>
              <w:left w:val="nil"/>
              <w:bottom w:val="single" w:sz="6" w:space="0" w:color="auto"/>
              <w:right w:val="single" w:sz="6" w:space="0" w:color="auto"/>
            </w:tcBorders>
            <w:vAlign w:val="bottom"/>
            <w:hideMark/>
          </w:tcPr>
          <w:p w14:paraId="6BF0B40C" w14:textId="7D59A3AC" w:rsidR="79CE8CE2" w:rsidRDefault="79CE8CE2" w:rsidP="79CE8CE2">
            <w:pPr>
              <w:spacing w:after="0"/>
              <w:jc w:val="center"/>
              <w:rPr>
                <w:rFonts w:ascii="Calibri" w:eastAsia="Calibri" w:hAnsi="Calibri" w:cs="Calibri"/>
                <w:color w:val="000000" w:themeColor="text1"/>
                <w:sz w:val="20"/>
                <w:szCs w:val="20"/>
              </w:rPr>
            </w:pPr>
            <w:r w:rsidRPr="79CE8CE2">
              <w:rPr>
                <w:rFonts w:ascii="Calibri" w:eastAsia="Calibri" w:hAnsi="Calibri" w:cs="Calibri"/>
                <w:color w:val="000000" w:themeColor="text1"/>
                <w:sz w:val="20"/>
                <w:szCs w:val="20"/>
              </w:rPr>
              <w:t>13</w:t>
            </w:r>
          </w:p>
        </w:tc>
      </w:tr>
    </w:tbl>
    <w:p w14:paraId="66CFF372" w14:textId="77777777" w:rsidR="00641ED4" w:rsidRPr="00641ED4" w:rsidRDefault="00641ED4" w:rsidP="00641ED4">
      <w:pPr>
        <w:spacing w:after="0" w:line="240" w:lineRule="auto"/>
        <w:textAlignment w:val="baseline"/>
        <w:rPr>
          <w:rFonts w:ascii="Segoe UI" w:eastAsia="Times New Roman" w:hAnsi="Segoe UI" w:cs="Segoe UI"/>
          <w:kern w:val="0"/>
          <w:sz w:val="18"/>
          <w:szCs w:val="18"/>
          <w:lang w:eastAsia="en-GB"/>
          <w14:ligatures w14:val="none"/>
        </w:rPr>
      </w:pPr>
      <w:r w:rsidRPr="00641ED4">
        <w:rPr>
          <w:rFonts w:ascii="Calibri" w:eastAsia="Times New Roman" w:hAnsi="Calibri" w:cs="Calibri"/>
          <w:kern w:val="0"/>
          <w:sz w:val="22"/>
          <w:szCs w:val="22"/>
          <w:lang w:eastAsia="en-GB"/>
          <w14:ligatures w14:val="none"/>
        </w:rPr>
        <w:t xml:space="preserve"> </w:t>
      </w:r>
    </w:p>
    <w:p w14:paraId="252F0AA3" w14:textId="15C5C3B6" w:rsidR="004E3CE8" w:rsidRPr="000F1FC4" w:rsidRDefault="6A7FAAD0" w:rsidP="79CE8CE2">
      <w:pPr>
        <w:spacing w:line="360" w:lineRule="auto"/>
        <w:rPr>
          <w:rFonts w:ascii="Calibri" w:hAnsi="Calibri" w:cs="Calibri"/>
          <w:sz w:val="22"/>
          <w:szCs w:val="22"/>
          <w:lang w:val="de-DE"/>
        </w:rPr>
      </w:pPr>
      <w:r w:rsidRPr="000F1FC4">
        <w:rPr>
          <w:rFonts w:ascii="Calibri" w:hAnsi="Calibri" w:cs="Calibri"/>
          <w:sz w:val="22"/>
          <w:szCs w:val="22"/>
          <w:lang w:val="de-DE"/>
        </w:rPr>
        <w:t xml:space="preserve">Das KIT, Karlsruher Institut für Technologie, klettert unter die Top 50 in Europa und belegt </w:t>
      </w:r>
      <w:r w:rsidR="00490D0A">
        <w:rPr>
          <w:rFonts w:ascii="Calibri" w:hAnsi="Calibri" w:cs="Calibri"/>
          <w:sz w:val="22"/>
          <w:szCs w:val="22"/>
          <w:lang w:val="de-DE"/>
        </w:rPr>
        <w:t>Platz 48</w:t>
      </w:r>
      <w:r w:rsidRPr="000F1FC4">
        <w:rPr>
          <w:rFonts w:ascii="Calibri" w:hAnsi="Calibri" w:cs="Calibri"/>
          <w:sz w:val="22"/>
          <w:szCs w:val="22"/>
          <w:lang w:val="de-DE"/>
        </w:rPr>
        <w:t>, nachdem</w:t>
      </w:r>
      <w:r w:rsidR="00490D0A">
        <w:rPr>
          <w:rFonts w:ascii="Calibri" w:hAnsi="Calibri" w:cs="Calibri"/>
          <w:sz w:val="22"/>
          <w:szCs w:val="22"/>
          <w:lang w:val="de-DE"/>
        </w:rPr>
        <w:t xml:space="preserve"> es </w:t>
      </w:r>
      <w:r w:rsidRPr="000F1FC4">
        <w:rPr>
          <w:rFonts w:ascii="Calibri" w:hAnsi="Calibri" w:cs="Calibri"/>
          <w:sz w:val="22"/>
          <w:szCs w:val="22"/>
          <w:lang w:val="de-DE"/>
        </w:rPr>
        <w:t>im Vorjahr</w:t>
      </w:r>
      <w:r w:rsidR="00490D0A">
        <w:rPr>
          <w:rFonts w:ascii="Calibri" w:hAnsi="Calibri" w:cs="Calibri"/>
          <w:sz w:val="22"/>
          <w:szCs w:val="22"/>
          <w:lang w:val="de-DE"/>
        </w:rPr>
        <w:t xml:space="preserve"> noch auf Rang 59 lag</w:t>
      </w:r>
      <w:r w:rsidRPr="000F1FC4">
        <w:rPr>
          <w:rFonts w:ascii="Calibri" w:hAnsi="Calibri" w:cs="Calibri"/>
          <w:sz w:val="22"/>
          <w:szCs w:val="22"/>
          <w:lang w:val="de-DE"/>
        </w:rPr>
        <w:t xml:space="preserve">. Keine deutsche Universität schafft es unter die Top 100 </w:t>
      </w:r>
      <w:r w:rsidR="184F24B6" w:rsidRPr="000F1FC4">
        <w:rPr>
          <w:rFonts w:ascii="Calibri" w:hAnsi="Calibri" w:cs="Calibri"/>
          <w:sz w:val="22"/>
          <w:szCs w:val="22"/>
          <w:lang w:val="de-DE"/>
        </w:rPr>
        <w:t>in Europa</w:t>
      </w:r>
      <w:r w:rsidRPr="000F1FC4">
        <w:rPr>
          <w:rFonts w:ascii="Calibri" w:hAnsi="Calibri" w:cs="Calibri"/>
          <w:sz w:val="22"/>
          <w:szCs w:val="22"/>
          <w:lang w:val="de-DE"/>
        </w:rPr>
        <w:t>.</w:t>
      </w:r>
    </w:p>
    <w:p w14:paraId="375E35F5" w14:textId="44DF14D2" w:rsidR="004E3CE8" w:rsidRPr="000F1FC4" w:rsidRDefault="6A7FAAD0" w:rsidP="79CE8CE2">
      <w:pPr>
        <w:spacing w:line="360" w:lineRule="auto"/>
        <w:rPr>
          <w:rFonts w:ascii="Calibri" w:hAnsi="Calibri" w:cs="Calibri"/>
          <w:sz w:val="22"/>
          <w:szCs w:val="22"/>
          <w:lang w:val="de-DE"/>
        </w:rPr>
      </w:pPr>
      <w:r w:rsidRPr="000F1FC4">
        <w:rPr>
          <w:rFonts w:ascii="Calibri" w:hAnsi="Calibri" w:cs="Calibri"/>
          <w:sz w:val="22"/>
          <w:szCs w:val="22"/>
          <w:lang w:val="de-DE"/>
        </w:rPr>
        <w:t>Die Universität Regensburg ist die deutsche Universität mit der größten Verbesserung und klettert um beeindruckende 42 Plätze auf Rang 242. Dicht dahinter folgt die TU Dortmund, die um 41 Plätze auf Rang</w:t>
      </w:r>
      <w:r w:rsidR="7A843444" w:rsidRPr="000F1FC4">
        <w:rPr>
          <w:rFonts w:ascii="Calibri" w:hAnsi="Calibri" w:cs="Calibri"/>
          <w:sz w:val="22"/>
          <w:szCs w:val="22"/>
          <w:lang w:val="de-DE"/>
        </w:rPr>
        <w:t xml:space="preserve"> 250 </w:t>
      </w:r>
      <w:r w:rsidRPr="000F1FC4">
        <w:rPr>
          <w:rFonts w:ascii="Calibri" w:hAnsi="Calibri" w:cs="Calibri"/>
          <w:sz w:val="22"/>
          <w:szCs w:val="22"/>
          <w:lang w:val="de-DE"/>
        </w:rPr>
        <w:t>klettert</w:t>
      </w:r>
      <w:r w:rsidR="7A843444" w:rsidRPr="000F1FC4">
        <w:rPr>
          <w:rFonts w:ascii="Calibri" w:hAnsi="Calibri" w:cs="Calibri"/>
          <w:sz w:val="22"/>
          <w:szCs w:val="22"/>
          <w:lang w:val="de-DE"/>
        </w:rPr>
        <w:t>.</w:t>
      </w:r>
    </w:p>
    <w:tbl>
      <w:tblPr>
        <w:tblW w:w="0" w:type="auto"/>
        <w:jc w:val="center"/>
        <w:tblLook w:val="04A0" w:firstRow="1" w:lastRow="0" w:firstColumn="1" w:lastColumn="0" w:noHBand="0" w:noVBand="1"/>
      </w:tblPr>
      <w:tblGrid>
        <w:gridCol w:w="1129"/>
        <w:gridCol w:w="1134"/>
        <w:gridCol w:w="5387"/>
      </w:tblGrid>
      <w:tr w:rsidR="79CE8CE2" w:rsidRPr="000F1FC4" w14:paraId="1D9BE6ED" w14:textId="77777777" w:rsidTr="79CE8CE2">
        <w:trPr>
          <w:trHeight w:val="300"/>
          <w:jc w:val="center"/>
        </w:trPr>
        <w:tc>
          <w:tcPr>
            <w:tcW w:w="7650" w:type="dxa"/>
            <w:gridSpan w:val="3"/>
            <w:tcBorders>
              <w:top w:val="single" w:sz="4" w:space="0" w:color="auto"/>
              <w:left w:val="single" w:sz="4" w:space="0" w:color="auto"/>
              <w:bottom w:val="single" w:sz="4" w:space="0" w:color="auto"/>
              <w:right w:val="single" w:sz="4" w:space="0" w:color="auto"/>
            </w:tcBorders>
            <w:vAlign w:val="bottom"/>
          </w:tcPr>
          <w:p w14:paraId="1EEC719D" w14:textId="441BB786" w:rsidR="79CE8CE2" w:rsidRPr="000F1FC4" w:rsidRDefault="79CE8CE2" w:rsidP="79CE8CE2">
            <w:pPr>
              <w:spacing w:after="0" w:line="240" w:lineRule="auto"/>
              <w:jc w:val="center"/>
              <w:rPr>
                <w:rFonts w:ascii="Calibri" w:eastAsia="Times New Roman" w:hAnsi="Calibri" w:cs="Calibri"/>
                <w:b/>
                <w:bCs/>
                <w:color w:val="1D1D1B"/>
                <w:sz w:val="20"/>
                <w:szCs w:val="20"/>
                <w:lang w:val="de-DE" w:eastAsia="en-GB"/>
              </w:rPr>
            </w:pPr>
            <w:r w:rsidRPr="000F1FC4">
              <w:rPr>
                <w:rFonts w:ascii="Calibri" w:eastAsia="Times New Roman" w:hAnsi="Calibri" w:cs="Calibri"/>
                <w:b/>
                <w:bCs/>
                <w:color w:val="1D1D1B"/>
                <w:sz w:val="20"/>
                <w:szCs w:val="20"/>
                <w:lang w:val="de-DE" w:eastAsia="en-GB"/>
              </w:rPr>
              <w:t>Tabelle</w:t>
            </w:r>
            <w:r w:rsidR="571277B9" w:rsidRPr="000F1FC4">
              <w:rPr>
                <w:rFonts w:ascii="Calibri" w:eastAsia="Times New Roman" w:hAnsi="Calibri" w:cs="Calibri"/>
                <w:b/>
                <w:bCs/>
                <w:color w:val="1D1D1B"/>
                <w:sz w:val="20"/>
                <w:szCs w:val="20"/>
                <w:lang w:val="de-DE" w:eastAsia="en-GB"/>
              </w:rPr>
              <w:t xml:space="preserve"> 3</w:t>
            </w:r>
            <w:r w:rsidRPr="000F1FC4">
              <w:rPr>
                <w:rFonts w:ascii="Calibri" w:eastAsia="Times New Roman" w:hAnsi="Calibri" w:cs="Calibri"/>
                <w:b/>
                <w:bCs/>
                <w:color w:val="1D1D1B"/>
                <w:sz w:val="20"/>
                <w:szCs w:val="20"/>
                <w:lang w:val="de-DE" w:eastAsia="en-GB"/>
              </w:rPr>
              <w:t>: Deutsche Universitäten in den europäischen Top 100</w:t>
            </w:r>
          </w:p>
        </w:tc>
      </w:tr>
      <w:tr w:rsidR="79CE8CE2" w14:paraId="24EF6332"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250A77ED" w14:textId="77777777" w:rsidR="79CE8CE2" w:rsidRDefault="79CE8CE2" w:rsidP="79CE8CE2">
            <w:pPr>
              <w:spacing w:after="0" w:line="240" w:lineRule="auto"/>
              <w:jc w:val="center"/>
              <w:rPr>
                <w:rFonts w:ascii="Calibri" w:eastAsia="Times New Roman" w:hAnsi="Calibri" w:cs="Calibri"/>
                <w:b/>
                <w:bCs/>
                <w:color w:val="1D1D1B"/>
                <w:sz w:val="20"/>
                <w:szCs w:val="20"/>
                <w:lang w:eastAsia="en-GB"/>
              </w:rPr>
            </w:pPr>
            <w:r w:rsidRPr="79CE8CE2">
              <w:rPr>
                <w:rFonts w:ascii="Calibri" w:eastAsia="Times New Roman" w:hAnsi="Calibri" w:cs="Calibri"/>
                <w:b/>
                <w:bCs/>
                <w:color w:val="1D1D1B"/>
                <w:sz w:val="20"/>
                <w:szCs w:val="20"/>
                <w:lang w:eastAsia="en-GB"/>
              </w:rPr>
              <w:t>2026 Rang</w:t>
            </w:r>
          </w:p>
        </w:tc>
        <w:tc>
          <w:tcPr>
            <w:tcW w:w="1134" w:type="dxa"/>
            <w:tcBorders>
              <w:top w:val="nil"/>
              <w:left w:val="nil"/>
              <w:bottom w:val="single" w:sz="4" w:space="0" w:color="auto"/>
              <w:right w:val="single" w:sz="4" w:space="0" w:color="auto"/>
            </w:tcBorders>
            <w:vAlign w:val="bottom"/>
          </w:tcPr>
          <w:p w14:paraId="67F2D130" w14:textId="77777777" w:rsidR="79CE8CE2" w:rsidRDefault="79CE8CE2" w:rsidP="79CE8CE2">
            <w:pPr>
              <w:spacing w:after="0" w:line="240" w:lineRule="auto"/>
              <w:jc w:val="center"/>
              <w:rPr>
                <w:rFonts w:ascii="Calibri" w:eastAsia="Times New Roman" w:hAnsi="Calibri" w:cs="Calibri"/>
                <w:b/>
                <w:bCs/>
                <w:color w:val="1D1D1B"/>
                <w:sz w:val="20"/>
                <w:szCs w:val="20"/>
                <w:lang w:eastAsia="en-GB"/>
              </w:rPr>
            </w:pPr>
            <w:r w:rsidRPr="79CE8CE2">
              <w:rPr>
                <w:rFonts w:ascii="Calibri" w:eastAsia="Times New Roman" w:hAnsi="Calibri" w:cs="Calibri"/>
                <w:b/>
                <w:bCs/>
                <w:color w:val="1D1D1B"/>
                <w:sz w:val="20"/>
                <w:szCs w:val="20"/>
                <w:lang w:eastAsia="en-GB"/>
              </w:rPr>
              <w:t>Rang 2025</w:t>
            </w:r>
          </w:p>
        </w:tc>
        <w:tc>
          <w:tcPr>
            <w:tcW w:w="5387" w:type="dxa"/>
            <w:tcBorders>
              <w:top w:val="nil"/>
              <w:left w:val="nil"/>
              <w:bottom w:val="single" w:sz="4" w:space="0" w:color="auto"/>
              <w:right w:val="single" w:sz="4" w:space="0" w:color="auto"/>
            </w:tcBorders>
            <w:vAlign w:val="bottom"/>
          </w:tcPr>
          <w:p w14:paraId="5C87E9CB" w14:textId="77777777" w:rsidR="79CE8CE2" w:rsidRDefault="79CE8CE2" w:rsidP="79CE8CE2">
            <w:pPr>
              <w:spacing w:after="0" w:line="240" w:lineRule="auto"/>
              <w:rPr>
                <w:rFonts w:ascii="Calibri" w:eastAsia="Times New Roman" w:hAnsi="Calibri" w:cs="Calibri"/>
                <w:b/>
                <w:bCs/>
                <w:color w:val="1D1D1B"/>
                <w:sz w:val="20"/>
                <w:szCs w:val="20"/>
                <w:lang w:eastAsia="en-GB"/>
              </w:rPr>
            </w:pPr>
            <w:r w:rsidRPr="79CE8CE2">
              <w:rPr>
                <w:rFonts w:ascii="Calibri" w:eastAsia="Times New Roman" w:hAnsi="Calibri" w:cs="Calibri"/>
                <w:b/>
                <w:bCs/>
                <w:color w:val="1D1D1B"/>
                <w:sz w:val="20"/>
                <w:szCs w:val="20"/>
                <w:lang w:eastAsia="en-GB"/>
              </w:rPr>
              <w:t>Institution</w:t>
            </w:r>
          </w:p>
        </w:tc>
      </w:tr>
      <w:tr w:rsidR="79CE8CE2" w14:paraId="7A25ACE1"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3743F278"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=12</w:t>
            </w:r>
          </w:p>
        </w:tc>
        <w:tc>
          <w:tcPr>
            <w:tcW w:w="1134" w:type="dxa"/>
            <w:tcBorders>
              <w:top w:val="nil"/>
              <w:left w:val="nil"/>
              <w:bottom w:val="single" w:sz="4" w:space="0" w:color="auto"/>
              <w:right w:val="single" w:sz="4" w:space="0" w:color="auto"/>
            </w:tcBorders>
            <w:vAlign w:val="bottom"/>
          </w:tcPr>
          <w:p w14:paraId="207628D5"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11</w:t>
            </w:r>
          </w:p>
        </w:tc>
        <w:tc>
          <w:tcPr>
            <w:tcW w:w="5387" w:type="dxa"/>
            <w:tcBorders>
              <w:top w:val="nil"/>
              <w:left w:val="nil"/>
              <w:bottom w:val="single" w:sz="4" w:space="0" w:color="auto"/>
              <w:right w:val="single" w:sz="4" w:space="0" w:color="auto"/>
            </w:tcBorders>
            <w:vAlign w:val="bottom"/>
          </w:tcPr>
          <w:p w14:paraId="51728F78"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Technische Universität München</w:t>
            </w:r>
          </w:p>
        </w:tc>
      </w:tr>
      <w:tr w:rsidR="79CE8CE2" w14:paraId="37775BD7"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7C627036"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=17</w:t>
            </w:r>
          </w:p>
        </w:tc>
        <w:tc>
          <w:tcPr>
            <w:tcW w:w="1134" w:type="dxa"/>
            <w:tcBorders>
              <w:top w:val="nil"/>
              <w:left w:val="nil"/>
              <w:bottom w:val="single" w:sz="4" w:space="0" w:color="auto"/>
              <w:right w:val="single" w:sz="4" w:space="0" w:color="auto"/>
            </w:tcBorders>
            <w:vAlign w:val="bottom"/>
          </w:tcPr>
          <w:p w14:paraId="39175FCB"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21</w:t>
            </w:r>
          </w:p>
        </w:tc>
        <w:tc>
          <w:tcPr>
            <w:tcW w:w="5387" w:type="dxa"/>
            <w:tcBorders>
              <w:top w:val="nil"/>
              <w:left w:val="nil"/>
              <w:bottom w:val="single" w:sz="4" w:space="0" w:color="auto"/>
              <w:right w:val="single" w:sz="4" w:space="0" w:color="auto"/>
            </w:tcBorders>
            <w:vAlign w:val="bottom"/>
          </w:tcPr>
          <w:p w14:paraId="167B21F1"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Ludwig-Maximilians-Universität München</w:t>
            </w:r>
          </w:p>
        </w:tc>
      </w:tr>
      <w:tr w:rsidR="79CE8CE2" w14:paraId="1DC2543F"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5FEF3B09"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23</w:t>
            </w:r>
          </w:p>
        </w:tc>
        <w:tc>
          <w:tcPr>
            <w:tcW w:w="1134" w:type="dxa"/>
            <w:tcBorders>
              <w:top w:val="nil"/>
              <w:left w:val="nil"/>
              <w:bottom w:val="single" w:sz="4" w:space="0" w:color="auto"/>
              <w:right w:val="single" w:sz="4" w:space="0" w:color="auto"/>
            </w:tcBorders>
            <w:vAlign w:val="bottom"/>
          </w:tcPr>
          <w:p w14:paraId="30CA42EB"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=18</w:t>
            </w:r>
          </w:p>
        </w:tc>
        <w:tc>
          <w:tcPr>
            <w:tcW w:w="5387" w:type="dxa"/>
            <w:tcBorders>
              <w:top w:val="nil"/>
              <w:left w:val="nil"/>
              <w:bottom w:val="single" w:sz="4" w:space="0" w:color="auto"/>
              <w:right w:val="single" w:sz="4" w:space="0" w:color="auto"/>
            </w:tcBorders>
            <w:vAlign w:val="bottom"/>
          </w:tcPr>
          <w:p w14:paraId="60A35AC2"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Universität Heidelberg</w:t>
            </w:r>
          </w:p>
        </w:tc>
      </w:tr>
      <w:tr w:rsidR="79CE8CE2" w14:paraId="5CDF817F"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23DEEDC3"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39</w:t>
            </w:r>
          </w:p>
        </w:tc>
        <w:tc>
          <w:tcPr>
            <w:tcW w:w="1134" w:type="dxa"/>
            <w:tcBorders>
              <w:top w:val="nil"/>
              <w:left w:val="nil"/>
              <w:bottom w:val="single" w:sz="4" w:space="0" w:color="auto"/>
              <w:right w:val="single" w:sz="4" w:space="0" w:color="auto"/>
            </w:tcBorders>
            <w:vAlign w:val="bottom"/>
          </w:tcPr>
          <w:p w14:paraId="35776B79"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43</w:t>
            </w:r>
          </w:p>
        </w:tc>
        <w:tc>
          <w:tcPr>
            <w:tcW w:w="5387" w:type="dxa"/>
            <w:tcBorders>
              <w:top w:val="nil"/>
              <w:left w:val="nil"/>
              <w:bottom w:val="single" w:sz="4" w:space="0" w:color="auto"/>
              <w:right w:val="single" w:sz="4" w:space="0" w:color="auto"/>
            </w:tcBorders>
            <w:vAlign w:val="bottom"/>
          </w:tcPr>
          <w:p w14:paraId="328DF7BF"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Freie Universität Berlin</w:t>
            </w:r>
          </w:p>
        </w:tc>
      </w:tr>
      <w:tr w:rsidR="79CE8CE2" w:rsidRPr="000F1FC4" w14:paraId="707E7E08"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226B1557"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41</w:t>
            </w:r>
          </w:p>
        </w:tc>
        <w:tc>
          <w:tcPr>
            <w:tcW w:w="1134" w:type="dxa"/>
            <w:tcBorders>
              <w:top w:val="nil"/>
              <w:left w:val="nil"/>
              <w:bottom w:val="single" w:sz="4" w:space="0" w:color="auto"/>
              <w:right w:val="single" w:sz="4" w:space="0" w:color="auto"/>
            </w:tcBorders>
            <w:vAlign w:val="bottom"/>
          </w:tcPr>
          <w:p w14:paraId="57EF46FF"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=44</w:t>
            </w:r>
          </w:p>
        </w:tc>
        <w:tc>
          <w:tcPr>
            <w:tcW w:w="5387" w:type="dxa"/>
            <w:tcBorders>
              <w:top w:val="nil"/>
              <w:left w:val="nil"/>
              <w:bottom w:val="single" w:sz="4" w:space="0" w:color="auto"/>
              <w:right w:val="single" w:sz="4" w:space="0" w:color="auto"/>
            </w:tcBorders>
            <w:vAlign w:val="bottom"/>
          </w:tcPr>
          <w:p w14:paraId="30320CAE" w14:textId="77777777" w:rsidR="79CE8CE2" w:rsidRDefault="79CE8CE2" w:rsidP="79CE8CE2">
            <w:pPr>
              <w:spacing w:after="0" w:line="240" w:lineRule="auto"/>
              <w:rPr>
                <w:rFonts w:ascii="Calibri" w:eastAsia="Times New Roman" w:hAnsi="Calibri" w:cs="Calibri"/>
                <w:color w:val="1D1D1B"/>
                <w:sz w:val="20"/>
                <w:szCs w:val="20"/>
                <w:lang w:val="de-DE" w:eastAsia="en-GB"/>
              </w:rPr>
            </w:pPr>
            <w:r w:rsidRPr="79CE8CE2">
              <w:rPr>
                <w:rFonts w:ascii="Calibri" w:eastAsia="Times New Roman" w:hAnsi="Calibri" w:cs="Calibri"/>
                <w:color w:val="1D1D1B"/>
                <w:sz w:val="20"/>
                <w:szCs w:val="20"/>
                <w:lang w:val="de-DE" w:eastAsia="en-GB"/>
              </w:rPr>
              <w:t>Technische Universität Berlin (TU Berlin)</w:t>
            </w:r>
          </w:p>
        </w:tc>
      </w:tr>
      <w:tr w:rsidR="79CE8CE2" w:rsidRPr="000F1FC4" w14:paraId="5B868E32"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343BBD42"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=48</w:t>
            </w:r>
          </w:p>
        </w:tc>
        <w:tc>
          <w:tcPr>
            <w:tcW w:w="1134" w:type="dxa"/>
            <w:tcBorders>
              <w:top w:val="nil"/>
              <w:left w:val="nil"/>
              <w:bottom w:val="single" w:sz="4" w:space="0" w:color="auto"/>
              <w:right w:val="single" w:sz="4" w:space="0" w:color="auto"/>
            </w:tcBorders>
            <w:vAlign w:val="bottom"/>
          </w:tcPr>
          <w:p w14:paraId="408ACE01"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59</w:t>
            </w:r>
          </w:p>
        </w:tc>
        <w:tc>
          <w:tcPr>
            <w:tcW w:w="5387" w:type="dxa"/>
            <w:tcBorders>
              <w:top w:val="nil"/>
              <w:left w:val="nil"/>
              <w:bottom w:val="single" w:sz="4" w:space="0" w:color="auto"/>
              <w:right w:val="single" w:sz="4" w:space="0" w:color="auto"/>
            </w:tcBorders>
            <w:vAlign w:val="bottom"/>
          </w:tcPr>
          <w:p w14:paraId="354098D0" w14:textId="77777777" w:rsidR="79CE8CE2" w:rsidRPr="000F1FC4" w:rsidRDefault="79CE8CE2" w:rsidP="79CE8CE2">
            <w:pPr>
              <w:spacing w:after="0" w:line="240" w:lineRule="auto"/>
              <w:rPr>
                <w:rFonts w:ascii="Calibri" w:eastAsia="Times New Roman" w:hAnsi="Calibri" w:cs="Calibri"/>
                <w:color w:val="1D1D1B"/>
                <w:sz w:val="20"/>
                <w:szCs w:val="20"/>
                <w:lang w:val="de-DE" w:eastAsia="en-GB"/>
              </w:rPr>
            </w:pPr>
            <w:r w:rsidRPr="000F1FC4">
              <w:rPr>
                <w:rFonts w:ascii="Calibri" w:eastAsia="Times New Roman" w:hAnsi="Calibri" w:cs="Calibri"/>
                <w:color w:val="1D1D1B"/>
                <w:sz w:val="20"/>
                <w:szCs w:val="20"/>
                <w:lang w:val="de-DE" w:eastAsia="en-GB"/>
              </w:rPr>
              <w:t>KIT, Karlsruher Institut für Technologie</w:t>
            </w:r>
          </w:p>
        </w:tc>
      </w:tr>
      <w:tr w:rsidR="79CE8CE2" w14:paraId="0B39D4AE"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62B43FF7"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=54</w:t>
            </w:r>
          </w:p>
        </w:tc>
        <w:tc>
          <w:tcPr>
            <w:tcW w:w="1134" w:type="dxa"/>
            <w:tcBorders>
              <w:top w:val="nil"/>
              <w:left w:val="nil"/>
              <w:bottom w:val="single" w:sz="4" w:space="0" w:color="auto"/>
              <w:right w:val="single" w:sz="4" w:space="0" w:color="auto"/>
            </w:tcBorders>
            <w:vAlign w:val="bottom"/>
          </w:tcPr>
          <w:p w14:paraId="26370B75"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58</w:t>
            </w:r>
          </w:p>
        </w:tc>
        <w:tc>
          <w:tcPr>
            <w:tcW w:w="5387" w:type="dxa"/>
            <w:tcBorders>
              <w:top w:val="nil"/>
              <w:left w:val="nil"/>
              <w:bottom w:val="single" w:sz="4" w:space="0" w:color="auto"/>
              <w:right w:val="single" w:sz="4" w:space="0" w:color="auto"/>
            </w:tcBorders>
            <w:vAlign w:val="bottom"/>
          </w:tcPr>
          <w:p w14:paraId="48E1AEDD"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RWTH Aachen</w:t>
            </w:r>
          </w:p>
        </w:tc>
      </w:tr>
      <w:tr w:rsidR="79CE8CE2" w:rsidRPr="000F1FC4" w14:paraId="1323CFD6"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03119E51"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69</w:t>
            </w:r>
          </w:p>
        </w:tc>
        <w:tc>
          <w:tcPr>
            <w:tcW w:w="1134" w:type="dxa"/>
            <w:tcBorders>
              <w:top w:val="nil"/>
              <w:left w:val="nil"/>
              <w:bottom w:val="single" w:sz="4" w:space="0" w:color="auto"/>
              <w:right w:val="single" w:sz="4" w:space="0" w:color="auto"/>
            </w:tcBorders>
            <w:vAlign w:val="bottom"/>
          </w:tcPr>
          <w:p w14:paraId="7AD57CF1"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77</w:t>
            </w:r>
          </w:p>
        </w:tc>
        <w:tc>
          <w:tcPr>
            <w:tcW w:w="5387" w:type="dxa"/>
            <w:tcBorders>
              <w:top w:val="nil"/>
              <w:left w:val="nil"/>
              <w:bottom w:val="single" w:sz="4" w:space="0" w:color="auto"/>
              <w:right w:val="single" w:sz="4" w:space="0" w:color="auto"/>
            </w:tcBorders>
            <w:vAlign w:val="bottom"/>
          </w:tcPr>
          <w:p w14:paraId="585AE1B8" w14:textId="77777777" w:rsidR="79CE8CE2" w:rsidRDefault="79CE8CE2" w:rsidP="79CE8CE2">
            <w:pPr>
              <w:spacing w:after="0" w:line="240" w:lineRule="auto"/>
              <w:rPr>
                <w:rFonts w:ascii="Calibri" w:eastAsia="Times New Roman" w:hAnsi="Calibri" w:cs="Calibri"/>
                <w:color w:val="1D1D1B"/>
                <w:sz w:val="20"/>
                <w:szCs w:val="20"/>
                <w:lang w:val="de-DE" w:eastAsia="en-GB"/>
              </w:rPr>
            </w:pPr>
            <w:r w:rsidRPr="79CE8CE2">
              <w:rPr>
                <w:rFonts w:ascii="Calibri" w:eastAsia="Times New Roman" w:hAnsi="Calibri" w:cs="Calibri"/>
                <w:color w:val="1D1D1B"/>
                <w:sz w:val="20"/>
                <w:szCs w:val="20"/>
                <w:lang w:val="de-DE" w:eastAsia="en-GB"/>
              </w:rPr>
              <w:t>Rheinische Friedrich-Wilhelms-Universität Bonn</w:t>
            </w:r>
          </w:p>
        </w:tc>
      </w:tr>
      <w:tr w:rsidR="79CE8CE2" w14:paraId="2E20E713"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5A158D6A"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=71</w:t>
            </w:r>
          </w:p>
        </w:tc>
        <w:tc>
          <w:tcPr>
            <w:tcW w:w="1134" w:type="dxa"/>
            <w:tcBorders>
              <w:top w:val="nil"/>
              <w:left w:val="nil"/>
              <w:bottom w:val="single" w:sz="4" w:space="0" w:color="auto"/>
              <w:right w:val="single" w:sz="4" w:space="0" w:color="auto"/>
            </w:tcBorders>
            <w:vAlign w:val="bottom"/>
          </w:tcPr>
          <w:p w14:paraId="4287E34F"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76</w:t>
            </w:r>
          </w:p>
        </w:tc>
        <w:tc>
          <w:tcPr>
            <w:tcW w:w="5387" w:type="dxa"/>
            <w:tcBorders>
              <w:top w:val="nil"/>
              <w:left w:val="nil"/>
              <w:bottom w:val="single" w:sz="4" w:space="0" w:color="auto"/>
              <w:right w:val="single" w:sz="4" w:space="0" w:color="auto"/>
            </w:tcBorders>
            <w:vAlign w:val="bottom"/>
          </w:tcPr>
          <w:p w14:paraId="58C4206C"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Albert-Ludwigs-Universität Freiburg</w:t>
            </w:r>
          </w:p>
        </w:tc>
      </w:tr>
      <w:tr w:rsidR="79CE8CE2" w14:paraId="2C788B66"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3870DF00"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74</w:t>
            </w:r>
          </w:p>
        </w:tc>
        <w:tc>
          <w:tcPr>
            <w:tcW w:w="1134" w:type="dxa"/>
            <w:tcBorders>
              <w:top w:val="nil"/>
              <w:left w:val="nil"/>
              <w:bottom w:val="single" w:sz="4" w:space="0" w:color="auto"/>
              <w:right w:val="single" w:sz="4" w:space="0" w:color="auto"/>
            </w:tcBorders>
            <w:vAlign w:val="bottom"/>
          </w:tcPr>
          <w:p w14:paraId="74858DB6"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68</w:t>
            </w:r>
          </w:p>
        </w:tc>
        <w:tc>
          <w:tcPr>
            <w:tcW w:w="5387" w:type="dxa"/>
            <w:tcBorders>
              <w:top w:val="nil"/>
              <w:left w:val="nil"/>
              <w:bottom w:val="single" w:sz="4" w:space="0" w:color="auto"/>
              <w:right w:val="single" w:sz="4" w:space="0" w:color="auto"/>
            </w:tcBorders>
            <w:vAlign w:val="bottom"/>
          </w:tcPr>
          <w:p w14:paraId="16DD213B"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Humboldt-Universität zu Berlin</w:t>
            </w:r>
          </w:p>
        </w:tc>
      </w:tr>
      <w:tr w:rsidR="79CE8CE2" w14:paraId="6A142F34"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2DB022A2"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79</w:t>
            </w:r>
          </w:p>
        </w:tc>
        <w:tc>
          <w:tcPr>
            <w:tcW w:w="1134" w:type="dxa"/>
            <w:tcBorders>
              <w:top w:val="nil"/>
              <w:left w:val="nil"/>
              <w:bottom w:val="single" w:sz="4" w:space="0" w:color="auto"/>
              <w:right w:val="single" w:sz="4" w:space="0" w:color="auto"/>
            </w:tcBorders>
            <w:vAlign w:val="bottom"/>
          </w:tcPr>
          <w:p w14:paraId="33B4DBC2"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93</w:t>
            </w:r>
          </w:p>
        </w:tc>
        <w:tc>
          <w:tcPr>
            <w:tcW w:w="5387" w:type="dxa"/>
            <w:tcBorders>
              <w:top w:val="nil"/>
              <w:left w:val="nil"/>
              <w:bottom w:val="single" w:sz="4" w:space="0" w:color="auto"/>
              <w:right w:val="single" w:sz="4" w:space="0" w:color="auto"/>
            </w:tcBorders>
            <w:vAlign w:val="bottom"/>
          </w:tcPr>
          <w:p w14:paraId="24632203"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Technische Universität Dresden</w:t>
            </w:r>
          </w:p>
        </w:tc>
      </w:tr>
      <w:tr w:rsidR="79CE8CE2" w14:paraId="71AF27E2"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4A8B3AC1"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82</w:t>
            </w:r>
          </w:p>
        </w:tc>
        <w:tc>
          <w:tcPr>
            <w:tcW w:w="1134" w:type="dxa"/>
            <w:tcBorders>
              <w:top w:val="nil"/>
              <w:left w:val="nil"/>
              <w:bottom w:val="single" w:sz="4" w:space="0" w:color="auto"/>
              <w:right w:val="single" w:sz="4" w:space="0" w:color="auto"/>
            </w:tcBorders>
            <w:vAlign w:val="bottom"/>
          </w:tcPr>
          <w:p w14:paraId="77D4D52B"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81</w:t>
            </w:r>
          </w:p>
        </w:tc>
        <w:tc>
          <w:tcPr>
            <w:tcW w:w="5387" w:type="dxa"/>
            <w:tcBorders>
              <w:top w:val="nil"/>
              <w:left w:val="nil"/>
              <w:bottom w:val="single" w:sz="4" w:space="0" w:color="auto"/>
              <w:right w:val="single" w:sz="4" w:space="0" w:color="auto"/>
            </w:tcBorders>
            <w:vAlign w:val="bottom"/>
          </w:tcPr>
          <w:p w14:paraId="716F20F0"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Universität Hamburg</w:t>
            </w:r>
          </w:p>
        </w:tc>
      </w:tr>
      <w:tr w:rsidR="79CE8CE2" w14:paraId="56D8EE80"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2DB1595D"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83</w:t>
            </w:r>
          </w:p>
        </w:tc>
        <w:tc>
          <w:tcPr>
            <w:tcW w:w="1134" w:type="dxa"/>
            <w:tcBorders>
              <w:top w:val="nil"/>
              <w:left w:val="nil"/>
              <w:bottom w:val="single" w:sz="4" w:space="0" w:color="auto"/>
              <w:right w:val="single" w:sz="4" w:space="0" w:color="auto"/>
            </w:tcBorders>
            <w:vAlign w:val="bottom"/>
          </w:tcPr>
          <w:p w14:paraId="5C9D2A23"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82</w:t>
            </w:r>
          </w:p>
        </w:tc>
        <w:tc>
          <w:tcPr>
            <w:tcW w:w="5387" w:type="dxa"/>
            <w:tcBorders>
              <w:top w:val="nil"/>
              <w:left w:val="nil"/>
              <w:bottom w:val="single" w:sz="4" w:space="0" w:color="auto"/>
              <w:right w:val="single" w:sz="4" w:space="0" w:color="auto"/>
            </w:tcBorders>
            <w:vAlign w:val="bottom"/>
          </w:tcPr>
          <w:p w14:paraId="78EBB995"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Universität Göttingen</w:t>
            </w:r>
          </w:p>
        </w:tc>
      </w:tr>
      <w:tr w:rsidR="79CE8CE2" w14:paraId="211A2984"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3B519E94"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=86</w:t>
            </w:r>
          </w:p>
        </w:tc>
        <w:tc>
          <w:tcPr>
            <w:tcW w:w="1134" w:type="dxa"/>
            <w:tcBorders>
              <w:top w:val="nil"/>
              <w:left w:val="nil"/>
              <w:bottom w:val="single" w:sz="4" w:space="0" w:color="auto"/>
              <w:right w:val="single" w:sz="4" w:space="0" w:color="auto"/>
            </w:tcBorders>
            <w:vAlign w:val="bottom"/>
          </w:tcPr>
          <w:p w14:paraId="569946D9"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=84</w:t>
            </w:r>
          </w:p>
        </w:tc>
        <w:tc>
          <w:tcPr>
            <w:tcW w:w="5387" w:type="dxa"/>
            <w:tcBorders>
              <w:top w:val="nil"/>
              <w:left w:val="nil"/>
              <w:bottom w:val="single" w:sz="4" w:space="0" w:color="auto"/>
              <w:right w:val="single" w:sz="4" w:space="0" w:color="auto"/>
            </w:tcBorders>
            <w:vAlign w:val="bottom"/>
          </w:tcPr>
          <w:p w14:paraId="5A3FA977"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Eberhard Karls Universität Tübingen</w:t>
            </w:r>
          </w:p>
        </w:tc>
      </w:tr>
      <w:tr w:rsidR="79CE8CE2" w14:paraId="2B139FD7" w14:textId="77777777" w:rsidTr="79CE8CE2">
        <w:trPr>
          <w:trHeight w:val="300"/>
          <w:jc w:val="center"/>
        </w:trPr>
        <w:tc>
          <w:tcPr>
            <w:tcW w:w="1129" w:type="dxa"/>
            <w:tcBorders>
              <w:top w:val="nil"/>
              <w:left w:val="single" w:sz="4" w:space="0" w:color="auto"/>
              <w:bottom w:val="single" w:sz="4" w:space="0" w:color="auto"/>
              <w:right w:val="single" w:sz="4" w:space="0" w:color="auto"/>
            </w:tcBorders>
            <w:vAlign w:val="bottom"/>
          </w:tcPr>
          <w:p w14:paraId="008A1A9D"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=88</w:t>
            </w:r>
          </w:p>
        </w:tc>
        <w:tc>
          <w:tcPr>
            <w:tcW w:w="1134" w:type="dxa"/>
            <w:tcBorders>
              <w:top w:val="nil"/>
              <w:left w:val="nil"/>
              <w:bottom w:val="single" w:sz="4" w:space="0" w:color="auto"/>
              <w:right w:val="single" w:sz="4" w:space="0" w:color="auto"/>
            </w:tcBorders>
            <w:vAlign w:val="bottom"/>
          </w:tcPr>
          <w:p w14:paraId="2944C088" w14:textId="77777777" w:rsidR="79CE8CE2" w:rsidRDefault="79CE8CE2" w:rsidP="79CE8CE2">
            <w:pPr>
              <w:spacing w:after="0" w:line="240" w:lineRule="auto"/>
              <w:jc w:val="center"/>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100</w:t>
            </w:r>
          </w:p>
        </w:tc>
        <w:tc>
          <w:tcPr>
            <w:tcW w:w="5387" w:type="dxa"/>
            <w:tcBorders>
              <w:top w:val="nil"/>
              <w:left w:val="nil"/>
              <w:bottom w:val="single" w:sz="4" w:space="0" w:color="auto"/>
              <w:right w:val="single" w:sz="4" w:space="0" w:color="auto"/>
            </w:tcBorders>
            <w:vAlign w:val="bottom"/>
          </w:tcPr>
          <w:p w14:paraId="54A4BACD" w14:textId="77777777" w:rsidR="79CE8CE2" w:rsidRDefault="79CE8CE2" w:rsidP="79CE8CE2">
            <w:pPr>
              <w:spacing w:after="0" w:line="240" w:lineRule="auto"/>
              <w:rPr>
                <w:rFonts w:ascii="Calibri" w:eastAsia="Times New Roman" w:hAnsi="Calibri" w:cs="Calibri"/>
                <w:color w:val="1D1D1B"/>
                <w:sz w:val="20"/>
                <w:szCs w:val="20"/>
                <w:lang w:eastAsia="en-GB"/>
              </w:rPr>
            </w:pPr>
            <w:r w:rsidRPr="79CE8CE2">
              <w:rPr>
                <w:rFonts w:ascii="Calibri" w:eastAsia="Times New Roman" w:hAnsi="Calibri" w:cs="Calibri"/>
                <w:color w:val="1D1D1B"/>
                <w:sz w:val="20"/>
                <w:szCs w:val="20"/>
                <w:lang w:eastAsia="en-GB"/>
              </w:rPr>
              <w:t>Universität zu Köln</w:t>
            </w:r>
          </w:p>
        </w:tc>
      </w:tr>
    </w:tbl>
    <w:p w14:paraId="41FD0CBB" w14:textId="3C622B19" w:rsidR="004E3CE8" w:rsidRDefault="004E3CE8" w:rsidP="79CE8CE2">
      <w:pPr>
        <w:spacing w:line="360" w:lineRule="auto"/>
        <w:rPr>
          <w:rFonts w:ascii="Calibri" w:hAnsi="Calibri" w:cs="Calibri"/>
          <w:sz w:val="22"/>
          <w:szCs w:val="22"/>
          <w:lang w:val="en-US"/>
        </w:rPr>
      </w:pPr>
    </w:p>
    <w:p w14:paraId="5AC14FF2" w14:textId="053051A5" w:rsidR="004E3CE8" w:rsidRDefault="004E3CE8" w:rsidP="79CE8CE2">
      <w:pPr>
        <w:spacing w:line="360" w:lineRule="auto"/>
        <w:rPr>
          <w:rFonts w:ascii="Calibri" w:hAnsi="Calibri" w:cs="Calibri"/>
          <w:sz w:val="22"/>
          <w:szCs w:val="22"/>
        </w:rPr>
      </w:pPr>
      <w:r w:rsidRPr="000F1FC4">
        <w:rPr>
          <w:rFonts w:ascii="Calibri" w:hAnsi="Calibri" w:cs="Calibri"/>
          <w:sz w:val="22"/>
          <w:szCs w:val="22"/>
          <w:lang w:val="de-DE"/>
        </w:rPr>
        <w:lastRenderedPageBreak/>
        <w:t xml:space="preserve">Die QS-Rankings für Europa werden anhand der Punktzahlen einer Einrichtung in </w:t>
      </w:r>
      <w:r w:rsidR="00C23217">
        <w:rPr>
          <w:rFonts w:ascii="Calibri" w:hAnsi="Calibri" w:cs="Calibri"/>
          <w:sz w:val="22"/>
          <w:szCs w:val="22"/>
          <w:lang w:val="de-DE"/>
        </w:rPr>
        <w:t xml:space="preserve">zwölf </w:t>
      </w:r>
      <w:r w:rsidRPr="000F1FC4">
        <w:rPr>
          <w:rFonts w:ascii="Calibri" w:hAnsi="Calibri" w:cs="Calibri"/>
          <w:sz w:val="22"/>
          <w:szCs w:val="22"/>
          <w:lang w:val="de-DE"/>
        </w:rPr>
        <w:t xml:space="preserve">Schlüsselindikatoren ermittelt, die speziell auf die Besonderheiten der Region zugeschnitten sind und sich von den QS-Weltuniversitätsrankings unterscheiden. Die folgende Tabelle zeigt die leistungsstärksten Universitäten in Deutschland in jedem der QS-Indikatoren. </w:t>
      </w:r>
      <w:r w:rsidRPr="79CE8CE2">
        <w:rPr>
          <w:rFonts w:ascii="Calibri" w:hAnsi="Calibri" w:cs="Calibri"/>
          <w:sz w:val="22"/>
          <w:szCs w:val="22"/>
          <w:lang w:val="en-US"/>
        </w:rPr>
        <w:t xml:space="preserve">Detaillierte Informationen zur Methodik finden Sie </w:t>
      </w:r>
      <w:hyperlink r:id="rId12">
        <w:r w:rsidRPr="79CE8CE2">
          <w:rPr>
            <w:rStyle w:val="Hyperlink"/>
            <w:rFonts w:ascii="Calibri" w:hAnsi="Calibri" w:cs="Calibri"/>
            <w:sz w:val="22"/>
            <w:szCs w:val="22"/>
          </w:rPr>
          <w:t>hier</w:t>
        </w:r>
      </w:hyperlink>
      <w:r w:rsidRPr="79CE8CE2">
        <w:rPr>
          <w:rFonts w:ascii="Calibri" w:hAnsi="Calibri" w:cs="Calibri"/>
          <w:sz w:val="22"/>
          <w:szCs w:val="22"/>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163"/>
        <w:gridCol w:w="3512"/>
        <w:gridCol w:w="954"/>
        <w:gridCol w:w="1177"/>
      </w:tblGrid>
      <w:tr w:rsidR="007177CF" w:rsidRPr="000F1FC4" w14:paraId="04D96111" w14:textId="77777777" w:rsidTr="79CE8CE2">
        <w:trPr>
          <w:trHeight w:val="300"/>
          <w:jc w:val="center"/>
        </w:trPr>
        <w:tc>
          <w:tcPr>
            <w:tcW w:w="8784" w:type="dxa"/>
            <w:gridSpan w:val="5"/>
            <w:noWrap/>
            <w:vAlign w:val="bottom"/>
            <w:hideMark/>
          </w:tcPr>
          <w:p w14:paraId="5C71626A" w14:textId="3B850170" w:rsidR="007177CF" w:rsidRPr="000F1FC4" w:rsidRDefault="603C2CBD" w:rsidP="007177CF">
            <w:pPr>
              <w:spacing w:after="0" w:line="240" w:lineRule="auto"/>
              <w:jc w:val="center"/>
              <w:rPr>
                <w:rFonts w:ascii="Calibri" w:eastAsia="Times New Roman" w:hAnsi="Calibri" w:cs="Calibri"/>
                <w:b/>
                <w:bCs/>
                <w:kern w:val="0"/>
                <w:sz w:val="20"/>
                <w:szCs w:val="20"/>
                <w:lang w:val="de-DE" w:eastAsia="en-GB"/>
                <w14:ligatures w14:val="none"/>
              </w:rPr>
            </w:pPr>
            <w:r w:rsidRPr="000F1FC4">
              <w:rPr>
                <w:rFonts w:ascii="Calibri" w:eastAsia="Times New Roman" w:hAnsi="Calibri" w:cs="Calibri"/>
                <w:b/>
                <w:bCs/>
                <w:kern w:val="0"/>
                <w:sz w:val="20"/>
                <w:szCs w:val="20"/>
                <w:lang w:val="de-DE" w:eastAsia="en-GB"/>
                <w14:ligatures w14:val="none"/>
              </w:rPr>
              <w:t>Tabelle</w:t>
            </w:r>
            <w:r w:rsidR="579520FA" w:rsidRPr="000F1FC4">
              <w:rPr>
                <w:rFonts w:ascii="Calibri" w:eastAsia="Times New Roman" w:hAnsi="Calibri" w:cs="Calibri"/>
                <w:b/>
                <w:bCs/>
                <w:kern w:val="0"/>
                <w:sz w:val="20"/>
                <w:szCs w:val="20"/>
                <w:lang w:val="de-DE" w:eastAsia="en-GB"/>
                <w14:ligatures w14:val="none"/>
              </w:rPr>
              <w:t xml:space="preserve"> 4</w:t>
            </w:r>
            <w:r w:rsidRPr="000F1FC4">
              <w:rPr>
                <w:rFonts w:ascii="Calibri" w:eastAsia="Times New Roman" w:hAnsi="Calibri" w:cs="Calibri"/>
                <w:b/>
                <w:bCs/>
                <w:kern w:val="0"/>
                <w:sz w:val="20"/>
                <w:szCs w:val="20"/>
                <w:lang w:val="de-DE" w:eastAsia="en-GB"/>
                <w14:ligatures w14:val="none"/>
              </w:rPr>
              <w:t>: Deutschland – Nationale Spitzenreiter nach Indikator</w:t>
            </w:r>
          </w:p>
        </w:tc>
      </w:tr>
      <w:tr w:rsidR="007177CF" w:rsidRPr="007177CF" w14:paraId="44091D06" w14:textId="77777777" w:rsidTr="79CE8CE2">
        <w:trPr>
          <w:trHeight w:val="300"/>
          <w:jc w:val="center"/>
        </w:trPr>
        <w:tc>
          <w:tcPr>
            <w:tcW w:w="2122" w:type="dxa"/>
            <w:noWrap/>
            <w:vAlign w:val="bottom"/>
            <w:hideMark/>
          </w:tcPr>
          <w:p w14:paraId="226D7383" w14:textId="77777777" w:rsidR="007177CF" w:rsidRPr="007177CF" w:rsidRDefault="007177CF" w:rsidP="007177CF">
            <w:pPr>
              <w:spacing w:after="0" w:line="240" w:lineRule="auto"/>
              <w:rPr>
                <w:rFonts w:ascii="Calibri" w:eastAsia="Times New Roman" w:hAnsi="Calibri" w:cs="Calibri"/>
                <w:b/>
                <w:bCs/>
                <w:kern w:val="0"/>
                <w:sz w:val="20"/>
                <w:szCs w:val="20"/>
                <w:lang w:eastAsia="en-GB"/>
                <w14:ligatures w14:val="none"/>
              </w:rPr>
            </w:pPr>
            <w:r w:rsidRPr="007177CF">
              <w:rPr>
                <w:rFonts w:ascii="Calibri" w:eastAsia="Times New Roman" w:hAnsi="Calibri" w:cs="Calibri"/>
                <w:b/>
                <w:bCs/>
                <w:kern w:val="0"/>
                <w:sz w:val="20"/>
                <w:szCs w:val="20"/>
                <w:lang w:eastAsia="en-GB"/>
                <w14:ligatures w14:val="none"/>
              </w:rPr>
              <w:t>Leistungslinsen</w:t>
            </w:r>
          </w:p>
        </w:tc>
        <w:tc>
          <w:tcPr>
            <w:tcW w:w="992" w:type="dxa"/>
            <w:noWrap/>
            <w:vAlign w:val="bottom"/>
            <w:hideMark/>
          </w:tcPr>
          <w:p w14:paraId="5BF5341E" w14:textId="77777777" w:rsidR="007177CF" w:rsidRPr="007177CF" w:rsidRDefault="007177CF" w:rsidP="007177CF">
            <w:pPr>
              <w:spacing w:after="0" w:line="240" w:lineRule="auto"/>
              <w:jc w:val="center"/>
              <w:rPr>
                <w:rFonts w:ascii="Calibri" w:eastAsia="Times New Roman" w:hAnsi="Calibri" w:cs="Calibri"/>
                <w:b/>
                <w:bCs/>
                <w:kern w:val="0"/>
                <w:sz w:val="20"/>
                <w:szCs w:val="20"/>
                <w:lang w:eastAsia="en-GB"/>
                <w14:ligatures w14:val="none"/>
              </w:rPr>
            </w:pPr>
            <w:r w:rsidRPr="007177CF">
              <w:rPr>
                <w:rFonts w:ascii="Calibri" w:eastAsia="Times New Roman" w:hAnsi="Calibri" w:cs="Calibri"/>
                <w:b/>
                <w:bCs/>
                <w:kern w:val="0"/>
                <w:sz w:val="20"/>
                <w:szCs w:val="20"/>
                <w:lang w:eastAsia="en-GB"/>
                <w14:ligatures w14:val="none"/>
              </w:rPr>
              <w:t>Gewichtung</w:t>
            </w:r>
          </w:p>
        </w:tc>
        <w:tc>
          <w:tcPr>
            <w:tcW w:w="3685" w:type="dxa"/>
            <w:noWrap/>
            <w:vAlign w:val="bottom"/>
            <w:hideMark/>
          </w:tcPr>
          <w:p w14:paraId="68DD4055" w14:textId="77777777" w:rsidR="007177CF" w:rsidRPr="007177CF" w:rsidRDefault="007177CF" w:rsidP="007177CF">
            <w:pPr>
              <w:spacing w:after="0" w:line="240" w:lineRule="auto"/>
              <w:rPr>
                <w:rFonts w:ascii="Calibri" w:eastAsia="Times New Roman" w:hAnsi="Calibri" w:cs="Calibri"/>
                <w:b/>
                <w:bCs/>
                <w:kern w:val="0"/>
                <w:sz w:val="20"/>
                <w:szCs w:val="20"/>
                <w:lang w:eastAsia="en-GB"/>
                <w14:ligatures w14:val="none"/>
              </w:rPr>
            </w:pPr>
            <w:r w:rsidRPr="007177CF">
              <w:rPr>
                <w:rFonts w:ascii="Calibri" w:eastAsia="Times New Roman" w:hAnsi="Calibri" w:cs="Calibri"/>
                <w:b/>
                <w:bCs/>
                <w:kern w:val="0"/>
                <w:sz w:val="20"/>
                <w:szCs w:val="20"/>
                <w:lang w:eastAsia="en-GB"/>
                <w14:ligatures w14:val="none"/>
              </w:rPr>
              <w:t>Spitzenreiter im Inland</w:t>
            </w:r>
          </w:p>
        </w:tc>
        <w:tc>
          <w:tcPr>
            <w:tcW w:w="993" w:type="dxa"/>
            <w:noWrap/>
            <w:vAlign w:val="bottom"/>
            <w:hideMark/>
          </w:tcPr>
          <w:p w14:paraId="0AF9EA21" w14:textId="77777777" w:rsidR="007177CF" w:rsidRPr="007177CF" w:rsidRDefault="007177CF" w:rsidP="007177CF">
            <w:pPr>
              <w:spacing w:after="0" w:line="240" w:lineRule="auto"/>
              <w:jc w:val="center"/>
              <w:rPr>
                <w:rFonts w:ascii="Calibri" w:eastAsia="Times New Roman" w:hAnsi="Calibri" w:cs="Calibri"/>
                <w:b/>
                <w:bCs/>
                <w:kern w:val="0"/>
                <w:sz w:val="20"/>
                <w:szCs w:val="20"/>
                <w:lang w:eastAsia="en-GB"/>
                <w14:ligatures w14:val="none"/>
              </w:rPr>
            </w:pPr>
            <w:r w:rsidRPr="007177CF">
              <w:rPr>
                <w:rFonts w:ascii="Calibri" w:eastAsia="Times New Roman" w:hAnsi="Calibri" w:cs="Calibri"/>
                <w:b/>
                <w:bCs/>
                <w:kern w:val="0"/>
                <w:sz w:val="20"/>
                <w:szCs w:val="20"/>
                <w:lang w:eastAsia="en-GB"/>
                <w14:ligatures w14:val="none"/>
              </w:rPr>
              <w:t>Indikator Rang</w:t>
            </w:r>
          </w:p>
        </w:tc>
        <w:tc>
          <w:tcPr>
            <w:tcW w:w="992" w:type="dxa"/>
            <w:noWrap/>
            <w:vAlign w:val="bottom"/>
            <w:hideMark/>
          </w:tcPr>
          <w:p w14:paraId="3097A105" w14:textId="77777777" w:rsidR="007177CF" w:rsidRPr="007177CF" w:rsidRDefault="007177CF" w:rsidP="007177CF">
            <w:pPr>
              <w:spacing w:after="0" w:line="240" w:lineRule="auto"/>
              <w:jc w:val="center"/>
              <w:rPr>
                <w:rFonts w:ascii="Calibri" w:eastAsia="Times New Roman" w:hAnsi="Calibri" w:cs="Calibri"/>
                <w:b/>
                <w:bCs/>
                <w:kern w:val="0"/>
                <w:sz w:val="20"/>
                <w:szCs w:val="20"/>
                <w:lang w:eastAsia="en-GB"/>
                <w14:ligatures w14:val="none"/>
              </w:rPr>
            </w:pPr>
            <w:r w:rsidRPr="007177CF">
              <w:rPr>
                <w:rFonts w:ascii="Calibri" w:eastAsia="Times New Roman" w:hAnsi="Calibri" w:cs="Calibri"/>
                <w:b/>
                <w:bCs/>
                <w:kern w:val="0"/>
                <w:sz w:val="20"/>
                <w:szCs w:val="20"/>
                <w:lang w:eastAsia="en-GB"/>
                <w14:ligatures w14:val="none"/>
              </w:rPr>
              <w:t>Gesamtrang</w:t>
            </w:r>
          </w:p>
        </w:tc>
      </w:tr>
      <w:tr w:rsidR="007177CF" w:rsidRPr="007177CF" w14:paraId="364A8BDB" w14:textId="77777777" w:rsidTr="79CE8CE2">
        <w:trPr>
          <w:trHeight w:val="300"/>
          <w:jc w:val="center"/>
        </w:trPr>
        <w:tc>
          <w:tcPr>
            <w:tcW w:w="2122" w:type="dxa"/>
            <w:noWrap/>
            <w:vAlign w:val="bottom"/>
            <w:hideMark/>
          </w:tcPr>
          <w:p w14:paraId="2CAB51B6"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Akademischer Ruf</w:t>
            </w:r>
          </w:p>
        </w:tc>
        <w:tc>
          <w:tcPr>
            <w:tcW w:w="992" w:type="dxa"/>
            <w:noWrap/>
            <w:vAlign w:val="center"/>
            <w:hideMark/>
          </w:tcPr>
          <w:p w14:paraId="436A877D"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30</w:t>
            </w:r>
          </w:p>
        </w:tc>
        <w:tc>
          <w:tcPr>
            <w:tcW w:w="3685" w:type="dxa"/>
            <w:noWrap/>
            <w:vAlign w:val="bottom"/>
            <w:hideMark/>
          </w:tcPr>
          <w:p w14:paraId="68DC8E1D"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Ludwig-Maximilians-Universität München</w:t>
            </w:r>
          </w:p>
        </w:tc>
        <w:tc>
          <w:tcPr>
            <w:tcW w:w="993" w:type="dxa"/>
            <w:noWrap/>
            <w:vAlign w:val="bottom"/>
            <w:hideMark/>
          </w:tcPr>
          <w:p w14:paraId="7044E837"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8</w:t>
            </w:r>
          </w:p>
        </w:tc>
        <w:tc>
          <w:tcPr>
            <w:tcW w:w="992" w:type="dxa"/>
            <w:noWrap/>
            <w:vAlign w:val="bottom"/>
            <w:hideMark/>
          </w:tcPr>
          <w:p w14:paraId="1E8D8596"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=17</w:t>
            </w:r>
          </w:p>
        </w:tc>
      </w:tr>
      <w:tr w:rsidR="007177CF" w:rsidRPr="007177CF" w14:paraId="490C092E" w14:textId="77777777" w:rsidTr="79CE8CE2">
        <w:trPr>
          <w:trHeight w:val="300"/>
          <w:jc w:val="center"/>
        </w:trPr>
        <w:tc>
          <w:tcPr>
            <w:tcW w:w="2122" w:type="dxa"/>
            <w:noWrap/>
            <w:vAlign w:val="bottom"/>
            <w:hideMark/>
          </w:tcPr>
          <w:p w14:paraId="64E42B85"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Reputation bei Arbeitgebern</w:t>
            </w:r>
          </w:p>
        </w:tc>
        <w:tc>
          <w:tcPr>
            <w:tcW w:w="992" w:type="dxa"/>
            <w:noWrap/>
            <w:vAlign w:val="center"/>
            <w:hideMark/>
          </w:tcPr>
          <w:p w14:paraId="20667ACA"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15</w:t>
            </w:r>
          </w:p>
        </w:tc>
        <w:tc>
          <w:tcPr>
            <w:tcW w:w="3685" w:type="dxa"/>
            <w:noWrap/>
            <w:vAlign w:val="bottom"/>
            <w:hideMark/>
          </w:tcPr>
          <w:p w14:paraId="16815953"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Technische Universität München</w:t>
            </w:r>
          </w:p>
        </w:tc>
        <w:tc>
          <w:tcPr>
            <w:tcW w:w="993" w:type="dxa"/>
            <w:noWrap/>
            <w:vAlign w:val="bottom"/>
            <w:hideMark/>
          </w:tcPr>
          <w:p w14:paraId="7B4C72A1"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5</w:t>
            </w:r>
          </w:p>
        </w:tc>
        <w:tc>
          <w:tcPr>
            <w:tcW w:w="992" w:type="dxa"/>
            <w:noWrap/>
            <w:vAlign w:val="bottom"/>
            <w:hideMark/>
          </w:tcPr>
          <w:p w14:paraId="3ED69482"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=12</w:t>
            </w:r>
          </w:p>
        </w:tc>
      </w:tr>
      <w:tr w:rsidR="007177CF" w:rsidRPr="007177CF" w14:paraId="4A517A5D" w14:textId="77777777" w:rsidTr="79CE8CE2">
        <w:trPr>
          <w:trHeight w:val="300"/>
          <w:jc w:val="center"/>
        </w:trPr>
        <w:tc>
          <w:tcPr>
            <w:tcW w:w="2122" w:type="dxa"/>
            <w:noWrap/>
            <w:vAlign w:val="bottom"/>
            <w:hideMark/>
          </w:tcPr>
          <w:p w14:paraId="6DC90E43" w14:textId="77777777" w:rsidR="007177CF" w:rsidRPr="000F1FC4" w:rsidRDefault="007177CF" w:rsidP="007177CF">
            <w:pPr>
              <w:spacing w:after="0" w:line="240" w:lineRule="auto"/>
              <w:rPr>
                <w:rFonts w:ascii="Calibri" w:eastAsia="Times New Roman" w:hAnsi="Calibri" w:cs="Calibri"/>
                <w:kern w:val="0"/>
                <w:sz w:val="20"/>
                <w:szCs w:val="20"/>
                <w:lang w:val="de-DE" w:eastAsia="en-GB"/>
                <w14:ligatures w14:val="none"/>
              </w:rPr>
            </w:pPr>
            <w:r w:rsidRPr="000F1FC4">
              <w:rPr>
                <w:rFonts w:ascii="Calibri" w:eastAsia="Times New Roman" w:hAnsi="Calibri" w:cs="Calibri"/>
                <w:kern w:val="0"/>
                <w:sz w:val="20"/>
                <w:szCs w:val="20"/>
                <w:lang w:val="de-DE" w:eastAsia="en-GB"/>
                <w14:ligatures w14:val="none"/>
              </w:rPr>
              <w:t>Verhältnis zwischen Lehrkräften und Studierenden</w:t>
            </w:r>
          </w:p>
        </w:tc>
        <w:tc>
          <w:tcPr>
            <w:tcW w:w="992" w:type="dxa"/>
            <w:noWrap/>
            <w:vAlign w:val="center"/>
            <w:hideMark/>
          </w:tcPr>
          <w:p w14:paraId="55351766"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5</w:t>
            </w:r>
          </w:p>
        </w:tc>
        <w:tc>
          <w:tcPr>
            <w:tcW w:w="3685" w:type="dxa"/>
            <w:noWrap/>
            <w:vAlign w:val="bottom"/>
            <w:hideMark/>
          </w:tcPr>
          <w:p w14:paraId="70CF9605"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Universität Heidelberg</w:t>
            </w:r>
          </w:p>
        </w:tc>
        <w:tc>
          <w:tcPr>
            <w:tcW w:w="993" w:type="dxa"/>
            <w:noWrap/>
            <w:vAlign w:val="bottom"/>
            <w:hideMark/>
          </w:tcPr>
          <w:p w14:paraId="66BB2238"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9</w:t>
            </w:r>
          </w:p>
        </w:tc>
        <w:tc>
          <w:tcPr>
            <w:tcW w:w="992" w:type="dxa"/>
            <w:noWrap/>
            <w:vAlign w:val="bottom"/>
            <w:hideMark/>
          </w:tcPr>
          <w:p w14:paraId="341CA778"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2</w:t>
            </w:r>
          </w:p>
        </w:tc>
      </w:tr>
      <w:tr w:rsidR="007177CF" w:rsidRPr="007177CF" w14:paraId="50864056" w14:textId="77777777" w:rsidTr="79CE8CE2">
        <w:trPr>
          <w:trHeight w:val="300"/>
          <w:jc w:val="center"/>
        </w:trPr>
        <w:tc>
          <w:tcPr>
            <w:tcW w:w="2122" w:type="dxa"/>
            <w:noWrap/>
            <w:vAlign w:val="bottom"/>
            <w:hideMark/>
          </w:tcPr>
          <w:p w14:paraId="32D01E79"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Zitate pro Veröffentlichung</w:t>
            </w:r>
          </w:p>
        </w:tc>
        <w:tc>
          <w:tcPr>
            <w:tcW w:w="992" w:type="dxa"/>
            <w:noWrap/>
            <w:vAlign w:val="center"/>
            <w:hideMark/>
          </w:tcPr>
          <w:p w14:paraId="752DD5E1"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10</w:t>
            </w:r>
          </w:p>
        </w:tc>
        <w:tc>
          <w:tcPr>
            <w:tcW w:w="3685" w:type="dxa"/>
            <w:noWrap/>
            <w:vAlign w:val="bottom"/>
            <w:hideMark/>
          </w:tcPr>
          <w:p w14:paraId="7A731557"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Bauhaus-Universität Weimar</w:t>
            </w:r>
          </w:p>
        </w:tc>
        <w:tc>
          <w:tcPr>
            <w:tcW w:w="993" w:type="dxa"/>
            <w:noWrap/>
            <w:vAlign w:val="bottom"/>
            <w:hideMark/>
          </w:tcPr>
          <w:p w14:paraId="2C06AD82"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31</w:t>
            </w:r>
          </w:p>
        </w:tc>
        <w:tc>
          <w:tcPr>
            <w:tcW w:w="992" w:type="dxa"/>
            <w:noWrap/>
            <w:vAlign w:val="bottom"/>
            <w:hideMark/>
          </w:tcPr>
          <w:p w14:paraId="173B144B"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438</w:t>
            </w:r>
          </w:p>
        </w:tc>
      </w:tr>
      <w:tr w:rsidR="007177CF" w:rsidRPr="007177CF" w14:paraId="6971D640" w14:textId="77777777" w:rsidTr="79CE8CE2">
        <w:trPr>
          <w:trHeight w:val="300"/>
          <w:jc w:val="center"/>
        </w:trPr>
        <w:tc>
          <w:tcPr>
            <w:tcW w:w="2122" w:type="dxa"/>
            <w:noWrap/>
            <w:vAlign w:val="bottom"/>
            <w:hideMark/>
          </w:tcPr>
          <w:p w14:paraId="495EFAD5"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Publikationen pro Fakultät</w:t>
            </w:r>
          </w:p>
        </w:tc>
        <w:tc>
          <w:tcPr>
            <w:tcW w:w="992" w:type="dxa"/>
            <w:noWrap/>
            <w:vAlign w:val="center"/>
            <w:hideMark/>
          </w:tcPr>
          <w:p w14:paraId="5BC9A42E"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5</w:t>
            </w:r>
          </w:p>
        </w:tc>
        <w:tc>
          <w:tcPr>
            <w:tcW w:w="3685" w:type="dxa"/>
            <w:noWrap/>
            <w:vAlign w:val="bottom"/>
            <w:hideMark/>
          </w:tcPr>
          <w:p w14:paraId="61AC5AA4"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Technische Universität Ilmenau</w:t>
            </w:r>
          </w:p>
        </w:tc>
        <w:tc>
          <w:tcPr>
            <w:tcW w:w="993" w:type="dxa"/>
            <w:noWrap/>
            <w:vAlign w:val="bottom"/>
            <w:hideMark/>
          </w:tcPr>
          <w:p w14:paraId="2C1E2EEE"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3</w:t>
            </w:r>
          </w:p>
        </w:tc>
        <w:tc>
          <w:tcPr>
            <w:tcW w:w="992" w:type="dxa"/>
            <w:noWrap/>
            <w:vAlign w:val="bottom"/>
            <w:hideMark/>
          </w:tcPr>
          <w:p w14:paraId="1CFB22C6"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551-560</w:t>
            </w:r>
          </w:p>
        </w:tc>
      </w:tr>
      <w:tr w:rsidR="007177CF" w:rsidRPr="007177CF" w14:paraId="2BCF9EDF" w14:textId="77777777" w:rsidTr="79CE8CE2">
        <w:trPr>
          <w:trHeight w:val="300"/>
          <w:jc w:val="center"/>
        </w:trPr>
        <w:tc>
          <w:tcPr>
            <w:tcW w:w="2122" w:type="dxa"/>
            <w:noWrap/>
            <w:vAlign w:val="bottom"/>
            <w:hideMark/>
          </w:tcPr>
          <w:p w14:paraId="4F354AA9"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Internationales Forschungsnetzwerk</w:t>
            </w:r>
          </w:p>
        </w:tc>
        <w:tc>
          <w:tcPr>
            <w:tcW w:w="992" w:type="dxa"/>
            <w:noWrap/>
            <w:vAlign w:val="center"/>
            <w:hideMark/>
          </w:tcPr>
          <w:p w14:paraId="4A7E276F"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10</w:t>
            </w:r>
          </w:p>
        </w:tc>
        <w:tc>
          <w:tcPr>
            <w:tcW w:w="3685" w:type="dxa"/>
            <w:noWrap/>
            <w:vAlign w:val="bottom"/>
            <w:hideMark/>
          </w:tcPr>
          <w:p w14:paraId="64BBB8B2" w14:textId="77777777" w:rsidR="007177CF" w:rsidRPr="007177CF" w:rsidRDefault="007177CF" w:rsidP="007177CF">
            <w:pPr>
              <w:spacing w:after="0" w:line="240" w:lineRule="auto"/>
              <w:rPr>
                <w:rFonts w:ascii="Calibri" w:eastAsia="Times New Roman" w:hAnsi="Calibri" w:cs="Calibri"/>
                <w:kern w:val="0"/>
                <w:sz w:val="20"/>
                <w:szCs w:val="20"/>
                <w:lang w:val="de-DE" w:eastAsia="en-GB"/>
                <w14:ligatures w14:val="none"/>
              </w:rPr>
            </w:pPr>
            <w:r w:rsidRPr="007177CF">
              <w:rPr>
                <w:rFonts w:ascii="Calibri" w:eastAsia="Times New Roman" w:hAnsi="Calibri" w:cs="Calibri"/>
                <w:kern w:val="0"/>
                <w:sz w:val="20"/>
                <w:szCs w:val="20"/>
                <w:lang w:val="de-DE" w:eastAsia="en-GB"/>
                <w14:ligatures w14:val="none"/>
              </w:rPr>
              <w:t>Rheinische Friedrich-Wilhelms-Universität Bonn</w:t>
            </w:r>
          </w:p>
        </w:tc>
        <w:tc>
          <w:tcPr>
            <w:tcW w:w="993" w:type="dxa"/>
            <w:noWrap/>
            <w:vAlign w:val="bottom"/>
            <w:hideMark/>
          </w:tcPr>
          <w:p w14:paraId="10A969AC"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36</w:t>
            </w:r>
          </w:p>
        </w:tc>
        <w:tc>
          <w:tcPr>
            <w:tcW w:w="992" w:type="dxa"/>
            <w:noWrap/>
            <w:vAlign w:val="bottom"/>
            <w:hideMark/>
          </w:tcPr>
          <w:p w14:paraId="4E479944"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69</w:t>
            </w:r>
          </w:p>
        </w:tc>
      </w:tr>
      <w:tr w:rsidR="007177CF" w:rsidRPr="007177CF" w14:paraId="7836CB80" w14:textId="77777777" w:rsidTr="79CE8CE2">
        <w:trPr>
          <w:trHeight w:val="300"/>
          <w:jc w:val="center"/>
        </w:trPr>
        <w:tc>
          <w:tcPr>
            <w:tcW w:w="2122" w:type="dxa"/>
            <w:noWrap/>
            <w:vAlign w:val="bottom"/>
            <w:hideMark/>
          </w:tcPr>
          <w:p w14:paraId="570E8A55"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Internationale Fakultät</w:t>
            </w:r>
          </w:p>
        </w:tc>
        <w:tc>
          <w:tcPr>
            <w:tcW w:w="992" w:type="dxa"/>
            <w:noWrap/>
            <w:vAlign w:val="center"/>
            <w:hideMark/>
          </w:tcPr>
          <w:p w14:paraId="63DDB6FE"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5</w:t>
            </w:r>
          </w:p>
        </w:tc>
        <w:tc>
          <w:tcPr>
            <w:tcW w:w="3685" w:type="dxa"/>
            <w:noWrap/>
            <w:vAlign w:val="bottom"/>
            <w:hideMark/>
          </w:tcPr>
          <w:p w14:paraId="4BC21F7D"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Technische Universität Dresden</w:t>
            </w:r>
          </w:p>
        </w:tc>
        <w:tc>
          <w:tcPr>
            <w:tcW w:w="993" w:type="dxa"/>
            <w:noWrap/>
            <w:vAlign w:val="bottom"/>
            <w:hideMark/>
          </w:tcPr>
          <w:p w14:paraId="713EE9DB"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36</w:t>
            </w:r>
          </w:p>
        </w:tc>
        <w:tc>
          <w:tcPr>
            <w:tcW w:w="992" w:type="dxa"/>
            <w:noWrap/>
            <w:vAlign w:val="bottom"/>
            <w:hideMark/>
          </w:tcPr>
          <w:p w14:paraId="159E6288"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79</w:t>
            </w:r>
          </w:p>
        </w:tc>
      </w:tr>
      <w:tr w:rsidR="007177CF" w:rsidRPr="007177CF" w14:paraId="73A27751" w14:textId="77777777" w:rsidTr="79CE8CE2">
        <w:trPr>
          <w:trHeight w:val="300"/>
          <w:jc w:val="center"/>
        </w:trPr>
        <w:tc>
          <w:tcPr>
            <w:tcW w:w="2122" w:type="dxa"/>
            <w:noWrap/>
            <w:vAlign w:val="bottom"/>
            <w:hideMark/>
          </w:tcPr>
          <w:p w14:paraId="6929F45E"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Internationale Studierende</w:t>
            </w:r>
          </w:p>
        </w:tc>
        <w:tc>
          <w:tcPr>
            <w:tcW w:w="992" w:type="dxa"/>
            <w:noWrap/>
            <w:vAlign w:val="center"/>
            <w:hideMark/>
          </w:tcPr>
          <w:p w14:paraId="0990B88E"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5</w:t>
            </w:r>
          </w:p>
        </w:tc>
        <w:tc>
          <w:tcPr>
            <w:tcW w:w="3685" w:type="dxa"/>
            <w:noWrap/>
            <w:vAlign w:val="bottom"/>
            <w:hideMark/>
          </w:tcPr>
          <w:p w14:paraId="1004E379"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Konstrukteur Universität Bremen</w:t>
            </w:r>
          </w:p>
        </w:tc>
        <w:tc>
          <w:tcPr>
            <w:tcW w:w="993" w:type="dxa"/>
            <w:noWrap/>
            <w:vAlign w:val="bottom"/>
            <w:hideMark/>
          </w:tcPr>
          <w:p w14:paraId="2697622A"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1</w:t>
            </w:r>
          </w:p>
        </w:tc>
        <w:tc>
          <w:tcPr>
            <w:tcW w:w="992" w:type="dxa"/>
            <w:noWrap/>
            <w:vAlign w:val="bottom"/>
            <w:hideMark/>
          </w:tcPr>
          <w:p w14:paraId="189DAA7F"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315</w:t>
            </w:r>
          </w:p>
        </w:tc>
      </w:tr>
      <w:tr w:rsidR="007177CF" w:rsidRPr="007177CF" w14:paraId="05C47E58" w14:textId="77777777" w:rsidTr="79CE8CE2">
        <w:trPr>
          <w:trHeight w:val="300"/>
          <w:jc w:val="center"/>
        </w:trPr>
        <w:tc>
          <w:tcPr>
            <w:tcW w:w="2122" w:type="dxa"/>
            <w:noWrap/>
            <w:vAlign w:val="bottom"/>
            <w:hideMark/>
          </w:tcPr>
          <w:p w14:paraId="3AC84C92"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Incoming-Austauschstudierende</w:t>
            </w:r>
          </w:p>
        </w:tc>
        <w:tc>
          <w:tcPr>
            <w:tcW w:w="992" w:type="dxa"/>
            <w:noWrap/>
            <w:vAlign w:val="center"/>
            <w:hideMark/>
          </w:tcPr>
          <w:p w14:paraId="312E577B"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2,5</w:t>
            </w:r>
          </w:p>
        </w:tc>
        <w:tc>
          <w:tcPr>
            <w:tcW w:w="3685" w:type="dxa"/>
            <w:noWrap/>
            <w:vAlign w:val="bottom"/>
            <w:hideMark/>
          </w:tcPr>
          <w:p w14:paraId="59DEC660"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Universität Mannheim</w:t>
            </w:r>
          </w:p>
        </w:tc>
        <w:tc>
          <w:tcPr>
            <w:tcW w:w="993" w:type="dxa"/>
            <w:noWrap/>
            <w:vAlign w:val="bottom"/>
            <w:hideMark/>
          </w:tcPr>
          <w:p w14:paraId="526D2FA9"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5</w:t>
            </w:r>
          </w:p>
        </w:tc>
        <w:tc>
          <w:tcPr>
            <w:tcW w:w="992" w:type="dxa"/>
            <w:noWrap/>
            <w:vAlign w:val="bottom"/>
            <w:hideMark/>
          </w:tcPr>
          <w:p w14:paraId="41CA379E"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=162</w:t>
            </w:r>
          </w:p>
        </w:tc>
      </w:tr>
      <w:tr w:rsidR="007177CF" w:rsidRPr="007177CF" w14:paraId="2B4F53AD" w14:textId="77777777" w:rsidTr="79CE8CE2">
        <w:trPr>
          <w:trHeight w:val="300"/>
          <w:jc w:val="center"/>
        </w:trPr>
        <w:tc>
          <w:tcPr>
            <w:tcW w:w="2122" w:type="dxa"/>
            <w:noWrap/>
            <w:vAlign w:val="bottom"/>
            <w:hideMark/>
          </w:tcPr>
          <w:p w14:paraId="5E2FB68E"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Auslandsstudierende</w:t>
            </w:r>
          </w:p>
        </w:tc>
        <w:tc>
          <w:tcPr>
            <w:tcW w:w="992" w:type="dxa"/>
            <w:noWrap/>
            <w:vAlign w:val="center"/>
            <w:hideMark/>
          </w:tcPr>
          <w:p w14:paraId="677B5574"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2,5</w:t>
            </w:r>
          </w:p>
        </w:tc>
        <w:tc>
          <w:tcPr>
            <w:tcW w:w="3685" w:type="dxa"/>
            <w:noWrap/>
            <w:vAlign w:val="bottom"/>
            <w:hideMark/>
          </w:tcPr>
          <w:p w14:paraId="018A2440"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Universität Mannheim</w:t>
            </w:r>
          </w:p>
        </w:tc>
        <w:tc>
          <w:tcPr>
            <w:tcW w:w="993" w:type="dxa"/>
            <w:noWrap/>
            <w:vAlign w:val="bottom"/>
            <w:hideMark/>
          </w:tcPr>
          <w:p w14:paraId="2B9D6E50"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4</w:t>
            </w:r>
          </w:p>
        </w:tc>
        <w:tc>
          <w:tcPr>
            <w:tcW w:w="992" w:type="dxa"/>
            <w:noWrap/>
            <w:vAlign w:val="bottom"/>
            <w:hideMark/>
          </w:tcPr>
          <w:p w14:paraId="519DBC58"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=162</w:t>
            </w:r>
          </w:p>
        </w:tc>
      </w:tr>
      <w:tr w:rsidR="007177CF" w:rsidRPr="007177CF" w14:paraId="55395683" w14:textId="77777777" w:rsidTr="79CE8CE2">
        <w:trPr>
          <w:trHeight w:val="300"/>
          <w:jc w:val="center"/>
        </w:trPr>
        <w:tc>
          <w:tcPr>
            <w:tcW w:w="2122" w:type="dxa"/>
            <w:noWrap/>
            <w:vAlign w:val="bottom"/>
            <w:hideMark/>
          </w:tcPr>
          <w:p w14:paraId="1D49CB99"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Nachhaltigkeit</w:t>
            </w:r>
          </w:p>
        </w:tc>
        <w:tc>
          <w:tcPr>
            <w:tcW w:w="992" w:type="dxa"/>
            <w:noWrap/>
            <w:vAlign w:val="center"/>
            <w:hideMark/>
          </w:tcPr>
          <w:p w14:paraId="33146574"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5</w:t>
            </w:r>
          </w:p>
        </w:tc>
        <w:tc>
          <w:tcPr>
            <w:tcW w:w="3685" w:type="dxa"/>
            <w:noWrap/>
            <w:vAlign w:val="bottom"/>
            <w:hideMark/>
          </w:tcPr>
          <w:p w14:paraId="3084E7D0"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Universität Hamburg</w:t>
            </w:r>
          </w:p>
        </w:tc>
        <w:tc>
          <w:tcPr>
            <w:tcW w:w="993" w:type="dxa"/>
            <w:noWrap/>
            <w:vAlign w:val="bottom"/>
            <w:hideMark/>
          </w:tcPr>
          <w:p w14:paraId="75BDD3C7"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26</w:t>
            </w:r>
          </w:p>
        </w:tc>
        <w:tc>
          <w:tcPr>
            <w:tcW w:w="992" w:type="dxa"/>
            <w:noWrap/>
            <w:vAlign w:val="bottom"/>
            <w:hideMark/>
          </w:tcPr>
          <w:p w14:paraId="0E72627F"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82</w:t>
            </w:r>
          </w:p>
        </w:tc>
      </w:tr>
      <w:tr w:rsidR="007177CF" w:rsidRPr="007177CF" w14:paraId="6F85F66E" w14:textId="77777777" w:rsidTr="79CE8CE2">
        <w:trPr>
          <w:trHeight w:val="300"/>
          <w:jc w:val="center"/>
        </w:trPr>
        <w:tc>
          <w:tcPr>
            <w:tcW w:w="2122" w:type="dxa"/>
            <w:noWrap/>
            <w:vAlign w:val="bottom"/>
            <w:hideMark/>
          </w:tcPr>
          <w:p w14:paraId="13B8B828"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Beschäftigungsergebnisse</w:t>
            </w:r>
          </w:p>
        </w:tc>
        <w:tc>
          <w:tcPr>
            <w:tcW w:w="992" w:type="dxa"/>
            <w:noWrap/>
            <w:vAlign w:val="center"/>
            <w:hideMark/>
          </w:tcPr>
          <w:p w14:paraId="307DA4D5"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5</w:t>
            </w:r>
          </w:p>
        </w:tc>
        <w:tc>
          <w:tcPr>
            <w:tcW w:w="3685" w:type="dxa"/>
            <w:noWrap/>
            <w:vAlign w:val="bottom"/>
            <w:hideMark/>
          </w:tcPr>
          <w:p w14:paraId="5F295219" w14:textId="77777777" w:rsidR="007177CF" w:rsidRPr="007177CF" w:rsidRDefault="007177CF" w:rsidP="007177CF">
            <w:pPr>
              <w:spacing w:after="0" w:line="240" w:lineRule="auto"/>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Ludwig-Maximilians-Universität München</w:t>
            </w:r>
          </w:p>
        </w:tc>
        <w:tc>
          <w:tcPr>
            <w:tcW w:w="993" w:type="dxa"/>
            <w:noWrap/>
            <w:vAlign w:val="bottom"/>
            <w:hideMark/>
          </w:tcPr>
          <w:p w14:paraId="4F3F774D"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59</w:t>
            </w:r>
          </w:p>
        </w:tc>
        <w:tc>
          <w:tcPr>
            <w:tcW w:w="992" w:type="dxa"/>
            <w:noWrap/>
            <w:vAlign w:val="bottom"/>
            <w:hideMark/>
          </w:tcPr>
          <w:p w14:paraId="50D0A63B" w14:textId="77777777" w:rsidR="007177CF" w:rsidRPr="007177CF" w:rsidRDefault="007177CF" w:rsidP="007177CF">
            <w:pPr>
              <w:spacing w:after="0" w:line="240" w:lineRule="auto"/>
              <w:jc w:val="center"/>
              <w:rPr>
                <w:rFonts w:ascii="Calibri" w:eastAsia="Times New Roman" w:hAnsi="Calibri" w:cs="Calibri"/>
                <w:kern w:val="0"/>
                <w:sz w:val="20"/>
                <w:szCs w:val="20"/>
                <w:lang w:eastAsia="en-GB"/>
                <w14:ligatures w14:val="none"/>
              </w:rPr>
            </w:pPr>
            <w:r w:rsidRPr="007177CF">
              <w:rPr>
                <w:rFonts w:ascii="Calibri" w:eastAsia="Times New Roman" w:hAnsi="Calibri" w:cs="Calibri"/>
                <w:kern w:val="0"/>
                <w:sz w:val="20"/>
                <w:szCs w:val="20"/>
                <w:lang w:eastAsia="en-GB"/>
                <w14:ligatures w14:val="none"/>
              </w:rPr>
              <w:t>=17</w:t>
            </w:r>
          </w:p>
        </w:tc>
      </w:tr>
    </w:tbl>
    <w:p w14:paraId="3231047C" w14:textId="77777777" w:rsidR="004E3CE8" w:rsidRDefault="004E3CE8" w:rsidP="004E3CE8">
      <w:pPr>
        <w:rPr>
          <w:rFonts w:ascii="Calibri" w:hAnsi="Calibri" w:cs="Calibri"/>
          <w:sz w:val="22"/>
          <w:szCs w:val="22"/>
        </w:rPr>
      </w:pPr>
    </w:p>
    <w:p w14:paraId="0D63B482" w14:textId="15EB94A1" w:rsidR="004E3CE8" w:rsidRDefault="004E3CE8" w:rsidP="79CE8CE2">
      <w:pPr>
        <w:spacing w:line="360" w:lineRule="auto"/>
        <w:rPr>
          <w:rFonts w:ascii="Calibri" w:hAnsi="Calibri" w:cs="Calibri"/>
          <w:b/>
          <w:bCs/>
          <w:sz w:val="22"/>
          <w:szCs w:val="22"/>
          <w:u w:val="single"/>
        </w:rPr>
      </w:pPr>
      <w:r w:rsidRPr="79CE8CE2">
        <w:rPr>
          <w:rFonts w:ascii="Calibri" w:hAnsi="Calibri" w:cs="Calibri"/>
          <w:b/>
          <w:bCs/>
          <w:sz w:val="22"/>
          <w:szCs w:val="22"/>
          <w:u w:val="single"/>
        </w:rPr>
        <w:t>Deutschland: Im Fokus</w:t>
      </w:r>
    </w:p>
    <w:p w14:paraId="57492CF3" w14:textId="7C9E048B" w:rsidR="004E3CE8" w:rsidRPr="000F1FC4" w:rsidRDefault="004E3CE8" w:rsidP="007177CF">
      <w:pPr>
        <w:spacing w:line="360" w:lineRule="auto"/>
        <w:rPr>
          <w:rFonts w:ascii="Calibri" w:hAnsi="Calibri" w:cs="Calibri"/>
          <w:sz w:val="22"/>
          <w:szCs w:val="22"/>
          <w:lang w:val="de-DE"/>
        </w:rPr>
      </w:pPr>
      <w:r w:rsidRPr="000F1FC4">
        <w:rPr>
          <w:rFonts w:ascii="Calibri" w:hAnsi="Calibri" w:cs="Calibri"/>
          <w:sz w:val="22"/>
          <w:szCs w:val="22"/>
          <w:lang w:val="de-DE"/>
        </w:rPr>
        <w:t xml:space="preserve">Deutschland ist </w:t>
      </w:r>
      <w:r w:rsidR="00B64321" w:rsidRPr="000F1FC4">
        <w:rPr>
          <w:rFonts w:ascii="Calibri" w:hAnsi="Calibri" w:cs="Calibri"/>
          <w:sz w:val="22"/>
          <w:szCs w:val="22"/>
          <w:lang w:val="de-DE"/>
        </w:rPr>
        <w:t xml:space="preserve">europaweit </w:t>
      </w:r>
      <w:r w:rsidRPr="000F1FC4">
        <w:rPr>
          <w:rFonts w:ascii="Calibri" w:hAnsi="Calibri" w:cs="Calibri"/>
          <w:sz w:val="22"/>
          <w:szCs w:val="22"/>
          <w:lang w:val="de-DE"/>
        </w:rPr>
        <w:t>führend in Bezug auf Lehrressourcen und Klassengröße und stellt</w:t>
      </w:r>
      <w:r w:rsidR="00C23217">
        <w:rPr>
          <w:rFonts w:ascii="Calibri" w:hAnsi="Calibri" w:cs="Calibri"/>
          <w:sz w:val="22"/>
          <w:szCs w:val="22"/>
          <w:lang w:val="de-DE"/>
        </w:rPr>
        <w:t xml:space="preserve"> zwölf</w:t>
      </w:r>
      <w:r w:rsidRPr="000F1FC4">
        <w:rPr>
          <w:rFonts w:ascii="Calibri" w:hAnsi="Calibri" w:cs="Calibri"/>
          <w:sz w:val="22"/>
          <w:szCs w:val="22"/>
          <w:lang w:val="de-DE"/>
        </w:rPr>
        <w:t xml:space="preserve"> Universitäten unter den Top 50 im Bereich „Verhältnis von Lehrkräften zu Studierenden“ – mehr als doppelt </w:t>
      </w:r>
      <w:r w:rsidR="0013064C" w:rsidRPr="000F1FC4">
        <w:rPr>
          <w:rFonts w:ascii="Calibri" w:hAnsi="Calibri" w:cs="Calibri"/>
          <w:sz w:val="22"/>
          <w:szCs w:val="22"/>
          <w:lang w:val="de-DE"/>
        </w:rPr>
        <w:t xml:space="preserve">so viele wie </w:t>
      </w:r>
      <w:r w:rsidRPr="000F1FC4">
        <w:rPr>
          <w:rFonts w:ascii="Calibri" w:hAnsi="Calibri" w:cs="Calibri"/>
          <w:sz w:val="22"/>
          <w:szCs w:val="22"/>
          <w:lang w:val="de-DE"/>
        </w:rPr>
        <w:t>Frankreich, das mit vier Universitäten an zweiter Stelle liegt.</w:t>
      </w:r>
    </w:p>
    <w:p w14:paraId="34F99590" w14:textId="1A5F05C3" w:rsidR="00E9206A" w:rsidRPr="000F1FC4" w:rsidRDefault="009E153D" w:rsidP="007177CF">
      <w:pPr>
        <w:spacing w:line="360" w:lineRule="auto"/>
        <w:rPr>
          <w:rFonts w:ascii="Calibri" w:hAnsi="Calibri" w:cs="Calibri"/>
          <w:sz w:val="22"/>
          <w:szCs w:val="22"/>
          <w:lang w:val="de-DE"/>
        </w:rPr>
      </w:pPr>
      <w:r w:rsidRPr="000F1FC4">
        <w:rPr>
          <w:rFonts w:ascii="Calibri" w:hAnsi="Calibri" w:cs="Calibri"/>
          <w:sz w:val="22"/>
          <w:szCs w:val="22"/>
          <w:lang w:val="de-DE"/>
        </w:rPr>
        <w:t xml:space="preserve">Deutsche </w:t>
      </w:r>
      <w:r w:rsidR="005C41FF" w:rsidRPr="000F1FC4">
        <w:rPr>
          <w:rFonts w:ascii="Calibri" w:hAnsi="Calibri" w:cs="Calibri"/>
          <w:sz w:val="22"/>
          <w:szCs w:val="22"/>
          <w:lang w:val="de-DE"/>
        </w:rPr>
        <w:t xml:space="preserve">Universitäten genießen bei internationalen Arbeitgebern und Akademikern ein außerordentlich hohes Ansehen. Im QS-Indikator </w:t>
      </w:r>
      <w:r w:rsidR="12832C27" w:rsidRPr="000F1FC4">
        <w:rPr>
          <w:rFonts w:ascii="Calibri" w:hAnsi="Calibri" w:cs="Calibri"/>
          <w:sz w:val="22"/>
          <w:szCs w:val="22"/>
          <w:lang w:val="de-DE"/>
        </w:rPr>
        <w:t xml:space="preserve">„Akademische </w:t>
      </w:r>
      <w:r w:rsidR="005C41FF" w:rsidRPr="000F1FC4">
        <w:rPr>
          <w:rFonts w:ascii="Calibri" w:hAnsi="Calibri" w:cs="Calibri"/>
          <w:sz w:val="22"/>
          <w:szCs w:val="22"/>
          <w:lang w:val="de-DE"/>
        </w:rPr>
        <w:t xml:space="preserve">Reputation” liegen </w:t>
      </w:r>
      <w:r w:rsidR="7A7AFB7C" w:rsidRPr="000F1FC4">
        <w:rPr>
          <w:rFonts w:ascii="Calibri" w:hAnsi="Calibri" w:cs="Calibri"/>
          <w:sz w:val="22"/>
          <w:szCs w:val="22"/>
          <w:lang w:val="de-DE"/>
        </w:rPr>
        <w:t xml:space="preserve">vier </w:t>
      </w:r>
      <w:r w:rsidR="005C41FF" w:rsidRPr="000F1FC4">
        <w:rPr>
          <w:rFonts w:ascii="Calibri" w:hAnsi="Calibri" w:cs="Calibri"/>
          <w:sz w:val="22"/>
          <w:szCs w:val="22"/>
          <w:lang w:val="de-DE"/>
        </w:rPr>
        <w:t>deutsche Universitäten unter den Top 20</w:t>
      </w:r>
      <w:r w:rsidR="5B1A5251" w:rsidRPr="000F1FC4">
        <w:rPr>
          <w:rFonts w:ascii="Calibri" w:hAnsi="Calibri" w:cs="Calibri"/>
          <w:sz w:val="22"/>
          <w:szCs w:val="22"/>
          <w:lang w:val="de-DE"/>
        </w:rPr>
        <w:t xml:space="preserve">, </w:t>
      </w:r>
      <w:r w:rsidR="00540347" w:rsidRPr="000F1FC4">
        <w:rPr>
          <w:rFonts w:ascii="Calibri" w:hAnsi="Calibri" w:cs="Calibri"/>
          <w:sz w:val="22"/>
          <w:szCs w:val="22"/>
          <w:lang w:val="de-DE"/>
        </w:rPr>
        <w:t>nur</w:t>
      </w:r>
      <w:r w:rsidR="005C41FF" w:rsidRPr="000F1FC4">
        <w:rPr>
          <w:rFonts w:ascii="Calibri" w:hAnsi="Calibri" w:cs="Calibri"/>
          <w:sz w:val="22"/>
          <w:szCs w:val="22"/>
          <w:lang w:val="de-DE"/>
        </w:rPr>
        <w:t xml:space="preserve"> übertroffen vom Vereinigten Königreich mit neun Universitäten. Bei den Arbeitgebern liegen drei deutsche Universitäten unter den Top 20, ebenfalls nur übertroffen vom Vereinigten Königreich mit</w:t>
      </w:r>
      <w:r w:rsidR="00DA17B5">
        <w:rPr>
          <w:rFonts w:ascii="Calibri" w:hAnsi="Calibri" w:cs="Calibri"/>
          <w:sz w:val="22"/>
          <w:szCs w:val="22"/>
          <w:lang w:val="de-DE"/>
        </w:rPr>
        <w:t xml:space="preserve"> elf</w:t>
      </w:r>
      <w:r w:rsidR="005C41FF" w:rsidRPr="000F1FC4">
        <w:rPr>
          <w:rFonts w:ascii="Calibri" w:hAnsi="Calibri" w:cs="Calibri"/>
          <w:sz w:val="22"/>
          <w:szCs w:val="22"/>
          <w:lang w:val="de-DE"/>
        </w:rPr>
        <w:t xml:space="preserve"> Universitäten und gleichauf mit Frankreich.</w:t>
      </w:r>
    </w:p>
    <w:tbl>
      <w:tblPr>
        <w:tblW w:w="7451" w:type="dxa"/>
        <w:jc w:val="center"/>
        <w:tblLook w:val="04A0" w:firstRow="1" w:lastRow="0" w:firstColumn="1" w:lastColumn="0" w:noHBand="0" w:noVBand="1"/>
      </w:tblPr>
      <w:tblGrid>
        <w:gridCol w:w="1790"/>
        <w:gridCol w:w="3820"/>
        <w:gridCol w:w="1038"/>
        <w:gridCol w:w="779"/>
        <w:gridCol w:w="1301"/>
      </w:tblGrid>
      <w:tr w:rsidR="0013064C" w:rsidRPr="0013064C" w14:paraId="7EC9944C" w14:textId="77777777" w:rsidTr="79CE8CE2">
        <w:trPr>
          <w:trHeight w:val="300"/>
          <w:jc w:val="center"/>
        </w:trPr>
        <w:tc>
          <w:tcPr>
            <w:tcW w:w="7451" w:type="dxa"/>
            <w:gridSpan w:val="5"/>
            <w:tcBorders>
              <w:top w:val="single" w:sz="4" w:space="0" w:color="auto"/>
              <w:left w:val="single" w:sz="4" w:space="0" w:color="auto"/>
              <w:bottom w:val="single" w:sz="4" w:space="0" w:color="auto"/>
              <w:right w:val="single" w:sz="4" w:space="0" w:color="auto"/>
            </w:tcBorders>
            <w:noWrap/>
            <w:vAlign w:val="bottom"/>
            <w:hideMark/>
          </w:tcPr>
          <w:p w14:paraId="4AB78DD9" w14:textId="63B77461" w:rsidR="0013064C" w:rsidRPr="0013064C" w:rsidRDefault="527165CE" w:rsidP="0013064C">
            <w:pPr>
              <w:spacing w:after="0" w:line="240" w:lineRule="auto"/>
              <w:jc w:val="center"/>
              <w:rPr>
                <w:rFonts w:ascii="Calibri" w:eastAsia="Times New Roman" w:hAnsi="Calibri" w:cs="Calibri"/>
                <w:b/>
                <w:bCs/>
                <w:color w:val="1D1D1B"/>
                <w:kern w:val="0"/>
                <w:sz w:val="20"/>
                <w:szCs w:val="20"/>
                <w:lang w:eastAsia="en-GB"/>
                <w14:ligatures w14:val="none"/>
              </w:rPr>
            </w:pPr>
            <w:r>
              <w:rPr>
                <w:rFonts w:eastAsia="Times New Roman"/>
                <w:b/>
                <w:bCs/>
                <w:color w:val="1D1D1B"/>
                <w:kern w:val="0"/>
                <w:sz w:val="20"/>
                <w:szCs w:val="20"/>
                <w:lang w:eastAsia="en-GB"/>
                <w14:ligatures w14:val="none"/>
              </w:rPr>
              <w:t>Tabelle</w:t>
            </w:r>
            <w:r w:rsidR="029AD43D">
              <w:rPr>
                <w:rFonts w:eastAsia="Times New Roman"/>
                <w:b/>
                <w:bCs/>
                <w:color w:val="1D1D1B"/>
                <w:kern w:val="0"/>
                <w:sz w:val="20"/>
                <w:szCs w:val="20"/>
                <w:lang w:eastAsia="en-GB"/>
                <w14:ligatures w14:val="none"/>
              </w:rPr>
              <w:t xml:space="preserve"> 5</w:t>
            </w:r>
            <w:r>
              <w:rPr>
                <w:rFonts w:eastAsia="Times New Roman"/>
                <w:b/>
                <w:bCs/>
                <w:color w:val="1D1D1B"/>
                <w:kern w:val="0"/>
                <w:sz w:val="20"/>
                <w:szCs w:val="20"/>
                <w:lang w:eastAsia="en-GB"/>
                <w14:ligatures w14:val="none"/>
              </w:rPr>
              <w:t xml:space="preserve">: </w:t>
            </w:r>
            <w:r w:rsidR="0013064C" w:rsidRPr="0013064C">
              <w:rPr>
                <w:rFonts w:ascii="Calibri" w:eastAsia="Times New Roman" w:hAnsi="Calibri" w:cs="Calibri"/>
                <w:b/>
                <w:bCs/>
                <w:color w:val="1D1D1B"/>
                <w:kern w:val="0"/>
                <w:sz w:val="20"/>
                <w:szCs w:val="20"/>
                <w:lang w:eastAsia="en-GB"/>
                <w14:ligatures w14:val="none"/>
              </w:rPr>
              <w:t>Akademische Reputation</w:t>
            </w:r>
          </w:p>
        </w:tc>
      </w:tr>
      <w:tr w:rsidR="0013064C" w:rsidRPr="0013064C" w14:paraId="1915A89D" w14:textId="77777777" w:rsidTr="79CE8CE2">
        <w:trPr>
          <w:trHeight w:val="300"/>
          <w:jc w:val="center"/>
        </w:trPr>
        <w:tc>
          <w:tcPr>
            <w:tcW w:w="1217" w:type="dxa"/>
            <w:tcBorders>
              <w:top w:val="nil"/>
              <w:left w:val="single" w:sz="4" w:space="0" w:color="auto"/>
              <w:bottom w:val="single" w:sz="4" w:space="0" w:color="auto"/>
              <w:right w:val="single" w:sz="4" w:space="0" w:color="auto"/>
            </w:tcBorders>
            <w:noWrap/>
            <w:vAlign w:val="bottom"/>
            <w:hideMark/>
          </w:tcPr>
          <w:p w14:paraId="164B18FB" w14:textId="77777777" w:rsidR="0013064C" w:rsidRPr="0013064C" w:rsidRDefault="0013064C" w:rsidP="0013064C">
            <w:pPr>
              <w:spacing w:after="0" w:line="240" w:lineRule="auto"/>
              <w:jc w:val="center"/>
              <w:rPr>
                <w:rFonts w:ascii="Calibri" w:eastAsia="Times New Roman" w:hAnsi="Calibri" w:cs="Calibri"/>
                <w:b/>
                <w:bCs/>
                <w:color w:val="1D1D1B"/>
                <w:kern w:val="0"/>
                <w:sz w:val="20"/>
                <w:szCs w:val="20"/>
                <w:lang w:eastAsia="en-GB"/>
                <w14:ligatures w14:val="none"/>
              </w:rPr>
            </w:pPr>
            <w:r w:rsidRPr="0013064C">
              <w:rPr>
                <w:rFonts w:ascii="Calibri" w:eastAsia="Times New Roman" w:hAnsi="Calibri" w:cs="Calibri"/>
                <w:b/>
                <w:bCs/>
                <w:color w:val="1D1D1B"/>
                <w:kern w:val="0"/>
                <w:sz w:val="20"/>
                <w:szCs w:val="20"/>
                <w:lang w:eastAsia="en-GB"/>
                <w14:ligatures w14:val="none"/>
              </w:rPr>
              <w:t>Gesamtplatzierung</w:t>
            </w:r>
          </w:p>
        </w:tc>
        <w:tc>
          <w:tcPr>
            <w:tcW w:w="3820" w:type="dxa"/>
            <w:tcBorders>
              <w:top w:val="nil"/>
              <w:left w:val="nil"/>
              <w:bottom w:val="single" w:sz="4" w:space="0" w:color="auto"/>
              <w:right w:val="single" w:sz="4" w:space="0" w:color="auto"/>
            </w:tcBorders>
            <w:noWrap/>
            <w:vAlign w:val="bottom"/>
            <w:hideMark/>
          </w:tcPr>
          <w:p w14:paraId="5A0A01EA" w14:textId="77777777" w:rsidR="0013064C" w:rsidRPr="0013064C" w:rsidRDefault="0013064C" w:rsidP="0013064C">
            <w:pPr>
              <w:spacing w:after="0" w:line="240" w:lineRule="auto"/>
              <w:rPr>
                <w:rFonts w:ascii="Calibri" w:eastAsia="Times New Roman" w:hAnsi="Calibri" w:cs="Calibri"/>
                <w:b/>
                <w:bCs/>
                <w:color w:val="1D1D1B"/>
                <w:kern w:val="0"/>
                <w:sz w:val="20"/>
                <w:szCs w:val="20"/>
                <w:lang w:eastAsia="en-GB"/>
                <w14:ligatures w14:val="none"/>
              </w:rPr>
            </w:pPr>
            <w:r w:rsidRPr="0013064C">
              <w:rPr>
                <w:rFonts w:ascii="Calibri" w:eastAsia="Times New Roman" w:hAnsi="Calibri" w:cs="Calibri"/>
                <w:b/>
                <w:bCs/>
                <w:color w:val="1D1D1B"/>
                <w:kern w:val="0"/>
                <w:sz w:val="20"/>
                <w:szCs w:val="20"/>
                <w:lang w:eastAsia="en-GB"/>
                <w14:ligatures w14:val="none"/>
              </w:rPr>
              <w:t>Institution</w:t>
            </w:r>
          </w:p>
        </w:tc>
        <w:tc>
          <w:tcPr>
            <w:tcW w:w="720" w:type="dxa"/>
            <w:tcBorders>
              <w:top w:val="nil"/>
              <w:left w:val="nil"/>
              <w:bottom w:val="single" w:sz="4" w:space="0" w:color="auto"/>
              <w:right w:val="single" w:sz="4" w:space="0" w:color="auto"/>
            </w:tcBorders>
            <w:noWrap/>
            <w:vAlign w:val="bottom"/>
            <w:hideMark/>
          </w:tcPr>
          <w:p w14:paraId="4CF858B5" w14:textId="77777777" w:rsidR="0013064C" w:rsidRPr="0013064C" w:rsidRDefault="0013064C" w:rsidP="0013064C">
            <w:pPr>
              <w:spacing w:after="0" w:line="240" w:lineRule="auto"/>
              <w:jc w:val="center"/>
              <w:rPr>
                <w:rFonts w:ascii="Calibri" w:eastAsia="Times New Roman" w:hAnsi="Calibri" w:cs="Calibri"/>
                <w:b/>
                <w:bCs/>
                <w:color w:val="1D1D1B"/>
                <w:kern w:val="0"/>
                <w:sz w:val="20"/>
                <w:szCs w:val="20"/>
                <w:lang w:eastAsia="en-GB"/>
                <w14:ligatures w14:val="none"/>
              </w:rPr>
            </w:pPr>
            <w:r w:rsidRPr="0013064C">
              <w:rPr>
                <w:rFonts w:ascii="Calibri" w:eastAsia="Times New Roman" w:hAnsi="Calibri" w:cs="Calibri"/>
                <w:b/>
                <w:bCs/>
                <w:color w:val="1D1D1B"/>
                <w:kern w:val="0"/>
                <w:sz w:val="20"/>
                <w:szCs w:val="20"/>
                <w:lang w:eastAsia="en-GB"/>
                <w14:ligatures w14:val="none"/>
              </w:rPr>
              <w:t>Punktzahl</w:t>
            </w:r>
          </w:p>
        </w:tc>
        <w:tc>
          <w:tcPr>
            <w:tcW w:w="779" w:type="dxa"/>
            <w:tcBorders>
              <w:top w:val="nil"/>
              <w:left w:val="nil"/>
              <w:bottom w:val="single" w:sz="4" w:space="0" w:color="auto"/>
              <w:right w:val="single" w:sz="4" w:space="0" w:color="auto"/>
            </w:tcBorders>
            <w:noWrap/>
            <w:vAlign w:val="bottom"/>
            <w:hideMark/>
          </w:tcPr>
          <w:p w14:paraId="6E6FE467" w14:textId="77777777" w:rsidR="0013064C" w:rsidRPr="0013064C" w:rsidRDefault="0013064C" w:rsidP="0013064C">
            <w:pPr>
              <w:spacing w:after="0" w:line="240" w:lineRule="auto"/>
              <w:jc w:val="center"/>
              <w:rPr>
                <w:rFonts w:ascii="Calibri" w:eastAsia="Times New Roman" w:hAnsi="Calibri" w:cs="Calibri"/>
                <w:b/>
                <w:bCs/>
                <w:color w:val="1D1D1B"/>
                <w:kern w:val="0"/>
                <w:sz w:val="20"/>
                <w:szCs w:val="20"/>
                <w:lang w:eastAsia="en-GB"/>
                <w14:ligatures w14:val="none"/>
              </w:rPr>
            </w:pPr>
            <w:r w:rsidRPr="0013064C">
              <w:rPr>
                <w:rFonts w:ascii="Calibri" w:eastAsia="Times New Roman" w:hAnsi="Calibri" w:cs="Calibri"/>
                <w:b/>
                <w:bCs/>
                <w:color w:val="1D1D1B"/>
                <w:kern w:val="0"/>
                <w:sz w:val="20"/>
                <w:szCs w:val="20"/>
                <w:lang w:eastAsia="en-GB"/>
                <w14:ligatures w14:val="none"/>
              </w:rPr>
              <w:t>Rang</w:t>
            </w:r>
          </w:p>
        </w:tc>
        <w:tc>
          <w:tcPr>
            <w:tcW w:w="915" w:type="dxa"/>
            <w:tcBorders>
              <w:top w:val="nil"/>
              <w:left w:val="nil"/>
              <w:bottom w:val="single" w:sz="4" w:space="0" w:color="auto"/>
              <w:right w:val="single" w:sz="4" w:space="0" w:color="auto"/>
            </w:tcBorders>
            <w:noWrap/>
            <w:vAlign w:val="bottom"/>
            <w:hideMark/>
          </w:tcPr>
          <w:p w14:paraId="559A3CA7" w14:textId="77777777" w:rsidR="0013064C" w:rsidRPr="0013064C" w:rsidRDefault="0013064C" w:rsidP="0013064C">
            <w:pPr>
              <w:spacing w:after="0" w:line="240" w:lineRule="auto"/>
              <w:jc w:val="center"/>
              <w:rPr>
                <w:rFonts w:ascii="Calibri" w:eastAsia="Times New Roman" w:hAnsi="Calibri" w:cs="Calibri"/>
                <w:b/>
                <w:bCs/>
                <w:color w:val="1D1D1B"/>
                <w:kern w:val="0"/>
                <w:sz w:val="20"/>
                <w:szCs w:val="20"/>
                <w:lang w:eastAsia="en-GB"/>
                <w14:ligatures w14:val="none"/>
              </w:rPr>
            </w:pPr>
            <w:r w:rsidRPr="0013064C">
              <w:rPr>
                <w:rFonts w:ascii="Calibri" w:eastAsia="Times New Roman" w:hAnsi="Calibri" w:cs="Calibri"/>
                <w:b/>
                <w:bCs/>
                <w:color w:val="1D1D1B"/>
                <w:kern w:val="0"/>
                <w:sz w:val="20"/>
                <w:szCs w:val="20"/>
                <w:lang w:eastAsia="en-GB"/>
                <w14:ligatures w14:val="none"/>
              </w:rPr>
              <w:t>Veränderung</w:t>
            </w:r>
          </w:p>
        </w:tc>
      </w:tr>
      <w:tr w:rsidR="0013064C" w:rsidRPr="0013064C" w14:paraId="75B9C92F" w14:textId="77777777" w:rsidTr="79CE8CE2">
        <w:trPr>
          <w:trHeight w:val="300"/>
          <w:jc w:val="center"/>
        </w:trPr>
        <w:tc>
          <w:tcPr>
            <w:tcW w:w="1217" w:type="dxa"/>
            <w:tcBorders>
              <w:top w:val="nil"/>
              <w:left w:val="single" w:sz="4" w:space="0" w:color="auto"/>
              <w:bottom w:val="single" w:sz="4" w:space="0" w:color="auto"/>
              <w:right w:val="single" w:sz="4" w:space="0" w:color="auto"/>
            </w:tcBorders>
            <w:noWrap/>
            <w:vAlign w:val="bottom"/>
            <w:hideMark/>
          </w:tcPr>
          <w:p w14:paraId="6EF24F9F"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lastRenderedPageBreak/>
              <w:t>=12</w:t>
            </w:r>
          </w:p>
        </w:tc>
        <w:tc>
          <w:tcPr>
            <w:tcW w:w="3820" w:type="dxa"/>
            <w:tcBorders>
              <w:top w:val="nil"/>
              <w:left w:val="nil"/>
              <w:bottom w:val="single" w:sz="4" w:space="0" w:color="auto"/>
              <w:right w:val="single" w:sz="4" w:space="0" w:color="auto"/>
            </w:tcBorders>
            <w:noWrap/>
            <w:vAlign w:val="bottom"/>
            <w:hideMark/>
          </w:tcPr>
          <w:p w14:paraId="60E576A1" w14:textId="77777777" w:rsidR="0013064C" w:rsidRPr="0013064C" w:rsidRDefault="0013064C" w:rsidP="0013064C">
            <w:pPr>
              <w:spacing w:after="0" w:line="240" w:lineRule="auto"/>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Technische Universität München</w:t>
            </w:r>
          </w:p>
        </w:tc>
        <w:tc>
          <w:tcPr>
            <w:tcW w:w="720" w:type="dxa"/>
            <w:tcBorders>
              <w:top w:val="nil"/>
              <w:left w:val="nil"/>
              <w:bottom w:val="single" w:sz="4" w:space="0" w:color="auto"/>
              <w:right w:val="single" w:sz="4" w:space="0" w:color="auto"/>
            </w:tcBorders>
            <w:noWrap/>
            <w:vAlign w:val="bottom"/>
            <w:hideMark/>
          </w:tcPr>
          <w:p w14:paraId="5E04DFAB"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99,3</w:t>
            </w:r>
          </w:p>
        </w:tc>
        <w:tc>
          <w:tcPr>
            <w:tcW w:w="779" w:type="dxa"/>
            <w:tcBorders>
              <w:top w:val="nil"/>
              <w:left w:val="nil"/>
              <w:bottom w:val="single" w:sz="4" w:space="0" w:color="auto"/>
              <w:right w:val="single" w:sz="4" w:space="0" w:color="auto"/>
            </w:tcBorders>
            <w:noWrap/>
            <w:vAlign w:val="bottom"/>
            <w:hideMark/>
          </w:tcPr>
          <w:p w14:paraId="7C059383"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15</w:t>
            </w:r>
          </w:p>
        </w:tc>
        <w:tc>
          <w:tcPr>
            <w:tcW w:w="915" w:type="dxa"/>
            <w:tcBorders>
              <w:top w:val="nil"/>
              <w:left w:val="nil"/>
              <w:bottom w:val="single" w:sz="4" w:space="0" w:color="auto"/>
              <w:right w:val="single" w:sz="4" w:space="0" w:color="auto"/>
            </w:tcBorders>
            <w:noWrap/>
            <w:vAlign w:val="bottom"/>
            <w:hideMark/>
          </w:tcPr>
          <w:p w14:paraId="7CF8F41C"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FF9900"/>
                <w:kern w:val="0"/>
                <w:sz w:val="20"/>
                <w:szCs w:val="20"/>
                <w:lang w:eastAsia="en-GB"/>
                <w14:ligatures w14:val="none"/>
              </w:rPr>
              <w:t>0</w:t>
            </w:r>
          </w:p>
        </w:tc>
      </w:tr>
      <w:tr w:rsidR="0013064C" w:rsidRPr="0013064C" w14:paraId="2B5CB0CE" w14:textId="77777777" w:rsidTr="79CE8CE2">
        <w:trPr>
          <w:trHeight w:val="300"/>
          <w:jc w:val="center"/>
        </w:trPr>
        <w:tc>
          <w:tcPr>
            <w:tcW w:w="1217" w:type="dxa"/>
            <w:tcBorders>
              <w:top w:val="nil"/>
              <w:left w:val="single" w:sz="4" w:space="0" w:color="auto"/>
              <w:bottom w:val="single" w:sz="4" w:space="0" w:color="auto"/>
              <w:right w:val="single" w:sz="4" w:space="0" w:color="auto"/>
            </w:tcBorders>
            <w:noWrap/>
            <w:vAlign w:val="bottom"/>
            <w:hideMark/>
          </w:tcPr>
          <w:p w14:paraId="73680961"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=17</w:t>
            </w:r>
          </w:p>
        </w:tc>
        <w:tc>
          <w:tcPr>
            <w:tcW w:w="3820" w:type="dxa"/>
            <w:tcBorders>
              <w:top w:val="nil"/>
              <w:left w:val="nil"/>
              <w:bottom w:val="single" w:sz="4" w:space="0" w:color="auto"/>
              <w:right w:val="single" w:sz="4" w:space="0" w:color="auto"/>
            </w:tcBorders>
            <w:noWrap/>
            <w:vAlign w:val="bottom"/>
            <w:hideMark/>
          </w:tcPr>
          <w:p w14:paraId="793CD16F" w14:textId="77777777" w:rsidR="0013064C" w:rsidRPr="0013064C" w:rsidRDefault="0013064C" w:rsidP="0013064C">
            <w:pPr>
              <w:spacing w:after="0" w:line="240" w:lineRule="auto"/>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Ludwig-Maximilians-Universität München</w:t>
            </w:r>
          </w:p>
        </w:tc>
        <w:tc>
          <w:tcPr>
            <w:tcW w:w="720" w:type="dxa"/>
            <w:tcBorders>
              <w:top w:val="nil"/>
              <w:left w:val="nil"/>
              <w:bottom w:val="single" w:sz="4" w:space="0" w:color="auto"/>
              <w:right w:val="single" w:sz="4" w:space="0" w:color="auto"/>
            </w:tcBorders>
            <w:noWrap/>
            <w:vAlign w:val="bottom"/>
            <w:hideMark/>
          </w:tcPr>
          <w:p w14:paraId="2D3B91A0"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99,9</w:t>
            </w:r>
          </w:p>
        </w:tc>
        <w:tc>
          <w:tcPr>
            <w:tcW w:w="779" w:type="dxa"/>
            <w:tcBorders>
              <w:top w:val="nil"/>
              <w:left w:val="nil"/>
              <w:bottom w:val="single" w:sz="4" w:space="0" w:color="auto"/>
              <w:right w:val="single" w:sz="4" w:space="0" w:color="auto"/>
            </w:tcBorders>
            <w:noWrap/>
            <w:vAlign w:val="bottom"/>
            <w:hideMark/>
          </w:tcPr>
          <w:p w14:paraId="614E7C2B"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8</w:t>
            </w:r>
          </w:p>
        </w:tc>
        <w:tc>
          <w:tcPr>
            <w:tcW w:w="915" w:type="dxa"/>
            <w:tcBorders>
              <w:top w:val="nil"/>
              <w:left w:val="nil"/>
              <w:bottom w:val="single" w:sz="4" w:space="0" w:color="auto"/>
              <w:right w:val="single" w:sz="4" w:space="0" w:color="auto"/>
            </w:tcBorders>
            <w:noWrap/>
            <w:vAlign w:val="bottom"/>
            <w:hideMark/>
          </w:tcPr>
          <w:p w14:paraId="1AFE5DAF"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FF9900"/>
                <w:kern w:val="0"/>
                <w:sz w:val="20"/>
                <w:szCs w:val="20"/>
                <w:lang w:eastAsia="en-GB"/>
                <w14:ligatures w14:val="none"/>
              </w:rPr>
              <w:t>0</w:t>
            </w:r>
          </w:p>
        </w:tc>
      </w:tr>
      <w:tr w:rsidR="0013064C" w:rsidRPr="0013064C" w14:paraId="04DFD4B5" w14:textId="77777777" w:rsidTr="79CE8CE2">
        <w:trPr>
          <w:trHeight w:val="300"/>
          <w:jc w:val="center"/>
        </w:trPr>
        <w:tc>
          <w:tcPr>
            <w:tcW w:w="1217" w:type="dxa"/>
            <w:tcBorders>
              <w:top w:val="nil"/>
              <w:left w:val="single" w:sz="4" w:space="0" w:color="auto"/>
              <w:bottom w:val="single" w:sz="4" w:space="0" w:color="auto"/>
              <w:right w:val="single" w:sz="4" w:space="0" w:color="auto"/>
            </w:tcBorders>
            <w:noWrap/>
            <w:vAlign w:val="bottom"/>
            <w:hideMark/>
          </w:tcPr>
          <w:p w14:paraId="1DF7AB73"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74</w:t>
            </w:r>
          </w:p>
        </w:tc>
        <w:tc>
          <w:tcPr>
            <w:tcW w:w="3820" w:type="dxa"/>
            <w:tcBorders>
              <w:top w:val="nil"/>
              <w:left w:val="nil"/>
              <w:bottom w:val="single" w:sz="4" w:space="0" w:color="auto"/>
              <w:right w:val="single" w:sz="4" w:space="0" w:color="auto"/>
            </w:tcBorders>
            <w:noWrap/>
            <w:vAlign w:val="bottom"/>
            <w:hideMark/>
          </w:tcPr>
          <w:p w14:paraId="417921BC" w14:textId="77777777" w:rsidR="0013064C" w:rsidRPr="0013064C" w:rsidRDefault="0013064C" w:rsidP="0013064C">
            <w:pPr>
              <w:spacing w:after="0" w:line="240" w:lineRule="auto"/>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Humboldt-Universität zu Berlin</w:t>
            </w:r>
          </w:p>
        </w:tc>
        <w:tc>
          <w:tcPr>
            <w:tcW w:w="720" w:type="dxa"/>
            <w:tcBorders>
              <w:top w:val="nil"/>
              <w:left w:val="nil"/>
              <w:bottom w:val="single" w:sz="4" w:space="0" w:color="auto"/>
              <w:right w:val="single" w:sz="4" w:space="0" w:color="auto"/>
            </w:tcBorders>
            <w:noWrap/>
            <w:vAlign w:val="bottom"/>
            <w:hideMark/>
          </w:tcPr>
          <w:p w14:paraId="5F1003A9"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99,6</w:t>
            </w:r>
          </w:p>
        </w:tc>
        <w:tc>
          <w:tcPr>
            <w:tcW w:w="779" w:type="dxa"/>
            <w:tcBorders>
              <w:top w:val="nil"/>
              <w:left w:val="nil"/>
              <w:bottom w:val="single" w:sz="4" w:space="0" w:color="auto"/>
              <w:right w:val="single" w:sz="4" w:space="0" w:color="auto"/>
            </w:tcBorders>
            <w:noWrap/>
            <w:vAlign w:val="bottom"/>
            <w:hideMark/>
          </w:tcPr>
          <w:p w14:paraId="0469467C"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10</w:t>
            </w:r>
          </w:p>
        </w:tc>
        <w:tc>
          <w:tcPr>
            <w:tcW w:w="915" w:type="dxa"/>
            <w:tcBorders>
              <w:top w:val="nil"/>
              <w:left w:val="nil"/>
              <w:bottom w:val="single" w:sz="4" w:space="0" w:color="auto"/>
              <w:right w:val="single" w:sz="4" w:space="0" w:color="auto"/>
            </w:tcBorders>
            <w:noWrap/>
            <w:vAlign w:val="bottom"/>
            <w:hideMark/>
          </w:tcPr>
          <w:p w14:paraId="55C1BF97"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FF9900"/>
                <w:kern w:val="0"/>
                <w:sz w:val="20"/>
                <w:szCs w:val="20"/>
                <w:lang w:eastAsia="en-GB"/>
                <w14:ligatures w14:val="none"/>
              </w:rPr>
              <w:t>0</w:t>
            </w:r>
          </w:p>
        </w:tc>
      </w:tr>
      <w:tr w:rsidR="0013064C" w:rsidRPr="0013064C" w14:paraId="5D903C18" w14:textId="77777777" w:rsidTr="79CE8CE2">
        <w:trPr>
          <w:trHeight w:val="300"/>
          <w:jc w:val="center"/>
        </w:trPr>
        <w:tc>
          <w:tcPr>
            <w:tcW w:w="1217" w:type="dxa"/>
            <w:tcBorders>
              <w:top w:val="nil"/>
              <w:left w:val="single" w:sz="4" w:space="0" w:color="auto"/>
              <w:bottom w:val="single" w:sz="4" w:space="0" w:color="auto"/>
              <w:right w:val="single" w:sz="4" w:space="0" w:color="auto"/>
            </w:tcBorders>
            <w:noWrap/>
            <w:vAlign w:val="bottom"/>
            <w:hideMark/>
          </w:tcPr>
          <w:p w14:paraId="19EFD6DC"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39</w:t>
            </w:r>
          </w:p>
        </w:tc>
        <w:tc>
          <w:tcPr>
            <w:tcW w:w="3820" w:type="dxa"/>
            <w:tcBorders>
              <w:top w:val="nil"/>
              <w:left w:val="nil"/>
              <w:bottom w:val="single" w:sz="4" w:space="0" w:color="auto"/>
              <w:right w:val="single" w:sz="4" w:space="0" w:color="auto"/>
            </w:tcBorders>
            <w:noWrap/>
            <w:vAlign w:val="bottom"/>
            <w:hideMark/>
          </w:tcPr>
          <w:p w14:paraId="211264C1" w14:textId="77777777" w:rsidR="0013064C" w:rsidRPr="0013064C" w:rsidRDefault="0013064C" w:rsidP="0013064C">
            <w:pPr>
              <w:spacing w:after="0" w:line="240" w:lineRule="auto"/>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Freie Universität Berlin</w:t>
            </w:r>
          </w:p>
        </w:tc>
        <w:tc>
          <w:tcPr>
            <w:tcW w:w="720" w:type="dxa"/>
            <w:tcBorders>
              <w:top w:val="nil"/>
              <w:left w:val="nil"/>
              <w:bottom w:val="single" w:sz="4" w:space="0" w:color="auto"/>
              <w:right w:val="single" w:sz="4" w:space="0" w:color="auto"/>
            </w:tcBorders>
            <w:noWrap/>
            <w:vAlign w:val="bottom"/>
            <w:hideMark/>
          </w:tcPr>
          <w:p w14:paraId="59B007BE"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98,6</w:t>
            </w:r>
          </w:p>
        </w:tc>
        <w:tc>
          <w:tcPr>
            <w:tcW w:w="779" w:type="dxa"/>
            <w:tcBorders>
              <w:top w:val="nil"/>
              <w:left w:val="nil"/>
              <w:bottom w:val="single" w:sz="4" w:space="0" w:color="auto"/>
              <w:right w:val="single" w:sz="4" w:space="0" w:color="auto"/>
            </w:tcBorders>
            <w:noWrap/>
            <w:vAlign w:val="bottom"/>
            <w:hideMark/>
          </w:tcPr>
          <w:p w14:paraId="5125F6BD"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18</w:t>
            </w:r>
          </w:p>
        </w:tc>
        <w:tc>
          <w:tcPr>
            <w:tcW w:w="915" w:type="dxa"/>
            <w:tcBorders>
              <w:top w:val="nil"/>
              <w:left w:val="nil"/>
              <w:bottom w:val="single" w:sz="4" w:space="0" w:color="auto"/>
              <w:right w:val="single" w:sz="4" w:space="0" w:color="auto"/>
            </w:tcBorders>
            <w:noWrap/>
            <w:vAlign w:val="bottom"/>
            <w:hideMark/>
          </w:tcPr>
          <w:p w14:paraId="38778E06"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FF9900"/>
                <w:kern w:val="0"/>
                <w:sz w:val="20"/>
                <w:szCs w:val="20"/>
                <w:lang w:eastAsia="en-GB"/>
                <w14:ligatures w14:val="none"/>
              </w:rPr>
              <w:t>0</w:t>
            </w:r>
          </w:p>
        </w:tc>
      </w:tr>
      <w:tr w:rsidR="0013064C" w:rsidRPr="0013064C" w14:paraId="1739A9A2" w14:textId="77777777" w:rsidTr="79CE8CE2">
        <w:trPr>
          <w:trHeight w:val="300"/>
          <w:jc w:val="center"/>
        </w:trPr>
        <w:tc>
          <w:tcPr>
            <w:tcW w:w="7451" w:type="dxa"/>
            <w:gridSpan w:val="5"/>
            <w:tcBorders>
              <w:top w:val="single" w:sz="4" w:space="0" w:color="auto"/>
              <w:left w:val="single" w:sz="4" w:space="0" w:color="auto"/>
              <w:bottom w:val="single" w:sz="4" w:space="0" w:color="auto"/>
              <w:right w:val="single" w:sz="4" w:space="0" w:color="auto"/>
            </w:tcBorders>
            <w:noWrap/>
            <w:vAlign w:val="bottom"/>
            <w:hideMark/>
          </w:tcPr>
          <w:p w14:paraId="015E3C3D" w14:textId="76E7A992" w:rsidR="0013064C" w:rsidRPr="0013064C" w:rsidRDefault="00954A5F" w:rsidP="0013064C">
            <w:pPr>
              <w:spacing w:after="0" w:line="240" w:lineRule="auto"/>
              <w:jc w:val="center"/>
              <w:rPr>
                <w:rFonts w:ascii="Calibri" w:eastAsia="Times New Roman" w:hAnsi="Calibri" w:cs="Calibri"/>
                <w:b/>
                <w:bCs/>
                <w:color w:val="1D1D1B"/>
                <w:kern w:val="0"/>
                <w:sz w:val="20"/>
                <w:szCs w:val="20"/>
                <w:lang w:eastAsia="en-GB"/>
                <w14:ligatures w14:val="none"/>
              </w:rPr>
            </w:pPr>
            <w:r>
              <w:rPr>
                <w:rFonts w:eastAsia="Times New Roman"/>
                <w:b/>
                <w:bCs/>
                <w:color w:val="1D1D1B"/>
                <w:kern w:val="0"/>
                <w:sz w:val="20"/>
                <w:szCs w:val="20"/>
                <w:lang w:eastAsia="en-GB"/>
                <w14:ligatures w14:val="none"/>
              </w:rPr>
              <w:t xml:space="preserve">Tabelle 5: </w:t>
            </w:r>
            <w:r w:rsidR="0013064C" w:rsidRPr="0013064C">
              <w:rPr>
                <w:rFonts w:ascii="Calibri" w:eastAsia="Times New Roman" w:hAnsi="Calibri" w:cs="Calibri"/>
                <w:b/>
                <w:bCs/>
                <w:color w:val="1D1D1B"/>
                <w:kern w:val="0"/>
                <w:sz w:val="20"/>
                <w:szCs w:val="20"/>
                <w:lang w:eastAsia="en-GB"/>
                <w14:ligatures w14:val="none"/>
              </w:rPr>
              <w:t>Reputation des Arbeitgebers</w:t>
            </w:r>
          </w:p>
        </w:tc>
      </w:tr>
      <w:tr w:rsidR="0013064C" w:rsidRPr="0013064C" w14:paraId="65E16DB7" w14:textId="77777777" w:rsidTr="79CE8CE2">
        <w:trPr>
          <w:trHeight w:val="300"/>
          <w:jc w:val="center"/>
        </w:trPr>
        <w:tc>
          <w:tcPr>
            <w:tcW w:w="1217" w:type="dxa"/>
            <w:tcBorders>
              <w:top w:val="nil"/>
              <w:left w:val="single" w:sz="4" w:space="0" w:color="auto"/>
              <w:bottom w:val="single" w:sz="4" w:space="0" w:color="auto"/>
              <w:right w:val="single" w:sz="4" w:space="0" w:color="auto"/>
            </w:tcBorders>
            <w:noWrap/>
            <w:vAlign w:val="bottom"/>
            <w:hideMark/>
          </w:tcPr>
          <w:p w14:paraId="1A2D6B8B" w14:textId="77777777" w:rsidR="0013064C" w:rsidRPr="0013064C" w:rsidRDefault="0013064C" w:rsidP="0013064C">
            <w:pPr>
              <w:spacing w:after="0" w:line="240" w:lineRule="auto"/>
              <w:jc w:val="center"/>
              <w:rPr>
                <w:rFonts w:ascii="Calibri" w:eastAsia="Times New Roman" w:hAnsi="Calibri" w:cs="Calibri"/>
                <w:b/>
                <w:bCs/>
                <w:color w:val="1D1D1B"/>
                <w:kern w:val="0"/>
                <w:sz w:val="20"/>
                <w:szCs w:val="20"/>
                <w:lang w:eastAsia="en-GB"/>
                <w14:ligatures w14:val="none"/>
              </w:rPr>
            </w:pPr>
            <w:r w:rsidRPr="0013064C">
              <w:rPr>
                <w:rFonts w:ascii="Calibri" w:eastAsia="Times New Roman" w:hAnsi="Calibri" w:cs="Calibri"/>
                <w:b/>
                <w:bCs/>
                <w:color w:val="1D1D1B"/>
                <w:kern w:val="0"/>
                <w:sz w:val="20"/>
                <w:szCs w:val="20"/>
                <w:lang w:eastAsia="en-GB"/>
                <w14:ligatures w14:val="none"/>
              </w:rPr>
              <w:t>Gesamtplatzierung</w:t>
            </w:r>
          </w:p>
        </w:tc>
        <w:tc>
          <w:tcPr>
            <w:tcW w:w="3820" w:type="dxa"/>
            <w:tcBorders>
              <w:top w:val="nil"/>
              <w:left w:val="nil"/>
              <w:bottom w:val="single" w:sz="4" w:space="0" w:color="auto"/>
              <w:right w:val="single" w:sz="4" w:space="0" w:color="auto"/>
            </w:tcBorders>
            <w:noWrap/>
            <w:vAlign w:val="bottom"/>
            <w:hideMark/>
          </w:tcPr>
          <w:p w14:paraId="5B83819C" w14:textId="77777777" w:rsidR="0013064C" w:rsidRPr="0013064C" w:rsidRDefault="0013064C" w:rsidP="0013064C">
            <w:pPr>
              <w:spacing w:after="0" w:line="240" w:lineRule="auto"/>
              <w:rPr>
                <w:rFonts w:ascii="Calibri" w:eastAsia="Times New Roman" w:hAnsi="Calibri" w:cs="Calibri"/>
                <w:b/>
                <w:bCs/>
                <w:color w:val="1D1D1B"/>
                <w:kern w:val="0"/>
                <w:sz w:val="20"/>
                <w:szCs w:val="20"/>
                <w:lang w:eastAsia="en-GB"/>
                <w14:ligatures w14:val="none"/>
              </w:rPr>
            </w:pPr>
            <w:r w:rsidRPr="0013064C">
              <w:rPr>
                <w:rFonts w:ascii="Calibri" w:eastAsia="Times New Roman" w:hAnsi="Calibri" w:cs="Calibri"/>
                <w:b/>
                <w:bCs/>
                <w:color w:val="1D1D1B"/>
                <w:kern w:val="0"/>
                <w:sz w:val="20"/>
                <w:szCs w:val="20"/>
                <w:lang w:eastAsia="en-GB"/>
                <w14:ligatures w14:val="none"/>
              </w:rPr>
              <w:t>Institution</w:t>
            </w:r>
          </w:p>
        </w:tc>
        <w:tc>
          <w:tcPr>
            <w:tcW w:w="720" w:type="dxa"/>
            <w:tcBorders>
              <w:top w:val="nil"/>
              <w:left w:val="nil"/>
              <w:bottom w:val="single" w:sz="4" w:space="0" w:color="auto"/>
              <w:right w:val="single" w:sz="4" w:space="0" w:color="auto"/>
            </w:tcBorders>
            <w:noWrap/>
            <w:vAlign w:val="bottom"/>
            <w:hideMark/>
          </w:tcPr>
          <w:p w14:paraId="5F101227" w14:textId="77777777" w:rsidR="0013064C" w:rsidRPr="0013064C" w:rsidRDefault="0013064C" w:rsidP="0013064C">
            <w:pPr>
              <w:spacing w:after="0" w:line="240" w:lineRule="auto"/>
              <w:jc w:val="center"/>
              <w:rPr>
                <w:rFonts w:ascii="Calibri" w:eastAsia="Times New Roman" w:hAnsi="Calibri" w:cs="Calibri"/>
                <w:b/>
                <w:bCs/>
                <w:color w:val="1D1D1B"/>
                <w:kern w:val="0"/>
                <w:sz w:val="20"/>
                <w:szCs w:val="20"/>
                <w:lang w:eastAsia="en-GB"/>
                <w14:ligatures w14:val="none"/>
              </w:rPr>
            </w:pPr>
            <w:r w:rsidRPr="0013064C">
              <w:rPr>
                <w:rFonts w:ascii="Calibri" w:eastAsia="Times New Roman" w:hAnsi="Calibri" w:cs="Calibri"/>
                <w:b/>
                <w:bCs/>
                <w:color w:val="1D1D1B"/>
                <w:kern w:val="0"/>
                <w:sz w:val="20"/>
                <w:szCs w:val="20"/>
                <w:lang w:eastAsia="en-GB"/>
                <w14:ligatures w14:val="none"/>
              </w:rPr>
              <w:t>Punktzahl</w:t>
            </w:r>
          </w:p>
        </w:tc>
        <w:tc>
          <w:tcPr>
            <w:tcW w:w="779" w:type="dxa"/>
            <w:tcBorders>
              <w:top w:val="nil"/>
              <w:left w:val="nil"/>
              <w:bottom w:val="single" w:sz="4" w:space="0" w:color="auto"/>
              <w:right w:val="single" w:sz="4" w:space="0" w:color="auto"/>
            </w:tcBorders>
            <w:noWrap/>
            <w:vAlign w:val="bottom"/>
            <w:hideMark/>
          </w:tcPr>
          <w:p w14:paraId="0695477A" w14:textId="77777777" w:rsidR="0013064C" w:rsidRPr="0013064C" w:rsidRDefault="0013064C" w:rsidP="0013064C">
            <w:pPr>
              <w:spacing w:after="0" w:line="240" w:lineRule="auto"/>
              <w:jc w:val="center"/>
              <w:rPr>
                <w:rFonts w:ascii="Calibri" w:eastAsia="Times New Roman" w:hAnsi="Calibri" w:cs="Calibri"/>
                <w:b/>
                <w:bCs/>
                <w:color w:val="1D1D1B"/>
                <w:kern w:val="0"/>
                <w:sz w:val="20"/>
                <w:szCs w:val="20"/>
                <w:lang w:eastAsia="en-GB"/>
                <w14:ligatures w14:val="none"/>
              </w:rPr>
            </w:pPr>
            <w:r w:rsidRPr="0013064C">
              <w:rPr>
                <w:rFonts w:ascii="Calibri" w:eastAsia="Times New Roman" w:hAnsi="Calibri" w:cs="Calibri"/>
                <w:b/>
                <w:bCs/>
                <w:color w:val="1D1D1B"/>
                <w:kern w:val="0"/>
                <w:sz w:val="20"/>
                <w:szCs w:val="20"/>
                <w:lang w:eastAsia="en-GB"/>
                <w14:ligatures w14:val="none"/>
              </w:rPr>
              <w:t>Rang</w:t>
            </w:r>
          </w:p>
        </w:tc>
        <w:tc>
          <w:tcPr>
            <w:tcW w:w="915" w:type="dxa"/>
            <w:tcBorders>
              <w:top w:val="nil"/>
              <w:left w:val="nil"/>
              <w:bottom w:val="single" w:sz="4" w:space="0" w:color="auto"/>
              <w:right w:val="single" w:sz="4" w:space="0" w:color="auto"/>
            </w:tcBorders>
            <w:noWrap/>
            <w:vAlign w:val="bottom"/>
            <w:hideMark/>
          </w:tcPr>
          <w:p w14:paraId="27E3B69D" w14:textId="77777777" w:rsidR="0013064C" w:rsidRPr="0013064C" w:rsidRDefault="0013064C" w:rsidP="0013064C">
            <w:pPr>
              <w:spacing w:after="0" w:line="240" w:lineRule="auto"/>
              <w:jc w:val="center"/>
              <w:rPr>
                <w:rFonts w:ascii="Calibri" w:eastAsia="Times New Roman" w:hAnsi="Calibri" w:cs="Calibri"/>
                <w:b/>
                <w:bCs/>
                <w:color w:val="1D1D1B"/>
                <w:kern w:val="0"/>
                <w:sz w:val="20"/>
                <w:szCs w:val="20"/>
                <w:lang w:eastAsia="en-GB"/>
                <w14:ligatures w14:val="none"/>
              </w:rPr>
            </w:pPr>
            <w:r w:rsidRPr="0013064C">
              <w:rPr>
                <w:rFonts w:ascii="Calibri" w:eastAsia="Times New Roman" w:hAnsi="Calibri" w:cs="Calibri"/>
                <w:b/>
                <w:bCs/>
                <w:color w:val="1D1D1B"/>
                <w:kern w:val="0"/>
                <w:sz w:val="20"/>
                <w:szCs w:val="20"/>
                <w:lang w:eastAsia="en-GB"/>
                <w14:ligatures w14:val="none"/>
              </w:rPr>
              <w:t>Veränderung</w:t>
            </w:r>
          </w:p>
        </w:tc>
      </w:tr>
      <w:tr w:rsidR="0013064C" w:rsidRPr="0013064C" w14:paraId="26BE88C0" w14:textId="77777777" w:rsidTr="79CE8CE2">
        <w:trPr>
          <w:trHeight w:val="300"/>
          <w:jc w:val="center"/>
        </w:trPr>
        <w:tc>
          <w:tcPr>
            <w:tcW w:w="1217" w:type="dxa"/>
            <w:tcBorders>
              <w:top w:val="nil"/>
              <w:left w:val="single" w:sz="4" w:space="0" w:color="auto"/>
              <w:bottom w:val="single" w:sz="4" w:space="0" w:color="auto"/>
              <w:right w:val="single" w:sz="4" w:space="0" w:color="auto"/>
            </w:tcBorders>
            <w:noWrap/>
            <w:vAlign w:val="bottom"/>
            <w:hideMark/>
          </w:tcPr>
          <w:p w14:paraId="143AE6AA"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=12</w:t>
            </w:r>
          </w:p>
        </w:tc>
        <w:tc>
          <w:tcPr>
            <w:tcW w:w="3820" w:type="dxa"/>
            <w:tcBorders>
              <w:top w:val="nil"/>
              <w:left w:val="nil"/>
              <w:bottom w:val="single" w:sz="4" w:space="0" w:color="auto"/>
              <w:right w:val="single" w:sz="4" w:space="0" w:color="auto"/>
            </w:tcBorders>
            <w:noWrap/>
            <w:vAlign w:val="bottom"/>
            <w:hideMark/>
          </w:tcPr>
          <w:p w14:paraId="32AFD1CA" w14:textId="77777777" w:rsidR="0013064C" w:rsidRPr="0013064C" w:rsidRDefault="0013064C" w:rsidP="0013064C">
            <w:pPr>
              <w:spacing w:after="0" w:line="240" w:lineRule="auto"/>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Technische Universität München</w:t>
            </w:r>
          </w:p>
        </w:tc>
        <w:tc>
          <w:tcPr>
            <w:tcW w:w="720" w:type="dxa"/>
            <w:tcBorders>
              <w:top w:val="nil"/>
              <w:left w:val="nil"/>
              <w:bottom w:val="single" w:sz="4" w:space="0" w:color="auto"/>
              <w:right w:val="single" w:sz="4" w:space="0" w:color="auto"/>
            </w:tcBorders>
            <w:noWrap/>
            <w:vAlign w:val="bottom"/>
            <w:hideMark/>
          </w:tcPr>
          <w:p w14:paraId="1E0FF78B"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100</w:t>
            </w:r>
          </w:p>
        </w:tc>
        <w:tc>
          <w:tcPr>
            <w:tcW w:w="779" w:type="dxa"/>
            <w:tcBorders>
              <w:top w:val="nil"/>
              <w:left w:val="nil"/>
              <w:bottom w:val="single" w:sz="4" w:space="0" w:color="auto"/>
              <w:right w:val="single" w:sz="4" w:space="0" w:color="auto"/>
            </w:tcBorders>
            <w:noWrap/>
            <w:vAlign w:val="bottom"/>
            <w:hideMark/>
          </w:tcPr>
          <w:p w14:paraId="65985C12"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5</w:t>
            </w:r>
          </w:p>
        </w:tc>
        <w:tc>
          <w:tcPr>
            <w:tcW w:w="915" w:type="dxa"/>
            <w:tcBorders>
              <w:top w:val="nil"/>
              <w:left w:val="nil"/>
              <w:bottom w:val="single" w:sz="4" w:space="0" w:color="auto"/>
              <w:right w:val="single" w:sz="4" w:space="0" w:color="auto"/>
            </w:tcBorders>
            <w:noWrap/>
            <w:vAlign w:val="bottom"/>
            <w:hideMark/>
          </w:tcPr>
          <w:p w14:paraId="211110CF"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FF9900"/>
                <w:kern w:val="0"/>
                <w:sz w:val="20"/>
                <w:szCs w:val="20"/>
                <w:lang w:eastAsia="en-GB"/>
                <w14:ligatures w14:val="none"/>
              </w:rPr>
              <w:t>0</w:t>
            </w:r>
          </w:p>
        </w:tc>
      </w:tr>
      <w:tr w:rsidR="0013064C" w:rsidRPr="0013064C" w14:paraId="230951B4" w14:textId="77777777" w:rsidTr="79CE8CE2">
        <w:trPr>
          <w:trHeight w:val="300"/>
          <w:jc w:val="center"/>
        </w:trPr>
        <w:tc>
          <w:tcPr>
            <w:tcW w:w="1217" w:type="dxa"/>
            <w:tcBorders>
              <w:top w:val="nil"/>
              <w:left w:val="single" w:sz="4" w:space="0" w:color="auto"/>
              <w:bottom w:val="single" w:sz="4" w:space="0" w:color="auto"/>
              <w:right w:val="single" w:sz="4" w:space="0" w:color="auto"/>
            </w:tcBorders>
            <w:noWrap/>
            <w:vAlign w:val="bottom"/>
            <w:hideMark/>
          </w:tcPr>
          <w:p w14:paraId="76910663"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=54</w:t>
            </w:r>
          </w:p>
        </w:tc>
        <w:tc>
          <w:tcPr>
            <w:tcW w:w="3820" w:type="dxa"/>
            <w:tcBorders>
              <w:top w:val="nil"/>
              <w:left w:val="nil"/>
              <w:bottom w:val="single" w:sz="4" w:space="0" w:color="auto"/>
              <w:right w:val="single" w:sz="4" w:space="0" w:color="auto"/>
            </w:tcBorders>
            <w:noWrap/>
            <w:vAlign w:val="bottom"/>
            <w:hideMark/>
          </w:tcPr>
          <w:p w14:paraId="34AEFF99" w14:textId="77777777" w:rsidR="0013064C" w:rsidRPr="0013064C" w:rsidRDefault="0013064C" w:rsidP="0013064C">
            <w:pPr>
              <w:spacing w:after="0" w:line="240" w:lineRule="auto"/>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RWTH Aachen</w:t>
            </w:r>
          </w:p>
        </w:tc>
        <w:tc>
          <w:tcPr>
            <w:tcW w:w="720" w:type="dxa"/>
            <w:tcBorders>
              <w:top w:val="nil"/>
              <w:left w:val="nil"/>
              <w:bottom w:val="single" w:sz="4" w:space="0" w:color="auto"/>
              <w:right w:val="single" w:sz="4" w:space="0" w:color="auto"/>
            </w:tcBorders>
            <w:noWrap/>
            <w:vAlign w:val="bottom"/>
            <w:hideMark/>
          </w:tcPr>
          <w:p w14:paraId="38905F55"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99,7</w:t>
            </w:r>
          </w:p>
        </w:tc>
        <w:tc>
          <w:tcPr>
            <w:tcW w:w="779" w:type="dxa"/>
            <w:tcBorders>
              <w:top w:val="nil"/>
              <w:left w:val="nil"/>
              <w:bottom w:val="single" w:sz="4" w:space="0" w:color="auto"/>
              <w:right w:val="single" w:sz="4" w:space="0" w:color="auto"/>
            </w:tcBorders>
            <w:noWrap/>
            <w:vAlign w:val="bottom"/>
            <w:hideMark/>
          </w:tcPr>
          <w:p w14:paraId="15A6160D"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13</w:t>
            </w:r>
          </w:p>
        </w:tc>
        <w:tc>
          <w:tcPr>
            <w:tcW w:w="915" w:type="dxa"/>
            <w:tcBorders>
              <w:top w:val="nil"/>
              <w:left w:val="nil"/>
              <w:bottom w:val="single" w:sz="4" w:space="0" w:color="auto"/>
              <w:right w:val="single" w:sz="4" w:space="0" w:color="auto"/>
            </w:tcBorders>
            <w:noWrap/>
            <w:vAlign w:val="bottom"/>
            <w:hideMark/>
          </w:tcPr>
          <w:p w14:paraId="1FA89FDB"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FF0000"/>
                <w:kern w:val="0"/>
                <w:sz w:val="20"/>
                <w:szCs w:val="20"/>
                <w:lang w:eastAsia="en-GB"/>
                <w14:ligatures w14:val="none"/>
              </w:rPr>
              <w:t>-1</w:t>
            </w:r>
          </w:p>
        </w:tc>
      </w:tr>
      <w:tr w:rsidR="0013064C" w:rsidRPr="0013064C" w14:paraId="4064350D" w14:textId="77777777" w:rsidTr="79CE8CE2">
        <w:trPr>
          <w:trHeight w:val="300"/>
          <w:jc w:val="center"/>
        </w:trPr>
        <w:tc>
          <w:tcPr>
            <w:tcW w:w="1217" w:type="dxa"/>
            <w:tcBorders>
              <w:top w:val="nil"/>
              <w:left w:val="single" w:sz="4" w:space="0" w:color="auto"/>
              <w:bottom w:val="single" w:sz="4" w:space="0" w:color="auto"/>
              <w:right w:val="single" w:sz="4" w:space="0" w:color="auto"/>
            </w:tcBorders>
            <w:noWrap/>
            <w:vAlign w:val="bottom"/>
            <w:hideMark/>
          </w:tcPr>
          <w:p w14:paraId="37902242"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=17</w:t>
            </w:r>
          </w:p>
        </w:tc>
        <w:tc>
          <w:tcPr>
            <w:tcW w:w="3820" w:type="dxa"/>
            <w:tcBorders>
              <w:top w:val="nil"/>
              <w:left w:val="nil"/>
              <w:bottom w:val="single" w:sz="4" w:space="0" w:color="auto"/>
              <w:right w:val="single" w:sz="4" w:space="0" w:color="auto"/>
            </w:tcBorders>
            <w:noWrap/>
            <w:vAlign w:val="bottom"/>
            <w:hideMark/>
          </w:tcPr>
          <w:p w14:paraId="2F7F1CD6" w14:textId="77777777" w:rsidR="0013064C" w:rsidRPr="0013064C" w:rsidRDefault="0013064C" w:rsidP="0013064C">
            <w:pPr>
              <w:spacing w:after="0" w:line="240" w:lineRule="auto"/>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Ludwig-Maximilians-Universität München</w:t>
            </w:r>
          </w:p>
        </w:tc>
        <w:tc>
          <w:tcPr>
            <w:tcW w:w="720" w:type="dxa"/>
            <w:tcBorders>
              <w:top w:val="nil"/>
              <w:left w:val="nil"/>
              <w:bottom w:val="single" w:sz="4" w:space="0" w:color="auto"/>
              <w:right w:val="single" w:sz="4" w:space="0" w:color="auto"/>
            </w:tcBorders>
            <w:noWrap/>
            <w:vAlign w:val="bottom"/>
            <w:hideMark/>
          </w:tcPr>
          <w:p w14:paraId="3A8215EF"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99,7</w:t>
            </w:r>
          </w:p>
        </w:tc>
        <w:tc>
          <w:tcPr>
            <w:tcW w:w="779" w:type="dxa"/>
            <w:tcBorders>
              <w:top w:val="nil"/>
              <w:left w:val="nil"/>
              <w:bottom w:val="single" w:sz="4" w:space="0" w:color="auto"/>
              <w:right w:val="single" w:sz="4" w:space="0" w:color="auto"/>
            </w:tcBorders>
            <w:noWrap/>
            <w:vAlign w:val="bottom"/>
            <w:hideMark/>
          </w:tcPr>
          <w:p w14:paraId="2B9043A6"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1D1D1B"/>
                <w:kern w:val="0"/>
                <w:sz w:val="20"/>
                <w:szCs w:val="20"/>
                <w:lang w:eastAsia="en-GB"/>
                <w14:ligatures w14:val="none"/>
              </w:rPr>
              <w:t>14</w:t>
            </w:r>
          </w:p>
        </w:tc>
        <w:tc>
          <w:tcPr>
            <w:tcW w:w="915" w:type="dxa"/>
            <w:tcBorders>
              <w:top w:val="nil"/>
              <w:left w:val="nil"/>
              <w:bottom w:val="single" w:sz="4" w:space="0" w:color="auto"/>
              <w:right w:val="single" w:sz="4" w:space="0" w:color="auto"/>
            </w:tcBorders>
            <w:noWrap/>
            <w:vAlign w:val="bottom"/>
            <w:hideMark/>
          </w:tcPr>
          <w:p w14:paraId="587FF844" w14:textId="77777777" w:rsidR="0013064C" w:rsidRPr="0013064C" w:rsidRDefault="0013064C" w:rsidP="0013064C">
            <w:pPr>
              <w:spacing w:after="0" w:line="240" w:lineRule="auto"/>
              <w:jc w:val="center"/>
              <w:rPr>
                <w:rFonts w:ascii="Calibri" w:eastAsia="Times New Roman" w:hAnsi="Calibri" w:cs="Calibri"/>
                <w:color w:val="1D1D1B"/>
                <w:kern w:val="0"/>
                <w:sz w:val="20"/>
                <w:szCs w:val="20"/>
                <w:lang w:eastAsia="en-GB"/>
                <w14:ligatures w14:val="none"/>
              </w:rPr>
            </w:pPr>
            <w:r w:rsidRPr="0013064C">
              <w:rPr>
                <w:rFonts w:ascii="Calibri" w:eastAsia="Times New Roman" w:hAnsi="Calibri" w:cs="Calibri"/>
                <w:color w:val="FF9900"/>
                <w:kern w:val="0"/>
                <w:sz w:val="20"/>
                <w:szCs w:val="20"/>
                <w:lang w:eastAsia="en-GB"/>
                <w14:ligatures w14:val="none"/>
              </w:rPr>
              <w:t>0</w:t>
            </w:r>
          </w:p>
        </w:tc>
      </w:tr>
    </w:tbl>
    <w:p w14:paraId="017E6881" w14:textId="77777777" w:rsidR="0013064C" w:rsidRDefault="0013064C" w:rsidP="007177CF">
      <w:pPr>
        <w:spacing w:line="360" w:lineRule="auto"/>
        <w:rPr>
          <w:rFonts w:ascii="Calibri" w:hAnsi="Calibri" w:cs="Calibri"/>
          <w:sz w:val="22"/>
          <w:szCs w:val="22"/>
        </w:rPr>
      </w:pPr>
    </w:p>
    <w:p w14:paraId="1386CAB8" w14:textId="0B76EA0A" w:rsidR="0013064C" w:rsidRPr="000F1FC4" w:rsidRDefault="00151655" w:rsidP="79CE8CE2">
      <w:pPr>
        <w:spacing w:line="360" w:lineRule="auto"/>
        <w:rPr>
          <w:rFonts w:ascii="Calibri" w:hAnsi="Calibri" w:cs="Calibri"/>
          <w:sz w:val="22"/>
          <w:szCs w:val="22"/>
          <w:lang w:val="de-DE"/>
        </w:rPr>
      </w:pPr>
      <w:r w:rsidRPr="000F1FC4">
        <w:rPr>
          <w:rFonts w:ascii="Calibri" w:hAnsi="Calibri" w:cs="Calibri"/>
          <w:sz w:val="22"/>
          <w:szCs w:val="22"/>
          <w:lang w:val="de-DE"/>
        </w:rPr>
        <w:t>Neben Frankreich gehört Deutschland zu den produktivsten Forschungszentren Europas, mit drei Universitäten unter den Top Ten bei den Veröffentlichungen pro Fakultät, darunter die Technische Universität Ilmenau, die drittbeste Universität Europas</w:t>
      </w:r>
      <w:r w:rsidR="00F03B51" w:rsidRPr="000F1FC4">
        <w:rPr>
          <w:rFonts w:ascii="Calibri" w:hAnsi="Calibri" w:cs="Calibri"/>
          <w:sz w:val="22"/>
          <w:szCs w:val="22"/>
          <w:lang w:val="de-DE"/>
        </w:rPr>
        <w:t xml:space="preserve">. </w:t>
      </w:r>
      <w:r w:rsidRPr="000F1FC4">
        <w:rPr>
          <w:rFonts w:ascii="Calibri" w:hAnsi="Calibri" w:cs="Calibri"/>
          <w:sz w:val="22"/>
          <w:szCs w:val="22"/>
          <w:lang w:val="de-DE"/>
        </w:rPr>
        <w:t xml:space="preserve">Die Universität zu Lübeck und die Friedrich-Alexander-Universität Erlangen-Nürnberg </w:t>
      </w:r>
      <w:r w:rsidR="00F03B51" w:rsidRPr="000F1FC4">
        <w:rPr>
          <w:rFonts w:ascii="Calibri" w:hAnsi="Calibri" w:cs="Calibri"/>
          <w:sz w:val="22"/>
          <w:szCs w:val="22"/>
          <w:lang w:val="de-DE"/>
        </w:rPr>
        <w:t xml:space="preserve">schneiden bei diesem wichtigen Indikator ebenfalls hervorragend ab und belegen </w:t>
      </w:r>
      <w:r w:rsidRPr="000F1FC4">
        <w:rPr>
          <w:rFonts w:ascii="Calibri" w:hAnsi="Calibri" w:cs="Calibri"/>
          <w:sz w:val="22"/>
          <w:szCs w:val="22"/>
          <w:lang w:val="de-DE"/>
        </w:rPr>
        <w:t>den siebten bzw</w:t>
      </w:r>
      <w:r w:rsidR="00761639" w:rsidRPr="000F1FC4">
        <w:rPr>
          <w:rFonts w:ascii="Calibri" w:hAnsi="Calibri" w:cs="Calibri"/>
          <w:sz w:val="22"/>
          <w:szCs w:val="22"/>
          <w:lang w:val="de-DE"/>
        </w:rPr>
        <w:t>.</w:t>
      </w:r>
      <w:r w:rsidRPr="000F1FC4">
        <w:rPr>
          <w:rFonts w:ascii="Calibri" w:hAnsi="Calibri" w:cs="Calibri"/>
          <w:sz w:val="22"/>
          <w:szCs w:val="22"/>
          <w:lang w:val="de-DE"/>
        </w:rPr>
        <w:t xml:space="preserve"> achten </w:t>
      </w:r>
      <w:r w:rsidR="00761639" w:rsidRPr="000F1FC4">
        <w:rPr>
          <w:rFonts w:ascii="Calibri" w:hAnsi="Calibri" w:cs="Calibri"/>
          <w:sz w:val="22"/>
          <w:szCs w:val="22"/>
          <w:lang w:val="de-DE"/>
        </w:rPr>
        <w:t>Platz</w:t>
      </w:r>
      <w:r w:rsidRPr="000F1FC4">
        <w:rPr>
          <w:rFonts w:ascii="Calibri" w:hAnsi="Calibri" w:cs="Calibri"/>
          <w:sz w:val="22"/>
          <w:szCs w:val="22"/>
          <w:lang w:val="de-DE"/>
        </w:rPr>
        <w:t>.</w:t>
      </w:r>
    </w:p>
    <w:p w14:paraId="1C7D5DD3" w14:textId="1C4A662C" w:rsidR="00761639" w:rsidRPr="000F1FC4" w:rsidRDefault="00761639" w:rsidP="79CE8CE2">
      <w:pPr>
        <w:spacing w:line="360" w:lineRule="auto"/>
        <w:rPr>
          <w:rFonts w:ascii="Calibri" w:hAnsi="Calibri" w:cs="Calibri"/>
          <w:sz w:val="22"/>
          <w:szCs w:val="22"/>
          <w:lang w:val="de-DE"/>
        </w:rPr>
      </w:pPr>
      <w:r w:rsidRPr="000F1FC4">
        <w:rPr>
          <w:rFonts w:ascii="Calibri" w:hAnsi="Calibri" w:cs="Calibri"/>
          <w:sz w:val="22"/>
          <w:szCs w:val="22"/>
          <w:lang w:val="de-DE"/>
        </w:rPr>
        <w:t xml:space="preserve">Im Vergleich zu ihren europäischen Konkurrenten stehen </w:t>
      </w:r>
      <w:r w:rsidR="00F03B51" w:rsidRPr="000F1FC4">
        <w:rPr>
          <w:rFonts w:ascii="Calibri" w:hAnsi="Calibri" w:cs="Calibri"/>
          <w:sz w:val="22"/>
          <w:szCs w:val="22"/>
          <w:lang w:val="de-DE"/>
        </w:rPr>
        <w:t xml:space="preserve">deutsche </w:t>
      </w:r>
      <w:r w:rsidRPr="000F1FC4">
        <w:rPr>
          <w:rFonts w:ascii="Calibri" w:hAnsi="Calibri" w:cs="Calibri"/>
          <w:sz w:val="22"/>
          <w:szCs w:val="22"/>
          <w:lang w:val="de-DE"/>
        </w:rPr>
        <w:t xml:space="preserve">Universitäten hinsichtlich der Wirkung </w:t>
      </w:r>
      <w:r w:rsidR="00F03B51" w:rsidRPr="000F1FC4">
        <w:rPr>
          <w:rFonts w:ascii="Calibri" w:hAnsi="Calibri" w:cs="Calibri"/>
          <w:sz w:val="22"/>
          <w:szCs w:val="22"/>
          <w:lang w:val="de-DE"/>
        </w:rPr>
        <w:t xml:space="preserve">ihrer </w:t>
      </w:r>
      <w:r w:rsidRPr="000F1FC4">
        <w:rPr>
          <w:rFonts w:ascii="Calibri" w:hAnsi="Calibri" w:cs="Calibri"/>
          <w:sz w:val="22"/>
          <w:szCs w:val="22"/>
          <w:lang w:val="de-DE"/>
        </w:rPr>
        <w:t xml:space="preserve">Forschung vor leichten Herausforderungen. Die am höchsten platzierte Universität in Bezug auf die Anzahl der Zitate pro Veröffentlichung, </w:t>
      </w:r>
      <w:r w:rsidR="00B35C22" w:rsidRPr="000F1FC4">
        <w:rPr>
          <w:rFonts w:ascii="Calibri" w:hAnsi="Calibri" w:cs="Calibri"/>
          <w:sz w:val="22"/>
          <w:szCs w:val="22"/>
          <w:lang w:val="de-DE"/>
        </w:rPr>
        <w:t xml:space="preserve">die Friedrich-Alexander-Universität Erlangen-Nürnberg, </w:t>
      </w:r>
      <w:r w:rsidRPr="000F1FC4">
        <w:rPr>
          <w:rFonts w:ascii="Calibri" w:hAnsi="Calibri" w:cs="Calibri"/>
          <w:sz w:val="22"/>
          <w:szCs w:val="22"/>
          <w:lang w:val="de-DE"/>
        </w:rPr>
        <w:t>belegt</w:t>
      </w:r>
      <w:r w:rsidR="00924F7A">
        <w:rPr>
          <w:rFonts w:ascii="Calibri" w:hAnsi="Calibri" w:cs="Calibri"/>
          <w:sz w:val="22"/>
          <w:szCs w:val="22"/>
          <w:lang w:val="de-DE"/>
        </w:rPr>
        <w:t xml:space="preserve"> Platz</w:t>
      </w:r>
      <w:r w:rsidR="00B35C22" w:rsidRPr="000F1FC4">
        <w:rPr>
          <w:rFonts w:ascii="Calibri" w:hAnsi="Calibri" w:cs="Calibri"/>
          <w:sz w:val="22"/>
          <w:szCs w:val="22"/>
          <w:lang w:val="de-DE"/>
        </w:rPr>
        <w:t xml:space="preserve"> 31.</w:t>
      </w:r>
    </w:p>
    <w:p w14:paraId="41F12F83" w14:textId="127D798B" w:rsidR="00B35C22" w:rsidRPr="000F1FC4" w:rsidRDefault="00540347" w:rsidP="79CE8CE2">
      <w:pPr>
        <w:spacing w:line="360" w:lineRule="auto"/>
        <w:rPr>
          <w:rFonts w:ascii="Calibri" w:hAnsi="Calibri" w:cs="Calibri"/>
          <w:sz w:val="22"/>
          <w:szCs w:val="22"/>
          <w:lang w:val="de-DE"/>
        </w:rPr>
      </w:pPr>
      <w:r w:rsidRPr="000F1FC4">
        <w:rPr>
          <w:rFonts w:ascii="Calibri" w:hAnsi="Calibri" w:cs="Calibri"/>
          <w:sz w:val="22"/>
          <w:szCs w:val="22"/>
          <w:lang w:val="de-DE"/>
        </w:rPr>
        <w:t xml:space="preserve">Die Beschäftigungsergebnisse stellen für deutsche Universitäten eine </w:t>
      </w:r>
      <w:r w:rsidR="7893DCB7" w:rsidRPr="000F1FC4">
        <w:rPr>
          <w:rFonts w:ascii="Calibri" w:hAnsi="Calibri" w:cs="Calibri"/>
          <w:sz w:val="22"/>
          <w:szCs w:val="22"/>
          <w:lang w:val="de-DE"/>
        </w:rPr>
        <w:t xml:space="preserve">größere </w:t>
      </w:r>
      <w:r w:rsidRPr="000F1FC4">
        <w:rPr>
          <w:rFonts w:ascii="Calibri" w:hAnsi="Calibri" w:cs="Calibri"/>
          <w:sz w:val="22"/>
          <w:szCs w:val="22"/>
          <w:lang w:val="de-DE"/>
        </w:rPr>
        <w:t xml:space="preserve">Herausforderung dar, da dies der einzige Indikator ist, bei dem keine Universität unter den Top 50 platziert ist und nur drei unter den Top 100 rangieren. </w:t>
      </w:r>
      <w:r w:rsidR="001F7959" w:rsidRPr="000F1FC4">
        <w:rPr>
          <w:rFonts w:ascii="Calibri" w:hAnsi="Calibri" w:cs="Calibri"/>
          <w:sz w:val="22"/>
          <w:szCs w:val="22"/>
          <w:lang w:val="de-DE"/>
        </w:rPr>
        <w:t xml:space="preserve">Dies deutet darauf hin, dass Industriepartnerschaften, Erfahrungslernen und </w:t>
      </w:r>
      <w:r w:rsidR="061508BD" w:rsidRPr="000F1FC4">
        <w:rPr>
          <w:rFonts w:ascii="Calibri" w:hAnsi="Calibri" w:cs="Calibri"/>
          <w:sz w:val="22"/>
          <w:szCs w:val="22"/>
          <w:lang w:val="de-DE"/>
        </w:rPr>
        <w:t>zukunftsorientierte</w:t>
      </w:r>
      <w:r w:rsidR="001F7959" w:rsidRPr="000F1FC4">
        <w:rPr>
          <w:rFonts w:ascii="Calibri" w:hAnsi="Calibri" w:cs="Calibri"/>
          <w:sz w:val="22"/>
          <w:szCs w:val="22"/>
          <w:lang w:val="de-DE"/>
        </w:rPr>
        <w:t>, kompetenzorientierte Ausbildung stärker in den Vordergrund gerückt werden sollten.</w:t>
      </w:r>
    </w:p>
    <w:p w14:paraId="57265F4E" w14:textId="77777777" w:rsidR="0081787A" w:rsidRDefault="0081787A" w:rsidP="0081787A">
      <w:pPr>
        <w:textAlignment w:val="baseline"/>
        <w:rPr>
          <w:rFonts w:ascii="Segoe UI" w:eastAsia="Times New Roman" w:hAnsi="Segoe UI" w:cs="Segoe UI"/>
          <w:kern w:val="0"/>
          <w:sz w:val="18"/>
          <w:szCs w:val="18"/>
          <w:lang w:eastAsia="en-GB"/>
          <w14:ligatures w14:val="none"/>
        </w:rPr>
      </w:pPr>
      <w:r w:rsidRPr="00473EE6">
        <w:rPr>
          <w:rFonts w:ascii="Calibri" w:eastAsia="Times New Roman" w:hAnsi="Calibri" w:cs="Calibri"/>
          <w:b/>
          <w:bCs/>
          <w:kern w:val="0"/>
          <w:sz w:val="22"/>
          <w:szCs w:val="22"/>
          <w:u w:val="single"/>
          <w:lang w:eastAsia="en-GB"/>
          <w14:ligatures w14:val="none"/>
        </w:rPr>
        <w:t>Europa im Überblick  </w:t>
      </w:r>
    </w:p>
    <w:p w14:paraId="762308C0" w14:textId="77777777" w:rsidR="0081787A" w:rsidRPr="00D3268F" w:rsidRDefault="0081787A" w:rsidP="0081787A">
      <w:pPr>
        <w:pStyle w:val="Listenabsatz"/>
        <w:numPr>
          <w:ilvl w:val="0"/>
          <w:numId w:val="22"/>
        </w:numPr>
        <w:spacing w:line="360" w:lineRule="auto"/>
        <w:contextualSpacing w:val="0"/>
        <w:textAlignment w:val="baseline"/>
        <w:rPr>
          <w:rFonts w:ascii="Segoe UI" w:eastAsia="Times New Roman" w:hAnsi="Segoe UI" w:cs="Segoe UI"/>
          <w:kern w:val="0"/>
          <w:sz w:val="18"/>
          <w:szCs w:val="18"/>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Vereinigtes Königreich: </w:t>
      </w:r>
      <w:r w:rsidRPr="00D3268F">
        <w:rPr>
          <w:rFonts w:ascii="Calibri" w:eastAsia="Times New Roman" w:hAnsi="Calibri" w:cs="Calibri"/>
          <w:kern w:val="0"/>
          <w:sz w:val="22"/>
          <w:szCs w:val="22"/>
          <w:lang w:val="de-DE" w:eastAsia="en-GB"/>
          <w14:ligatures w14:val="none"/>
        </w:rPr>
        <w:t>Britische Universitäten genießen in Europa das beste Ansehen. Sieben Einrichtungen rangieren unter den Top 10 in der Kategorie „Akademisches Ansehen” und sechs unter den Top 10 in der Kategorie „Ansehen bei Arbeitgebern”, darunter die drei besten in beiden Kategorien. Das Vereinigte Königreich ist auch führend in der Forschungswirkung: Drei Universitäten rangieren unter den Top 10 in der Kategorie „Zitate pro Veröffentlichung”, gefolgt von Finnland mit zwei Universitäten.   </w:t>
      </w:r>
    </w:p>
    <w:p w14:paraId="436CB6BB" w14:textId="77777777" w:rsidR="0081787A" w:rsidRPr="00D3268F" w:rsidRDefault="0081787A" w:rsidP="0081787A">
      <w:pPr>
        <w:pStyle w:val="Listenabsatz"/>
        <w:numPr>
          <w:ilvl w:val="0"/>
          <w:numId w:val="22"/>
        </w:numPr>
        <w:spacing w:line="360" w:lineRule="auto"/>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Schweiz: </w:t>
      </w:r>
      <w:r w:rsidRPr="00D3268F">
        <w:rPr>
          <w:rFonts w:ascii="Calibri" w:eastAsia="Times New Roman" w:hAnsi="Calibri" w:cs="Calibri"/>
          <w:kern w:val="0"/>
          <w:sz w:val="22"/>
          <w:szCs w:val="22"/>
          <w:lang w:val="de-DE" w:eastAsia="en-GB"/>
          <w14:ligatures w14:val="none"/>
        </w:rPr>
        <w:t>Die Schweiz dominiert den Indikator „Internationaler Lehrkräfteanteil“ mit sechs Universitäten unter den Top 10, darunter die EPFL (1.) und die ETH Zürich (3.). Kein anderes europäisches Land hat mehr als eine Einrichtung unter den Top 10.   </w:t>
      </w:r>
    </w:p>
    <w:p w14:paraId="3CAB0963" w14:textId="77777777" w:rsidR="0081787A" w:rsidRPr="00D3268F" w:rsidRDefault="0081787A" w:rsidP="0081787A">
      <w:pPr>
        <w:pStyle w:val="Listenabsatz"/>
        <w:numPr>
          <w:ilvl w:val="0"/>
          <w:numId w:val="22"/>
        </w:numPr>
        <w:spacing w:line="360" w:lineRule="auto"/>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lastRenderedPageBreak/>
        <w:t xml:space="preserve">Frankreich: </w:t>
      </w:r>
      <w:r w:rsidRPr="00D3268F">
        <w:rPr>
          <w:rFonts w:ascii="Calibri" w:eastAsia="Times New Roman" w:hAnsi="Calibri" w:cs="Calibri"/>
          <w:kern w:val="0"/>
          <w:sz w:val="22"/>
          <w:szCs w:val="22"/>
          <w:lang w:val="de-DE" w:eastAsia="en-GB"/>
          <w14:ligatures w14:val="none"/>
        </w:rPr>
        <w:t>Frankreich ist Europas Forschungsmotor mit sechs Universitäten unter den Top 10 bei den Veröffentlichungen pro Fakultät. Die INSA Rennes liegt bei diesem Indikator an erster Stelle in Europa, gefolgt von der École Centrale de Lyon. Frankreich zeichnet sich auch durch seine Zusammenarbeit aus und liegt mit vier Universitäten unter den Top 10 beim internationalen Forschungsnetzwerk gleichauf mit Großbritannien.   </w:t>
      </w:r>
    </w:p>
    <w:p w14:paraId="0893F28F" w14:textId="77777777" w:rsidR="0081787A" w:rsidRPr="00D3268F" w:rsidRDefault="0081787A" w:rsidP="0081787A">
      <w:pPr>
        <w:pStyle w:val="Listenabsatz"/>
        <w:numPr>
          <w:ilvl w:val="0"/>
          <w:numId w:val="22"/>
        </w:numPr>
        <w:spacing w:line="360" w:lineRule="auto"/>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Irland: </w:t>
      </w:r>
      <w:r w:rsidRPr="00D3268F">
        <w:rPr>
          <w:rFonts w:ascii="Calibri" w:eastAsia="Times New Roman" w:hAnsi="Calibri" w:cs="Calibri"/>
          <w:kern w:val="0"/>
          <w:sz w:val="22"/>
          <w:szCs w:val="22"/>
          <w:lang w:val="de-DE" w:eastAsia="en-GB"/>
          <w14:ligatures w14:val="none"/>
        </w:rPr>
        <w:t>Irland gehört zu den Ländern, die sich in diesem Jahr am stärksten verbessert haben. Sechs von acht zuvor gelisteten irischen Universitäten steigen in der Tabelle auf, während vier Einrichtungen zum ersten Mal in die Rangliste aufgenommen werden. Das Trinity College Dublin führt mit</w:t>
      </w:r>
      <w:r>
        <w:rPr>
          <w:rFonts w:ascii="Calibri" w:eastAsia="Times New Roman" w:hAnsi="Calibri" w:cs="Calibri"/>
          <w:kern w:val="0"/>
          <w:sz w:val="22"/>
          <w:szCs w:val="22"/>
          <w:lang w:val="de-DE" w:eastAsia="en-GB"/>
          <w14:ligatures w14:val="none"/>
        </w:rPr>
        <w:t xml:space="preserve"> Rang 29 die</w:t>
      </w:r>
      <w:r w:rsidRPr="00D3268F">
        <w:rPr>
          <w:rFonts w:ascii="Calibri" w:eastAsia="Times New Roman" w:hAnsi="Calibri" w:cs="Calibri"/>
          <w:kern w:val="0"/>
          <w:sz w:val="22"/>
          <w:szCs w:val="22"/>
          <w:lang w:val="de-DE" w:eastAsia="en-GB"/>
          <w14:ligatures w14:val="none"/>
        </w:rPr>
        <w:t xml:space="preserve"> nationale</w:t>
      </w:r>
      <w:r>
        <w:rPr>
          <w:rFonts w:ascii="Calibri" w:eastAsia="Times New Roman" w:hAnsi="Calibri" w:cs="Calibri"/>
          <w:kern w:val="0"/>
          <w:sz w:val="22"/>
          <w:szCs w:val="22"/>
          <w:lang w:val="de-DE" w:eastAsia="en-GB"/>
          <w14:ligatures w14:val="none"/>
        </w:rPr>
        <w:t xml:space="preserve"> Liste</w:t>
      </w:r>
      <w:r w:rsidRPr="00D3268F">
        <w:rPr>
          <w:rFonts w:ascii="Calibri" w:eastAsia="Times New Roman" w:hAnsi="Calibri" w:cs="Calibri"/>
          <w:kern w:val="0"/>
          <w:sz w:val="22"/>
          <w:szCs w:val="22"/>
          <w:lang w:val="de-DE" w:eastAsia="en-GB"/>
          <w14:ligatures w14:val="none"/>
        </w:rPr>
        <w:t xml:space="preserve"> an. Alle zuvor gelisteten irischen Universitäten verbessern sich in der Kategorie „Akademische Reputation“, angeführt vom Trinity College Dublin.   </w:t>
      </w:r>
    </w:p>
    <w:p w14:paraId="2ECD1864" w14:textId="77777777" w:rsidR="0081787A" w:rsidRPr="00D3268F" w:rsidRDefault="0081787A" w:rsidP="0081787A">
      <w:pPr>
        <w:pStyle w:val="Listenabsatz"/>
        <w:numPr>
          <w:ilvl w:val="0"/>
          <w:numId w:val="22"/>
        </w:numPr>
        <w:spacing w:line="360" w:lineRule="auto"/>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Italien: </w:t>
      </w:r>
      <w:r w:rsidRPr="00D3268F">
        <w:rPr>
          <w:rFonts w:ascii="Calibri" w:eastAsia="Times New Roman" w:hAnsi="Calibri" w:cs="Calibri"/>
          <w:kern w:val="0"/>
          <w:sz w:val="22"/>
          <w:szCs w:val="22"/>
          <w:lang w:val="de-DE" w:eastAsia="en-GB"/>
          <w14:ligatures w14:val="none"/>
        </w:rPr>
        <w:t>Das Politecnico di Milano</w:t>
      </w:r>
      <w:r>
        <w:rPr>
          <w:rFonts w:ascii="Calibri" w:eastAsia="Times New Roman" w:hAnsi="Calibri" w:cs="Calibri"/>
          <w:kern w:val="0"/>
          <w:sz w:val="22"/>
          <w:szCs w:val="22"/>
          <w:lang w:val="de-DE" w:eastAsia="en-GB"/>
          <w14:ligatures w14:val="none"/>
        </w:rPr>
        <w:t xml:space="preserve"> bleibt</w:t>
      </w:r>
      <w:r>
        <w:rPr>
          <w:rFonts w:ascii="Calibri" w:eastAsia="Times New Roman" w:hAnsi="Calibri" w:cs="Calibri"/>
          <w:kern w:val="0"/>
          <w:sz w:val="13"/>
          <w:szCs w:val="13"/>
          <w:vertAlign w:val="superscript"/>
          <w:lang w:val="de-DE" w:eastAsia="en-GB"/>
          <w14:ligatures w14:val="none"/>
        </w:rPr>
        <w:t xml:space="preserve"> </w:t>
      </w:r>
      <w:r w:rsidRPr="00D3268F">
        <w:rPr>
          <w:rFonts w:ascii="Calibri" w:eastAsia="Times New Roman" w:hAnsi="Calibri" w:cs="Calibri"/>
          <w:kern w:val="0"/>
          <w:sz w:val="22"/>
          <w:szCs w:val="22"/>
          <w:lang w:val="de-DE" w:eastAsia="en-GB"/>
          <w14:ligatures w14:val="none"/>
        </w:rPr>
        <w:t>trotz eines Rückgangs um sieben Plätze auf</w:t>
      </w:r>
      <w:r>
        <w:rPr>
          <w:rFonts w:ascii="Calibri" w:eastAsia="Times New Roman" w:hAnsi="Calibri" w:cs="Calibri"/>
          <w:kern w:val="0"/>
          <w:sz w:val="22"/>
          <w:szCs w:val="22"/>
          <w:lang w:val="de-DE" w:eastAsia="en-GB"/>
          <w14:ligatures w14:val="none"/>
        </w:rPr>
        <w:t xml:space="preserve"> Rang</w:t>
      </w:r>
      <w:r w:rsidRPr="00D3268F">
        <w:rPr>
          <w:rFonts w:ascii="Calibri" w:eastAsia="Times New Roman" w:hAnsi="Calibri" w:cs="Calibri"/>
          <w:kern w:val="0"/>
          <w:sz w:val="22"/>
          <w:szCs w:val="22"/>
          <w:lang w:val="de-DE" w:eastAsia="en-GB"/>
          <w14:ligatures w14:val="none"/>
        </w:rPr>
        <w:t xml:space="preserve"> 45 die bestplatzierte Universität Italiens. Italienische Einrichtungen schneiden bei der internationalen akademischen Reputation gut ab, wobei die Sapienza Universität Rom und die Universität Bologna bei diesem Indikator die Plätze 16 und 17 belegen.   </w:t>
      </w:r>
    </w:p>
    <w:p w14:paraId="0D2D6FE6" w14:textId="77777777" w:rsidR="0081787A" w:rsidRPr="00D3268F" w:rsidRDefault="0081787A" w:rsidP="0081787A">
      <w:pPr>
        <w:pStyle w:val="Listenabsatz"/>
        <w:numPr>
          <w:ilvl w:val="0"/>
          <w:numId w:val="22"/>
        </w:numPr>
        <w:spacing w:line="360" w:lineRule="auto"/>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Spanien: </w:t>
      </w:r>
      <w:r w:rsidRPr="00D3268F">
        <w:rPr>
          <w:rFonts w:ascii="Calibri" w:eastAsia="Times New Roman" w:hAnsi="Calibri" w:cs="Calibri"/>
          <w:kern w:val="0"/>
          <w:sz w:val="22"/>
          <w:szCs w:val="22"/>
          <w:lang w:val="de-DE" w:eastAsia="en-GB"/>
          <w14:ligatures w14:val="none"/>
        </w:rPr>
        <w:t>Fünf spanische Universitäten rangieren unter den Top 100, angeführt von der Universitat de Barcelona (Platz 60) und der Universitat Autònoma de Barcelona (Platz 68), gefolgt von der Universidad Autónoma de Madrid (Platz 71), der Complutense University of Madrid (Platz 78) und der Universitat Pompeu Fabra (</w:t>
      </w:r>
      <w:r>
        <w:rPr>
          <w:rFonts w:ascii="Calibri" w:eastAsia="Times New Roman" w:hAnsi="Calibri" w:cs="Calibri"/>
          <w:kern w:val="0"/>
          <w:sz w:val="22"/>
          <w:szCs w:val="22"/>
          <w:lang w:val="de-DE" w:eastAsia="en-GB"/>
          <w14:ligatures w14:val="none"/>
        </w:rPr>
        <w:t>Platz 99</w:t>
      </w:r>
      <w:r w:rsidRPr="00D3268F">
        <w:rPr>
          <w:rFonts w:ascii="Calibri" w:eastAsia="Times New Roman" w:hAnsi="Calibri" w:cs="Calibri"/>
          <w:kern w:val="0"/>
          <w:sz w:val="22"/>
          <w:szCs w:val="22"/>
          <w:lang w:val="de-DE" w:eastAsia="en-GB"/>
          <w14:ligatures w14:val="none"/>
        </w:rPr>
        <w:t>).   </w:t>
      </w:r>
    </w:p>
    <w:p w14:paraId="232A8D8B" w14:textId="77777777" w:rsidR="0081787A" w:rsidRPr="00D3268F" w:rsidRDefault="0081787A" w:rsidP="0081787A">
      <w:pPr>
        <w:pStyle w:val="Listenabsatz"/>
        <w:numPr>
          <w:ilvl w:val="0"/>
          <w:numId w:val="22"/>
        </w:numPr>
        <w:spacing w:line="360" w:lineRule="auto"/>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Niederlande: </w:t>
      </w:r>
      <w:r w:rsidRPr="00D3268F">
        <w:rPr>
          <w:rFonts w:ascii="Calibri" w:eastAsia="Times New Roman" w:hAnsi="Calibri" w:cs="Calibri"/>
          <w:kern w:val="0"/>
          <w:sz w:val="22"/>
          <w:szCs w:val="22"/>
          <w:lang w:val="de-DE" w:eastAsia="en-GB"/>
          <w14:ligatures w14:val="none"/>
        </w:rPr>
        <w:t>Die Technische Universität Delft klettert um vier Plätze auf Rang 11 und festigt damit ihre Position unter den Top 20, während die Universität Amsterdam von Rang 17 auf Rang 24 zurückfällt.   </w:t>
      </w:r>
    </w:p>
    <w:p w14:paraId="3284CFCF" w14:textId="77777777" w:rsidR="0081787A" w:rsidRPr="00B604AB" w:rsidRDefault="0081787A" w:rsidP="0081787A">
      <w:pPr>
        <w:pStyle w:val="Listenabsatz"/>
        <w:numPr>
          <w:ilvl w:val="0"/>
          <w:numId w:val="22"/>
        </w:numPr>
        <w:spacing w:line="360" w:lineRule="auto"/>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Tschechien </w:t>
      </w:r>
      <w:r w:rsidRPr="00D3268F">
        <w:rPr>
          <w:rFonts w:ascii="Calibri" w:eastAsia="Times New Roman" w:hAnsi="Calibri" w:cs="Calibri"/>
          <w:kern w:val="0"/>
          <w:sz w:val="22"/>
          <w:szCs w:val="22"/>
          <w:lang w:val="de-DE" w:eastAsia="en-GB"/>
          <w14:ligatures w14:val="none"/>
        </w:rPr>
        <w:t xml:space="preserve">ist das einzige osteuropäische Land, das unter den Top 100 vertreten ist, wobei die Karlsuniversität </w:t>
      </w:r>
      <w:r>
        <w:rPr>
          <w:rFonts w:ascii="Calibri" w:eastAsia="Times New Roman" w:hAnsi="Calibri" w:cs="Calibri"/>
          <w:kern w:val="0"/>
          <w:sz w:val="22"/>
          <w:szCs w:val="22"/>
          <w:lang w:val="de-DE" w:eastAsia="en-GB"/>
          <w14:ligatures w14:val="none"/>
        </w:rPr>
        <w:t>Rang 92 belegt</w:t>
      </w:r>
      <w:r w:rsidRPr="00B604AB">
        <w:rPr>
          <w:rFonts w:ascii="Calibri" w:eastAsia="Times New Roman" w:hAnsi="Calibri" w:cs="Calibri"/>
          <w:kern w:val="0"/>
          <w:sz w:val="22"/>
          <w:szCs w:val="22"/>
          <w:lang w:val="de-DE" w:eastAsia="en-GB"/>
          <w14:ligatures w14:val="none"/>
        </w:rPr>
        <w:t>.    </w:t>
      </w:r>
    </w:p>
    <w:p w14:paraId="2C250886" w14:textId="77777777" w:rsidR="0081787A" w:rsidRPr="00D3268F" w:rsidRDefault="0081787A" w:rsidP="0081787A">
      <w:pPr>
        <w:pStyle w:val="Listenabsatz"/>
        <w:numPr>
          <w:ilvl w:val="0"/>
          <w:numId w:val="22"/>
        </w:numPr>
        <w:spacing w:line="360" w:lineRule="auto"/>
        <w:contextualSpacing w:val="0"/>
        <w:textAlignment w:val="baseline"/>
        <w:rPr>
          <w:rFonts w:ascii="Calibri" w:eastAsia="Times New Roman" w:hAnsi="Calibri" w:cs="Calibri"/>
          <w:kern w:val="0"/>
          <w:sz w:val="22"/>
          <w:szCs w:val="22"/>
          <w:lang w:val="de-DE" w:eastAsia="en-GB"/>
          <w14:ligatures w14:val="none"/>
        </w:rPr>
      </w:pPr>
      <w:r w:rsidRPr="00D3268F">
        <w:rPr>
          <w:rFonts w:ascii="Calibri" w:eastAsia="Times New Roman" w:hAnsi="Calibri" w:cs="Calibri"/>
          <w:b/>
          <w:bCs/>
          <w:kern w:val="0"/>
          <w:sz w:val="22"/>
          <w:szCs w:val="22"/>
          <w:lang w:val="de-DE" w:eastAsia="en-GB"/>
          <w14:ligatures w14:val="none"/>
        </w:rPr>
        <w:t xml:space="preserve">Türkei: </w:t>
      </w:r>
      <w:r w:rsidRPr="00D3268F">
        <w:rPr>
          <w:rFonts w:ascii="Calibri" w:eastAsia="Times New Roman" w:hAnsi="Calibri" w:cs="Calibri"/>
          <w:kern w:val="0"/>
          <w:sz w:val="22"/>
          <w:szCs w:val="22"/>
          <w:lang w:val="de-DE" w:eastAsia="en-GB"/>
          <w14:ligatures w14:val="none"/>
        </w:rPr>
        <w:t>Nach Erfolgen in allen QS-Rankings verzeichnet die Türkei eine hohe Stabilität mit einer moderaten Nettoverbesserungsrate. Ihre führende Einrichtung, die Koç-Universität, klettert in die Top 150 und belegt</w:t>
      </w:r>
      <w:r>
        <w:rPr>
          <w:rFonts w:ascii="Calibri" w:eastAsia="Times New Roman" w:hAnsi="Calibri" w:cs="Calibri"/>
          <w:kern w:val="0"/>
          <w:sz w:val="22"/>
          <w:szCs w:val="22"/>
          <w:lang w:val="de-DE" w:eastAsia="en-GB"/>
          <w14:ligatures w14:val="none"/>
        </w:rPr>
        <w:t xml:space="preserve"> Rang</w:t>
      </w:r>
      <w:r w:rsidRPr="00D3268F">
        <w:rPr>
          <w:rFonts w:ascii="Calibri" w:eastAsia="Times New Roman" w:hAnsi="Calibri" w:cs="Calibri"/>
          <w:kern w:val="0"/>
          <w:sz w:val="22"/>
          <w:szCs w:val="22"/>
          <w:lang w:val="de-DE" w:eastAsia="en-GB"/>
          <w14:ligatures w14:val="none"/>
        </w:rPr>
        <w:t xml:space="preserve"> 143.   </w:t>
      </w:r>
    </w:p>
    <w:p w14:paraId="60CC7123" w14:textId="630D9E07" w:rsidR="005E7D84" w:rsidRPr="000F1FC4" w:rsidRDefault="005E7D84" w:rsidP="007177CF">
      <w:pPr>
        <w:spacing w:line="360" w:lineRule="auto"/>
        <w:textAlignment w:val="baseline"/>
        <w:rPr>
          <w:rFonts w:ascii="Calibri" w:eastAsia="Times New Roman" w:hAnsi="Calibri" w:cs="Calibri"/>
          <w:kern w:val="0"/>
          <w:sz w:val="22"/>
          <w:szCs w:val="22"/>
          <w:lang w:val="de-DE" w:eastAsia="en-GB"/>
          <w14:ligatures w14:val="none"/>
        </w:rPr>
      </w:pPr>
      <w:r w:rsidRPr="000F1FC4">
        <w:rPr>
          <w:rFonts w:ascii="Calibri" w:eastAsia="Times New Roman" w:hAnsi="Calibri" w:cs="Calibri"/>
          <w:kern w:val="0"/>
          <w:sz w:val="22"/>
          <w:szCs w:val="22"/>
          <w:lang w:val="de-DE" w:eastAsia="en-GB"/>
          <w14:ligatures w14:val="none"/>
        </w:rPr>
        <w:t>Die Universität Oxford ist in vier QS-Indikatoren europäischer Spitzenreiter, darunter akademische Reputation und Reputation bei Arbeitgebern, internationales Forschungsnetzwerk und Beschäftigungsergebnisse.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8"/>
        <w:gridCol w:w="1012"/>
        <w:gridCol w:w="2918"/>
        <w:gridCol w:w="1273"/>
        <w:gridCol w:w="1589"/>
      </w:tblGrid>
      <w:tr w:rsidR="00641ED4" w:rsidRPr="000F1FC4" w14:paraId="2F48357B" w14:textId="77777777" w:rsidTr="79CE8CE2">
        <w:trPr>
          <w:trHeight w:val="300"/>
        </w:trPr>
        <w:tc>
          <w:tcPr>
            <w:tcW w:w="8925" w:type="dxa"/>
            <w:gridSpan w:val="5"/>
            <w:tcBorders>
              <w:top w:val="single" w:sz="6" w:space="0" w:color="auto"/>
              <w:left w:val="single" w:sz="6" w:space="0" w:color="auto"/>
              <w:bottom w:val="single" w:sz="6" w:space="0" w:color="auto"/>
              <w:right w:val="single" w:sz="6" w:space="0" w:color="auto"/>
            </w:tcBorders>
            <w:vAlign w:val="bottom"/>
            <w:hideMark/>
          </w:tcPr>
          <w:p w14:paraId="755093EF" w14:textId="4739F642" w:rsidR="00641ED4" w:rsidRPr="000F1FC4" w:rsidRDefault="00641ED4" w:rsidP="00641ED4">
            <w:pPr>
              <w:spacing w:after="0" w:line="240" w:lineRule="auto"/>
              <w:jc w:val="center"/>
              <w:textAlignment w:val="baseline"/>
              <w:rPr>
                <w:rFonts w:ascii="Times New Roman" w:eastAsia="Times New Roman" w:hAnsi="Times New Roman" w:cs="Times New Roman"/>
                <w:kern w:val="0"/>
                <w:lang w:val="de-DE" w:eastAsia="en-GB"/>
                <w14:ligatures w14:val="none"/>
              </w:rPr>
            </w:pPr>
            <w:r w:rsidRPr="000F1FC4">
              <w:rPr>
                <w:rFonts w:ascii="Calibri" w:eastAsia="Times New Roman" w:hAnsi="Calibri" w:cs="Calibri"/>
                <w:b/>
                <w:bCs/>
                <w:kern w:val="0"/>
                <w:sz w:val="20"/>
                <w:szCs w:val="20"/>
                <w:lang w:val="de-DE" w:eastAsia="en-GB"/>
                <w14:ligatures w14:val="none"/>
              </w:rPr>
              <w:t>Tabelle</w:t>
            </w:r>
            <w:r w:rsidR="605B492C" w:rsidRPr="000F1FC4">
              <w:rPr>
                <w:rFonts w:ascii="Calibri" w:eastAsia="Times New Roman" w:hAnsi="Calibri" w:cs="Calibri"/>
                <w:b/>
                <w:bCs/>
                <w:kern w:val="0"/>
                <w:sz w:val="20"/>
                <w:szCs w:val="20"/>
                <w:lang w:val="de-DE" w:eastAsia="en-GB"/>
                <w14:ligatures w14:val="none"/>
              </w:rPr>
              <w:t xml:space="preserve"> l 6</w:t>
            </w:r>
            <w:r w:rsidRPr="000F1FC4">
              <w:rPr>
                <w:rFonts w:ascii="Calibri" w:eastAsia="Times New Roman" w:hAnsi="Calibri" w:cs="Calibri"/>
                <w:b/>
                <w:bCs/>
                <w:kern w:val="0"/>
                <w:sz w:val="20"/>
                <w:szCs w:val="20"/>
                <w:lang w:val="de-DE" w:eastAsia="en-GB"/>
                <w14:ligatures w14:val="none"/>
              </w:rPr>
              <w:t>: Europäische Spitzenreiter nach Indikator</w:t>
            </w:r>
          </w:p>
        </w:tc>
      </w:tr>
      <w:tr w:rsidR="00641ED4" w:rsidRPr="00641ED4" w14:paraId="2FEC7716"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00387AB1"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b/>
                <w:bCs/>
                <w:kern w:val="0"/>
                <w:sz w:val="20"/>
                <w:szCs w:val="20"/>
                <w:lang w:eastAsia="en-GB"/>
                <w14:ligatures w14:val="none"/>
              </w:rPr>
              <w:lastRenderedPageBreak/>
              <w:t xml:space="preserve">Leistungslinsen </w:t>
            </w:r>
          </w:p>
        </w:tc>
        <w:tc>
          <w:tcPr>
            <w:tcW w:w="840" w:type="dxa"/>
            <w:tcBorders>
              <w:top w:val="single" w:sz="6" w:space="0" w:color="auto"/>
              <w:left w:val="single" w:sz="6" w:space="0" w:color="auto"/>
              <w:bottom w:val="single" w:sz="6" w:space="0" w:color="auto"/>
              <w:right w:val="single" w:sz="6" w:space="0" w:color="auto"/>
            </w:tcBorders>
            <w:vAlign w:val="bottom"/>
            <w:hideMark/>
          </w:tcPr>
          <w:p w14:paraId="11C784F6"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b/>
                <w:bCs/>
                <w:kern w:val="0"/>
                <w:sz w:val="20"/>
                <w:szCs w:val="20"/>
                <w:lang w:eastAsia="en-GB"/>
                <w14:ligatures w14:val="none"/>
              </w:rPr>
              <w:t xml:space="preserve">Gewichtung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2E448EBD"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b/>
                <w:bCs/>
                <w:kern w:val="0"/>
                <w:sz w:val="20"/>
                <w:szCs w:val="20"/>
                <w:lang w:eastAsia="en-GB"/>
                <w14:ligatures w14:val="none"/>
              </w:rPr>
              <w:t xml:space="preserve">Inländischer Spitzenreiter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1724A171"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b/>
                <w:bCs/>
                <w:kern w:val="0"/>
                <w:sz w:val="20"/>
                <w:szCs w:val="20"/>
                <w:lang w:eastAsia="en-GB"/>
                <w14:ligatures w14:val="none"/>
              </w:rPr>
              <w:t xml:space="preserve">Land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73521B41"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b/>
                <w:bCs/>
                <w:kern w:val="0"/>
                <w:sz w:val="20"/>
                <w:szCs w:val="20"/>
                <w:lang w:eastAsia="en-GB"/>
                <w14:ligatures w14:val="none"/>
              </w:rPr>
              <w:t xml:space="preserve">Gesamtplatzierung </w:t>
            </w:r>
          </w:p>
        </w:tc>
      </w:tr>
      <w:tr w:rsidR="00641ED4" w:rsidRPr="00641ED4" w14:paraId="1BD02EC6"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DA1652E"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Akademischer Ruf </w:t>
            </w:r>
          </w:p>
        </w:tc>
        <w:tc>
          <w:tcPr>
            <w:tcW w:w="840" w:type="dxa"/>
            <w:tcBorders>
              <w:top w:val="single" w:sz="6" w:space="0" w:color="auto"/>
              <w:left w:val="single" w:sz="6" w:space="0" w:color="auto"/>
              <w:bottom w:val="single" w:sz="6" w:space="0" w:color="auto"/>
              <w:right w:val="single" w:sz="6" w:space="0" w:color="auto"/>
            </w:tcBorders>
            <w:vAlign w:val="center"/>
            <w:hideMark/>
          </w:tcPr>
          <w:p w14:paraId="53B3558D"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30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21E5D2C6"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Universität Oxford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08D3B386"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Großbritannien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3C9ADAFF"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1 </w:t>
            </w:r>
          </w:p>
        </w:tc>
      </w:tr>
      <w:tr w:rsidR="00641ED4" w:rsidRPr="00641ED4" w14:paraId="683D3D89"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C9F1602"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Reputation bei Arbeitgebern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E1C076C"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15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345572A8"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Universität Oxford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4D1C6841"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Großbritannien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55D85B8E"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1 </w:t>
            </w:r>
          </w:p>
        </w:tc>
      </w:tr>
      <w:tr w:rsidR="00641ED4" w:rsidRPr="00641ED4" w14:paraId="273EF7AF"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06EA0A4" w14:textId="77777777" w:rsidR="00641ED4" w:rsidRPr="000F1FC4" w:rsidRDefault="00641ED4" w:rsidP="00641ED4">
            <w:pPr>
              <w:spacing w:after="0" w:line="240" w:lineRule="auto"/>
              <w:textAlignment w:val="baseline"/>
              <w:rPr>
                <w:rFonts w:ascii="Times New Roman" w:eastAsia="Times New Roman" w:hAnsi="Times New Roman" w:cs="Times New Roman"/>
                <w:kern w:val="0"/>
                <w:lang w:val="de-DE" w:eastAsia="en-GB"/>
                <w14:ligatures w14:val="none"/>
              </w:rPr>
            </w:pPr>
            <w:r w:rsidRPr="000F1FC4">
              <w:rPr>
                <w:rFonts w:ascii="Calibri" w:eastAsia="Times New Roman" w:hAnsi="Calibri" w:cs="Calibri"/>
                <w:kern w:val="0"/>
                <w:sz w:val="20"/>
                <w:szCs w:val="20"/>
                <w:lang w:val="de-DE" w:eastAsia="en-GB"/>
                <w14:ligatures w14:val="none"/>
              </w:rPr>
              <w:t xml:space="preserve">Verhältnis zwischen Lehrkräften und Studierenden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F156E52"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5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74362936"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Universität Nova Gorica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5CD7EC55"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Slowenien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6292727C"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278 </w:t>
            </w:r>
          </w:p>
        </w:tc>
      </w:tr>
      <w:tr w:rsidR="00641ED4" w:rsidRPr="00641ED4" w14:paraId="3D6E25F9"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5B0B8FC"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Zitate pro Veröffentlichung </w:t>
            </w:r>
          </w:p>
        </w:tc>
        <w:tc>
          <w:tcPr>
            <w:tcW w:w="840" w:type="dxa"/>
            <w:tcBorders>
              <w:top w:val="single" w:sz="6" w:space="0" w:color="auto"/>
              <w:left w:val="single" w:sz="6" w:space="0" w:color="auto"/>
              <w:bottom w:val="single" w:sz="6" w:space="0" w:color="auto"/>
              <w:right w:val="single" w:sz="6" w:space="0" w:color="auto"/>
            </w:tcBorders>
            <w:vAlign w:val="center"/>
            <w:hideMark/>
          </w:tcPr>
          <w:p w14:paraId="57B56F2A"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10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6676935E"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Universität Vaasa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6E0079AD"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Finnland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2348DDB5"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301 </w:t>
            </w:r>
          </w:p>
        </w:tc>
      </w:tr>
      <w:tr w:rsidR="00641ED4" w:rsidRPr="00641ED4" w14:paraId="51B44E16"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45B3844B"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Artikel pro Fakultät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2E70BFD"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5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44C39B1D"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val="fr-FR" w:eastAsia="en-GB"/>
                <w14:ligatures w14:val="none"/>
              </w:rPr>
            </w:pPr>
            <w:r w:rsidRPr="00641ED4">
              <w:rPr>
                <w:rFonts w:ascii="Calibri" w:eastAsia="Times New Roman" w:hAnsi="Calibri" w:cs="Calibri"/>
                <w:kern w:val="0"/>
                <w:sz w:val="20"/>
                <w:szCs w:val="20"/>
                <w:lang w:val="fr-FR" w:eastAsia="en-GB"/>
                <w14:ligatures w14:val="none"/>
              </w:rPr>
              <w:t xml:space="preserve">Institut National des Sciences Appliquées de Rennes (INSA)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1F2275D6"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val="fr-FR" w:eastAsia="en-GB"/>
                <w14:ligatures w14:val="none"/>
              </w:rPr>
              <w:t xml:space="preserve">Frankreich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080F6577"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34 </w:t>
            </w:r>
          </w:p>
        </w:tc>
      </w:tr>
      <w:tr w:rsidR="00641ED4" w:rsidRPr="00641ED4" w14:paraId="1264E516"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0D248341"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Internationales Forschungsnetzwerk </w:t>
            </w:r>
          </w:p>
        </w:tc>
        <w:tc>
          <w:tcPr>
            <w:tcW w:w="840" w:type="dxa"/>
            <w:tcBorders>
              <w:top w:val="single" w:sz="6" w:space="0" w:color="auto"/>
              <w:left w:val="single" w:sz="6" w:space="0" w:color="auto"/>
              <w:bottom w:val="single" w:sz="6" w:space="0" w:color="auto"/>
              <w:right w:val="single" w:sz="6" w:space="0" w:color="auto"/>
            </w:tcBorders>
            <w:vAlign w:val="center"/>
            <w:hideMark/>
          </w:tcPr>
          <w:p w14:paraId="4CCBFF3F"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10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490BFB4A"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Universität Oxford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6BB412D5"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Großbritannien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7643641F"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1 </w:t>
            </w:r>
          </w:p>
        </w:tc>
      </w:tr>
      <w:tr w:rsidR="00641ED4" w:rsidRPr="00641ED4" w14:paraId="738D2DC2"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43B53F27"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Internationale Fakultät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B44A3EC"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5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335145AA"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val="fr-FR" w:eastAsia="en-GB"/>
                <w14:ligatures w14:val="none"/>
              </w:rPr>
            </w:pPr>
            <w:r w:rsidRPr="00641ED4">
              <w:rPr>
                <w:rFonts w:ascii="Calibri" w:eastAsia="Times New Roman" w:hAnsi="Calibri" w:cs="Calibri"/>
                <w:kern w:val="0"/>
                <w:sz w:val="20"/>
                <w:szCs w:val="20"/>
                <w:lang w:val="fr-FR" w:eastAsia="en-GB"/>
                <w14:ligatures w14:val="none"/>
              </w:rPr>
              <w:t xml:space="preserve">EPFL – École polytechnique fédérale de Lausanne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4FEA55AF"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val="fr-FR" w:eastAsia="en-GB"/>
                <w14:ligatures w14:val="none"/>
              </w:rPr>
              <w:t>Schweiz</w:t>
            </w:r>
            <w:r w:rsidRPr="00641ED4">
              <w:rPr>
                <w:rFonts w:ascii="Calibri" w:eastAsia="Times New Roman" w:hAnsi="Calibri" w:cs="Calibri"/>
                <w:kern w:val="0"/>
                <w:sz w:val="20"/>
                <w:szCs w:val="20"/>
                <w:lang w:eastAsia="en-GB"/>
                <w14:ligatures w14:val="none"/>
              </w:rPr>
              <w:t xml:space="preserve">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6BE60CFD"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10 </w:t>
            </w:r>
          </w:p>
        </w:tc>
      </w:tr>
      <w:tr w:rsidR="00641ED4" w:rsidRPr="00641ED4" w14:paraId="1CBCDC10"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0A216264"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Internationale Studierende </w:t>
            </w:r>
          </w:p>
        </w:tc>
        <w:tc>
          <w:tcPr>
            <w:tcW w:w="840" w:type="dxa"/>
            <w:tcBorders>
              <w:top w:val="single" w:sz="6" w:space="0" w:color="auto"/>
              <w:left w:val="single" w:sz="6" w:space="0" w:color="auto"/>
              <w:bottom w:val="single" w:sz="6" w:space="0" w:color="auto"/>
              <w:right w:val="single" w:sz="6" w:space="0" w:color="auto"/>
            </w:tcBorders>
            <w:vAlign w:val="center"/>
            <w:hideMark/>
          </w:tcPr>
          <w:p w14:paraId="3DC853FF"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5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494B23EB"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Konstrukteur Universität Bremen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62ADD6BF"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Deutschland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42143833"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315 </w:t>
            </w:r>
          </w:p>
        </w:tc>
      </w:tr>
      <w:tr w:rsidR="00641ED4" w:rsidRPr="00641ED4" w14:paraId="39724309"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4531BFF"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Incoming-Austauschstudierende </w:t>
            </w:r>
          </w:p>
        </w:tc>
        <w:tc>
          <w:tcPr>
            <w:tcW w:w="840" w:type="dxa"/>
            <w:tcBorders>
              <w:top w:val="single" w:sz="6" w:space="0" w:color="auto"/>
              <w:left w:val="single" w:sz="6" w:space="0" w:color="auto"/>
              <w:bottom w:val="single" w:sz="6" w:space="0" w:color="auto"/>
              <w:right w:val="single" w:sz="6" w:space="0" w:color="auto"/>
            </w:tcBorders>
            <w:vAlign w:val="center"/>
            <w:hideMark/>
          </w:tcPr>
          <w:p w14:paraId="5365B25E"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2,5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7F78AAD8"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Interregionale Akademie für Personalmanagement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533F137C"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Ukraine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35DB4EFE"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49 </w:t>
            </w:r>
          </w:p>
        </w:tc>
      </w:tr>
      <w:tr w:rsidR="00641ED4" w:rsidRPr="00641ED4" w14:paraId="35966ADD"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6F828529"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Auslandsstudierende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D3B6E60"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2,5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6C065C12"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Interregionale Akademie für Personalmanagement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4B0720D7"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Ukraine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6B83AD26"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493 </w:t>
            </w:r>
          </w:p>
        </w:tc>
      </w:tr>
      <w:tr w:rsidR="00641ED4" w:rsidRPr="00641ED4" w14:paraId="5AFE173C"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668E7507"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Nachhaltigkeit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022C7818"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5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7F07EF6E"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Universität Lund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6E795070"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Schweden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3F0FC4CF"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12 </w:t>
            </w:r>
          </w:p>
        </w:tc>
      </w:tr>
      <w:tr w:rsidR="00641ED4" w:rsidRPr="00641ED4" w14:paraId="46D9ECD1" w14:textId="77777777" w:rsidTr="79CE8CE2">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60CE3110"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Beschäftigungsergebnisse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13D0B9A"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5 </w:t>
            </w:r>
          </w:p>
        </w:tc>
        <w:tc>
          <w:tcPr>
            <w:tcW w:w="3255" w:type="dxa"/>
            <w:tcBorders>
              <w:top w:val="single" w:sz="6" w:space="0" w:color="auto"/>
              <w:left w:val="single" w:sz="6" w:space="0" w:color="auto"/>
              <w:bottom w:val="single" w:sz="6" w:space="0" w:color="auto"/>
              <w:right w:val="single" w:sz="6" w:space="0" w:color="auto"/>
            </w:tcBorders>
            <w:vAlign w:val="bottom"/>
            <w:hideMark/>
          </w:tcPr>
          <w:p w14:paraId="7DF2F626"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Universität Oxford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6CD9FC86" w14:textId="77777777" w:rsidR="00641ED4" w:rsidRPr="00641ED4" w:rsidRDefault="00641ED4" w:rsidP="00641ED4">
            <w:pPr>
              <w:spacing w:after="0" w:line="240" w:lineRule="auto"/>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 Großbritannien </w:t>
            </w:r>
          </w:p>
        </w:tc>
        <w:tc>
          <w:tcPr>
            <w:tcW w:w="1275" w:type="dxa"/>
            <w:tcBorders>
              <w:top w:val="single" w:sz="6" w:space="0" w:color="auto"/>
              <w:left w:val="single" w:sz="6" w:space="0" w:color="auto"/>
              <w:bottom w:val="single" w:sz="6" w:space="0" w:color="auto"/>
              <w:right w:val="single" w:sz="6" w:space="0" w:color="auto"/>
            </w:tcBorders>
            <w:vAlign w:val="bottom"/>
            <w:hideMark/>
          </w:tcPr>
          <w:p w14:paraId="01B9901A" w14:textId="77777777" w:rsidR="00641ED4" w:rsidRPr="00641ED4" w:rsidRDefault="00641ED4" w:rsidP="00641ED4">
            <w:pPr>
              <w:spacing w:after="0" w:line="240" w:lineRule="auto"/>
              <w:jc w:val="center"/>
              <w:textAlignment w:val="baseline"/>
              <w:rPr>
                <w:rFonts w:ascii="Times New Roman" w:eastAsia="Times New Roman" w:hAnsi="Times New Roman" w:cs="Times New Roman"/>
                <w:kern w:val="0"/>
                <w:lang w:eastAsia="en-GB"/>
                <w14:ligatures w14:val="none"/>
              </w:rPr>
            </w:pPr>
            <w:r w:rsidRPr="00641ED4">
              <w:rPr>
                <w:rFonts w:ascii="Calibri" w:eastAsia="Times New Roman" w:hAnsi="Calibri" w:cs="Calibri"/>
                <w:kern w:val="0"/>
                <w:sz w:val="20"/>
                <w:szCs w:val="20"/>
                <w:lang w:eastAsia="en-GB"/>
                <w14:ligatures w14:val="none"/>
              </w:rPr>
              <w:t xml:space="preserve">1 </w:t>
            </w:r>
          </w:p>
        </w:tc>
      </w:tr>
    </w:tbl>
    <w:p w14:paraId="419138E1" w14:textId="77777777" w:rsidR="00641ED4" w:rsidRDefault="00641ED4"/>
    <w:p w14:paraId="3230CD92" w14:textId="5D50469C" w:rsidR="003411F8" w:rsidRPr="000F1FC4" w:rsidRDefault="003411F8" w:rsidP="003411F8">
      <w:pPr>
        <w:spacing w:line="360" w:lineRule="auto"/>
        <w:rPr>
          <w:rFonts w:ascii="Calibri" w:hAnsi="Calibri" w:cs="Calibri"/>
          <w:sz w:val="22"/>
          <w:szCs w:val="22"/>
          <w:lang w:val="de-DE"/>
        </w:rPr>
      </w:pPr>
      <w:r w:rsidRPr="000F1FC4">
        <w:rPr>
          <w:rFonts w:ascii="Calibri" w:hAnsi="Calibri" w:cs="Calibri"/>
          <w:b/>
          <w:bCs/>
          <w:i/>
          <w:iCs/>
          <w:sz w:val="22"/>
          <w:szCs w:val="22"/>
          <w:lang w:val="de-DE"/>
        </w:rPr>
        <w:t xml:space="preserve">Sowter </w:t>
      </w:r>
      <w:r w:rsidRPr="000F1FC4">
        <w:rPr>
          <w:rFonts w:ascii="Calibri" w:hAnsi="Calibri" w:cs="Calibri"/>
          <w:i/>
          <w:iCs/>
          <w:sz w:val="22"/>
          <w:szCs w:val="22"/>
          <w:lang w:val="de-DE"/>
        </w:rPr>
        <w:t xml:space="preserve">sagt: „Während Oxford </w:t>
      </w:r>
      <w:r w:rsidR="65D0FA76" w:rsidRPr="000F1FC4">
        <w:rPr>
          <w:rFonts w:ascii="Calibri" w:hAnsi="Calibri" w:cs="Calibri"/>
          <w:i/>
          <w:iCs/>
          <w:sz w:val="22"/>
          <w:szCs w:val="22"/>
          <w:lang w:val="de-DE"/>
        </w:rPr>
        <w:t>den regionalen Spitzenplatz zurückerobert</w:t>
      </w:r>
      <w:r w:rsidRPr="000F1FC4">
        <w:rPr>
          <w:rFonts w:ascii="Calibri" w:hAnsi="Calibri" w:cs="Calibri"/>
          <w:i/>
          <w:iCs/>
          <w:sz w:val="22"/>
          <w:szCs w:val="22"/>
          <w:lang w:val="de-DE"/>
        </w:rPr>
        <w:t xml:space="preserve">, bestätigen die neuesten QS-Hochschulrankings für Europa eine sich stabilisierende Hierarchie ohne Neuzugänge unter den Top 10. Die etablierten akademischen Hochburgen Europas führen weiterhin die Tabelle an, was die langjährigen Investitionen der Region in Hochschulbildung und Forschungsexzellenz widerspiegelt, wobei führende Einrichtungen in Ländern wie Großbritannien, Deutschland, Frankreich und der Schweiz ihre Spitzenpositionen behaupten.“ </w:t>
      </w:r>
    </w:p>
    <w:p w14:paraId="154B171C" w14:textId="0BE85D4C" w:rsidR="003411F8" w:rsidRPr="000F1FC4" w:rsidRDefault="003411F8" w:rsidP="003411F8">
      <w:pPr>
        <w:spacing w:line="360" w:lineRule="auto"/>
        <w:rPr>
          <w:rFonts w:ascii="Calibri" w:hAnsi="Calibri" w:cs="Calibri"/>
          <w:sz w:val="22"/>
          <w:szCs w:val="22"/>
          <w:lang w:val="de-DE"/>
        </w:rPr>
      </w:pPr>
      <w:r w:rsidRPr="000F1FC4">
        <w:rPr>
          <w:rFonts w:ascii="Calibri" w:hAnsi="Calibri" w:cs="Calibri"/>
          <w:sz w:val="22"/>
          <w:szCs w:val="22"/>
          <w:lang w:val="de-DE"/>
        </w:rPr>
        <w:t xml:space="preserve">Er fügte hinzu: </w:t>
      </w:r>
      <w:r w:rsidRPr="000F1FC4">
        <w:rPr>
          <w:rFonts w:ascii="Calibri" w:hAnsi="Calibri" w:cs="Calibri"/>
          <w:i/>
          <w:iCs/>
          <w:sz w:val="22"/>
          <w:szCs w:val="22"/>
          <w:lang w:val="de-DE"/>
        </w:rPr>
        <w:t xml:space="preserve">„Der europäische Hochschulsektor bleibt stark, gestützt durch Forschungsuniversitäten von Weltklasse, eine intensive internationale Zusammenarbeit und die wachsende Dynamik hinter transnationalen Allianzen und gemeinsamen Abschlüssen. Die grenzüberschreitende Mobilität bleibt eine entscheidende Stärke. Allerdings variieren die Finanzierungs- und Forschungskapazitäten zwischen den nationalen Systemen stark, was zu uneinheitlichen Leistungen und einer ungleichmäßigen Bindung von Talenten beiträgt. Gleichzeitig stehen die Universitäten unter zunehmendem Druck, ihre exzellente Forschung aufrechtzuerhalten, die Zusammenarbeit mit der Industrie zu vertiefen und ihre Governance- und Bereitstellungsmodelle zu modernisieren, während gleichzeitig die Finanzmittel knapper werden und die Politik im Bereich der internationalen Mobilität verschärft wird.“ </w:t>
      </w:r>
    </w:p>
    <w:p w14:paraId="6A9DB98E" w14:textId="42781639" w:rsidR="005E7D84" w:rsidRPr="000F1FC4" w:rsidRDefault="005E7D84" w:rsidP="00954A5F">
      <w:pPr>
        <w:spacing w:line="360" w:lineRule="auto"/>
        <w:textAlignment w:val="baseline"/>
        <w:rPr>
          <w:rFonts w:ascii="Segoe UI" w:eastAsia="Times New Roman" w:hAnsi="Segoe UI" w:cs="Segoe UI"/>
          <w:kern w:val="0"/>
          <w:sz w:val="18"/>
          <w:szCs w:val="18"/>
          <w:lang w:val="de-DE" w:eastAsia="en-GB"/>
          <w14:ligatures w14:val="none"/>
        </w:rPr>
      </w:pPr>
      <w:r w:rsidRPr="000F1FC4">
        <w:rPr>
          <w:rFonts w:ascii="Calibri" w:eastAsia="Times New Roman" w:hAnsi="Calibri" w:cs="Calibri"/>
          <w:kern w:val="0"/>
          <w:sz w:val="22"/>
          <w:szCs w:val="22"/>
          <w:lang w:val="de-DE" w:eastAsia="en-GB"/>
          <w14:ligatures w14:val="none"/>
        </w:rPr>
        <w:lastRenderedPageBreak/>
        <w:t>D</w:t>
      </w:r>
      <w:r w:rsidR="0081787A">
        <w:rPr>
          <w:rFonts w:ascii="Calibri" w:eastAsia="Times New Roman" w:hAnsi="Calibri" w:cs="Calibri"/>
          <w:kern w:val="0"/>
          <w:sz w:val="22"/>
          <w:szCs w:val="22"/>
          <w:lang w:val="de-DE" w:eastAsia="en-GB"/>
          <w14:ligatures w14:val="none"/>
        </w:rPr>
        <w:t>as</w:t>
      </w:r>
      <w:r w:rsidRPr="000F1FC4">
        <w:rPr>
          <w:rFonts w:ascii="Calibri" w:eastAsia="Times New Roman" w:hAnsi="Calibri" w:cs="Calibri"/>
          <w:kern w:val="0"/>
          <w:sz w:val="22"/>
          <w:szCs w:val="22"/>
          <w:lang w:val="de-DE" w:eastAsia="en-GB"/>
          <w14:ligatures w14:val="none"/>
        </w:rPr>
        <w:t xml:space="preserve"> vollständige </w:t>
      </w:r>
      <w:r w:rsidRPr="000F1FC4">
        <w:rPr>
          <w:rFonts w:ascii="Calibri" w:eastAsia="Times New Roman" w:hAnsi="Calibri" w:cs="Calibri"/>
          <w:b/>
          <w:bCs/>
          <w:kern w:val="0"/>
          <w:sz w:val="22"/>
          <w:szCs w:val="22"/>
          <w:lang w:val="de-DE" w:eastAsia="en-GB"/>
          <w14:ligatures w14:val="none"/>
        </w:rPr>
        <w:t>QS World University Rankings 2026: Europ</w:t>
      </w:r>
      <w:r w:rsidR="006731C2">
        <w:rPr>
          <w:rFonts w:ascii="Calibri" w:eastAsia="Times New Roman" w:hAnsi="Calibri" w:cs="Calibri"/>
          <w:b/>
          <w:bCs/>
          <w:kern w:val="0"/>
          <w:sz w:val="22"/>
          <w:szCs w:val="22"/>
          <w:lang w:val="de-DE" w:eastAsia="en-GB"/>
          <w14:ligatures w14:val="none"/>
        </w:rPr>
        <w:t>a</w:t>
      </w:r>
      <w:r w:rsidRPr="000F1FC4">
        <w:rPr>
          <w:rFonts w:ascii="Calibri" w:eastAsia="Times New Roman" w:hAnsi="Calibri" w:cs="Calibri"/>
          <w:b/>
          <w:bCs/>
          <w:kern w:val="0"/>
          <w:sz w:val="22"/>
          <w:szCs w:val="22"/>
          <w:lang w:val="de-DE" w:eastAsia="en-GB"/>
          <w14:ligatures w14:val="none"/>
        </w:rPr>
        <w:t xml:space="preserve"> </w:t>
      </w:r>
      <w:r w:rsidRPr="000F1FC4">
        <w:rPr>
          <w:rFonts w:ascii="Calibri" w:eastAsia="Times New Roman" w:hAnsi="Calibri" w:cs="Calibri"/>
          <w:kern w:val="0"/>
          <w:sz w:val="22"/>
          <w:szCs w:val="22"/>
          <w:lang w:val="de-DE" w:eastAsia="en-GB"/>
          <w14:ligatures w14:val="none"/>
        </w:rPr>
        <w:t>w</w:t>
      </w:r>
      <w:r w:rsidR="006731C2">
        <w:rPr>
          <w:rFonts w:ascii="Calibri" w:eastAsia="Times New Roman" w:hAnsi="Calibri" w:cs="Calibri"/>
          <w:kern w:val="0"/>
          <w:sz w:val="22"/>
          <w:szCs w:val="22"/>
          <w:lang w:val="de-DE" w:eastAsia="en-GB"/>
          <w14:ligatures w14:val="none"/>
        </w:rPr>
        <w:t>ird</w:t>
      </w:r>
      <w:r w:rsidRPr="000F1FC4">
        <w:rPr>
          <w:rFonts w:ascii="Calibri" w:eastAsia="Times New Roman" w:hAnsi="Calibri" w:cs="Calibri"/>
          <w:kern w:val="0"/>
          <w:sz w:val="22"/>
          <w:szCs w:val="22"/>
          <w:lang w:val="de-DE" w:eastAsia="en-GB"/>
          <w14:ligatures w14:val="none"/>
        </w:rPr>
        <w:t xml:space="preserve"> nach Aufhebung der Sperrfrist veröffentlicht und </w:t>
      </w:r>
      <w:r w:rsidR="006731C2">
        <w:rPr>
          <w:rFonts w:ascii="Calibri" w:eastAsia="Times New Roman" w:hAnsi="Calibri" w:cs="Calibri"/>
          <w:kern w:val="0"/>
          <w:sz w:val="22"/>
          <w:szCs w:val="22"/>
          <w:lang w:val="de-DE" w:eastAsia="en-GB"/>
          <w14:ligatures w14:val="none"/>
        </w:rPr>
        <w:t>ist</w:t>
      </w:r>
      <w:r w:rsidRPr="000F1FC4">
        <w:rPr>
          <w:rFonts w:ascii="Calibri" w:eastAsia="Times New Roman" w:hAnsi="Calibri" w:cs="Calibri"/>
          <w:kern w:val="0"/>
          <w:sz w:val="22"/>
          <w:szCs w:val="22"/>
          <w:lang w:val="de-DE" w:eastAsia="en-GB"/>
          <w14:ligatures w14:val="none"/>
        </w:rPr>
        <w:t xml:space="preserve"> unter</w:t>
      </w:r>
      <w:hyperlink r:id="rId13" w:tgtFrame="_blank" w:history="1">
        <w:r w:rsidRPr="000F1FC4">
          <w:rPr>
            <w:rFonts w:ascii="Calibri" w:eastAsia="Times New Roman" w:hAnsi="Calibri" w:cs="Calibri"/>
            <w:color w:val="467886"/>
            <w:kern w:val="0"/>
            <w:sz w:val="22"/>
            <w:szCs w:val="22"/>
            <w:u w:val="single"/>
            <w:lang w:val="de-DE" w:eastAsia="en-GB"/>
            <w14:ligatures w14:val="none"/>
          </w:rPr>
          <w:t xml:space="preserve"> https://www.topuniversities.com/europe-university-rankings</w:t>
        </w:r>
      </w:hyperlink>
      <w:r w:rsidRPr="000F1FC4">
        <w:rPr>
          <w:rFonts w:ascii="Calibri" w:eastAsia="Times New Roman" w:hAnsi="Calibri" w:cs="Calibri"/>
          <w:kern w:val="0"/>
          <w:sz w:val="22"/>
          <w:szCs w:val="22"/>
          <w:lang w:val="de-DE" w:eastAsia="en-GB"/>
          <w14:ligatures w14:val="none"/>
        </w:rPr>
        <w:t xml:space="preserve"> verfügbar.  </w:t>
      </w:r>
    </w:p>
    <w:p w14:paraId="3FE4621D" w14:textId="77777777" w:rsidR="005E7D84" w:rsidRPr="000F1FC4" w:rsidRDefault="005E7D84" w:rsidP="00954A5F">
      <w:pPr>
        <w:spacing w:line="360" w:lineRule="auto"/>
        <w:jc w:val="center"/>
        <w:textAlignment w:val="baseline"/>
        <w:rPr>
          <w:rFonts w:ascii="Segoe UI" w:eastAsia="Times New Roman" w:hAnsi="Segoe UI" w:cs="Segoe UI"/>
          <w:kern w:val="0"/>
          <w:sz w:val="18"/>
          <w:szCs w:val="18"/>
          <w:lang w:val="de-DE" w:eastAsia="en-GB"/>
          <w14:ligatures w14:val="none"/>
        </w:rPr>
      </w:pPr>
      <w:r w:rsidRPr="000F1FC4">
        <w:rPr>
          <w:rFonts w:ascii="Calibri" w:eastAsia="Times New Roman" w:hAnsi="Calibri" w:cs="Calibri"/>
          <w:kern w:val="0"/>
          <w:sz w:val="22"/>
          <w:szCs w:val="22"/>
          <w:lang w:val="de-DE" w:eastAsia="en-GB"/>
          <w14:ligatures w14:val="none"/>
        </w:rPr>
        <w:t xml:space="preserve">-Ende- </w:t>
      </w:r>
    </w:p>
    <w:p w14:paraId="3794D118" w14:textId="77777777" w:rsidR="005E7D84" w:rsidRPr="000F1FC4" w:rsidRDefault="005E7D84" w:rsidP="00954A5F">
      <w:pPr>
        <w:spacing w:line="360" w:lineRule="auto"/>
        <w:textAlignment w:val="baseline"/>
        <w:rPr>
          <w:rFonts w:ascii="Segoe UI" w:eastAsia="Times New Roman" w:hAnsi="Segoe UI" w:cs="Segoe UI"/>
          <w:kern w:val="0"/>
          <w:sz w:val="18"/>
          <w:szCs w:val="18"/>
          <w:lang w:val="de-DE" w:eastAsia="en-GB"/>
          <w14:ligatures w14:val="none"/>
        </w:rPr>
      </w:pPr>
      <w:r w:rsidRPr="000F1FC4">
        <w:rPr>
          <w:rFonts w:ascii="Calibri" w:eastAsia="Times New Roman" w:hAnsi="Calibri" w:cs="Calibri"/>
          <w:kern w:val="0"/>
          <w:sz w:val="22"/>
          <w:szCs w:val="22"/>
          <w:lang w:val="de-DE" w:eastAsia="en-GB"/>
          <w14:ligatures w14:val="none"/>
        </w:rPr>
        <w:t>Für weitere Informationen oder Interviewanfragen mit QS-Analysten wenden Sie sich bitte an:              </w:t>
      </w:r>
    </w:p>
    <w:p w14:paraId="63266866" w14:textId="5E77C6DC" w:rsidR="005E7D84" w:rsidRPr="005E7D84" w:rsidRDefault="005E7D84" w:rsidP="005E7D84">
      <w:pPr>
        <w:spacing w:after="0" w:line="240" w:lineRule="auto"/>
        <w:textAlignment w:val="baseline"/>
        <w:rPr>
          <w:rFonts w:ascii="Segoe UI" w:eastAsia="Times New Roman" w:hAnsi="Segoe UI" w:cs="Segoe UI"/>
          <w:kern w:val="0"/>
          <w:sz w:val="18"/>
          <w:szCs w:val="18"/>
          <w:lang w:eastAsia="en-GB"/>
          <w14:ligatures w14:val="none"/>
        </w:rPr>
      </w:pPr>
      <w:r w:rsidRPr="005E7D84">
        <w:rPr>
          <w:rFonts w:ascii="Calibri" w:eastAsia="Times New Roman" w:hAnsi="Calibri" w:cs="Calibri"/>
          <w:b/>
          <w:bCs/>
          <w:kern w:val="0"/>
          <w:sz w:val="22"/>
          <w:szCs w:val="22"/>
          <w:lang w:val="en-US" w:eastAsia="en-GB"/>
          <w14:ligatures w14:val="none"/>
        </w:rPr>
        <w:t>Simona Bizzozero</w:t>
      </w:r>
      <w:r w:rsidRPr="005E7D84">
        <w:rPr>
          <w:rFonts w:ascii="Calibri" w:eastAsia="Times New Roman" w:hAnsi="Calibri" w:cs="Calibri"/>
          <w:kern w:val="0"/>
          <w:sz w:val="22"/>
          <w:szCs w:val="22"/>
          <w:lang w:eastAsia="en-GB"/>
          <w14:ligatures w14:val="none"/>
        </w:rPr>
        <w:t>   </w:t>
      </w:r>
      <w:r w:rsidRPr="005E7D84">
        <w:rPr>
          <w:rFonts w:ascii="Calibri" w:eastAsia="Times New Roman" w:hAnsi="Calibri" w:cs="Calibri"/>
          <w:kern w:val="0"/>
          <w:sz w:val="22"/>
          <w:szCs w:val="22"/>
          <w:lang w:eastAsia="en-GB"/>
          <w14:ligatures w14:val="none"/>
        </w:rPr>
        <w:br/>
      </w:r>
      <w:r w:rsidRPr="005E7D84">
        <w:rPr>
          <w:rFonts w:ascii="Calibri" w:eastAsia="Times New Roman" w:hAnsi="Calibri" w:cs="Calibri"/>
          <w:kern w:val="0"/>
          <w:sz w:val="22"/>
          <w:szCs w:val="22"/>
          <w:lang w:val="en-US" w:eastAsia="en-GB"/>
          <w14:ligatures w14:val="none"/>
        </w:rPr>
        <w:t>Director of Communications, QS</w:t>
      </w:r>
      <w:r w:rsidRPr="005E7D84">
        <w:rPr>
          <w:rFonts w:ascii="Calibri" w:eastAsia="Times New Roman" w:hAnsi="Calibri" w:cs="Calibri"/>
          <w:kern w:val="0"/>
          <w:sz w:val="22"/>
          <w:szCs w:val="22"/>
          <w:lang w:eastAsia="en-GB"/>
          <w14:ligatures w14:val="none"/>
        </w:rPr>
        <w:t>   </w:t>
      </w:r>
      <w:r w:rsidRPr="005E7D84">
        <w:rPr>
          <w:rFonts w:ascii="Calibri" w:eastAsia="Times New Roman" w:hAnsi="Calibri" w:cs="Calibri"/>
          <w:kern w:val="0"/>
          <w:sz w:val="22"/>
          <w:szCs w:val="22"/>
          <w:lang w:eastAsia="en-GB"/>
          <w14:ligatures w14:val="none"/>
        </w:rPr>
        <w:br/>
      </w:r>
      <w:r w:rsidRPr="005E7D84">
        <w:rPr>
          <w:rFonts w:ascii="Calibri" w:eastAsia="Times New Roman" w:hAnsi="Calibri" w:cs="Calibri"/>
          <w:kern w:val="0"/>
          <w:sz w:val="22"/>
          <w:szCs w:val="22"/>
          <w:lang w:val="en-US" w:eastAsia="en-GB"/>
          <w14:ligatures w14:val="none"/>
        </w:rPr>
        <w:t xml:space="preserve">simona@qs.com | +44 (0) 7880 620856 | </w:t>
      </w:r>
      <w:hyperlink r:id="rId14" w:tgtFrame="_blank" w:history="1">
        <w:r w:rsidRPr="005E7D84">
          <w:rPr>
            <w:rFonts w:ascii="Calibri" w:eastAsia="Times New Roman" w:hAnsi="Calibri" w:cs="Calibri"/>
            <w:color w:val="467886"/>
            <w:kern w:val="0"/>
            <w:sz w:val="22"/>
            <w:szCs w:val="22"/>
            <w:u w:val="single"/>
            <w:lang w:val="en-US" w:eastAsia="en-GB"/>
            <w14:ligatures w14:val="none"/>
          </w:rPr>
          <w:t>LinkedIn</w:t>
        </w:r>
      </w:hyperlink>
      <w:r w:rsidRPr="005E7D84">
        <w:rPr>
          <w:rFonts w:ascii="Calibri" w:eastAsia="Times New Roman" w:hAnsi="Calibri" w:cs="Calibri"/>
          <w:kern w:val="0"/>
          <w:sz w:val="22"/>
          <w:szCs w:val="22"/>
          <w:lang w:val="en-US" w:eastAsia="en-GB"/>
          <w14:ligatures w14:val="none"/>
        </w:rPr>
        <w:t>    </w:t>
      </w:r>
    </w:p>
    <w:p w14:paraId="537FF35C" w14:textId="77777777" w:rsidR="005E7D84" w:rsidRPr="005E7D84" w:rsidRDefault="005E7D84" w:rsidP="005E7D84">
      <w:pPr>
        <w:spacing w:after="0" w:line="240" w:lineRule="auto"/>
        <w:textAlignment w:val="baseline"/>
        <w:rPr>
          <w:rFonts w:ascii="Segoe UI" w:eastAsia="Times New Roman" w:hAnsi="Segoe UI" w:cs="Segoe UI"/>
          <w:kern w:val="0"/>
          <w:sz w:val="18"/>
          <w:szCs w:val="18"/>
          <w:lang w:eastAsia="en-GB"/>
          <w14:ligatures w14:val="none"/>
        </w:rPr>
      </w:pPr>
      <w:r w:rsidRPr="005E7D84">
        <w:rPr>
          <w:rFonts w:ascii="Calibri" w:eastAsia="Times New Roman" w:hAnsi="Calibri" w:cs="Calibri"/>
          <w:kern w:val="0"/>
          <w:sz w:val="22"/>
          <w:szCs w:val="22"/>
          <w:lang w:eastAsia="en-GB"/>
          <w14:ligatures w14:val="none"/>
        </w:rPr>
        <w:t xml:space="preserve"> </w:t>
      </w:r>
    </w:p>
    <w:p w14:paraId="6EA7F63F" w14:textId="3414E022" w:rsidR="005E7D84" w:rsidRPr="000F1FC4" w:rsidRDefault="005E7D84" w:rsidP="005E7D84">
      <w:pPr>
        <w:spacing w:after="0" w:line="240" w:lineRule="auto"/>
        <w:textAlignment w:val="baseline"/>
        <w:rPr>
          <w:rFonts w:ascii="Segoe UI" w:eastAsia="Times New Roman" w:hAnsi="Segoe UI" w:cs="Segoe UI"/>
          <w:kern w:val="0"/>
          <w:sz w:val="18"/>
          <w:szCs w:val="18"/>
          <w:lang w:val="de-DE" w:eastAsia="en-GB"/>
          <w14:ligatures w14:val="none"/>
        </w:rPr>
      </w:pPr>
      <w:r w:rsidRPr="000F1FC4">
        <w:rPr>
          <w:rFonts w:ascii="Calibri" w:eastAsia="Times New Roman" w:hAnsi="Calibri" w:cs="Calibri"/>
          <w:b/>
          <w:bCs/>
          <w:kern w:val="0"/>
          <w:sz w:val="22"/>
          <w:szCs w:val="22"/>
          <w:lang w:val="de-DE" w:eastAsia="en-GB"/>
          <w14:ligatures w14:val="none"/>
        </w:rPr>
        <w:t xml:space="preserve">Will Barbieri </w:t>
      </w:r>
      <w:r w:rsidRPr="000F1FC4">
        <w:rPr>
          <w:rFonts w:ascii="Calibri" w:eastAsia="Times New Roman" w:hAnsi="Calibri" w:cs="Calibri"/>
          <w:kern w:val="0"/>
          <w:sz w:val="22"/>
          <w:szCs w:val="22"/>
          <w:lang w:val="de-DE" w:eastAsia="en-GB"/>
          <w14:ligatures w14:val="none"/>
        </w:rPr>
        <w:t>   </w:t>
      </w:r>
      <w:r w:rsidRPr="000F1FC4">
        <w:rPr>
          <w:rFonts w:ascii="Calibri" w:eastAsia="Times New Roman" w:hAnsi="Calibri" w:cs="Calibri"/>
          <w:kern w:val="0"/>
          <w:sz w:val="22"/>
          <w:szCs w:val="22"/>
          <w:lang w:val="de-DE" w:eastAsia="en-GB"/>
          <w14:ligatures w14:val="none"/>
        </w:rPr>
        <w:br/>
        <w:t>Kommunikationsspezialist, QS  </w:t>
      </w:r>
    </w:p>
    <w:p w14:paraId="3C9EC952" w14:textId="77777777" w:rsidR="005E7D84" w:rsidRPr="000F1FC4" w:rsidRDefault="005E7D84" w:rsidP="005E7D84">
      <w:pPr>
        <w:spacing w:after="0" w:line="240" w:lineRule="auto"/>
        <w:textAlignment w:val="baseline"/>
        <w:rPr>
          <w:rFonts w:ascii="Segoe UI" w:eastAsia="Times New Roman" w:hAnsi="Segoe UI" w:cs="Segoe UI"/>
          <w:kern w:val="0"/>
          <w:sz w:val="18"/>
          <w:szCs w:val="18"/>
          <w:lang w:val="de-DE" w:eastAsia="en-GB"/>
          <w14:ligatures w14:val="none"/>
        </w:rPr>
      </w:pPr>
      <w:hyperlink r:id="rId15" w:tgtFrame="_blank" w:history="1">
        <w:r w:rsidRPr="000F1FC4">
          <w:rPr>
            <w:rFonts w:ascii="Calibri" w:eastAsia="Times New Roman" w:hAnsi="Calibri" w:cs="Calibri"/>
            <w:color w:val="467886"/>
            <w:kern w:val="0"/>
            <w:sz w:val="22"/>
            <w:szCs w:val="22"/>
            <w:u w:val="single"/>
            <w:lang w:val="de-DE" w:eastAsia="en-GB"/>
            <w14:ligatures w14:val="none"/>
          </w:rPr>
          <w:t>William.barbieri@qs.com</w:t>
        </w:r>
      </w:hyperlink>
      <w:r w:rsidRPr="000F1FC4">
        <w:rPr>
          <w:rFonts w:ascii="Calibri" w:eastAsia="Times New Roman" w:hAnsi="Calibri" w:cs="Calibri"/>
          <w:kern w:val="0"/>
          <w:sz w:val="22"/>
          <w:szCs w:val="22"/>
          <w:lang w:val="de-DE" w:eastAsia="en-GB"/>
          <w14:ligatures w14:val="none"/>
        </w:rPr>
        <w:t>   </w:t>
      </w:r>
    </w:p>
    <w:p w14:paraId="329E2123" w14:textId="77777777" w:rsidR="005E7D84" w:rsidRPr="000F1FC4" w:rsidRDefault="005E7D84" w:rsidP="005E7D84">
      <w:pPr>
        <w:spacing w:after="0" w:line="240" w:lineRule="auto"/>
        <w:textAlignment w:val="baseline"/>
        <w:rPr>
          <w:rFonts w:ascii="Segoe UI" w:eastAsia="Times New Roman" w:hAnsi="Segoe UI" w:cs="Segoe UI"/>
          <w:kern w:val="0"/>
          <w:sz w:val="18"/>
          <w:szCs w:val="18"/>
          <w:lang w:val="de-DE" w:eastAsia="en-GB"/>
          <w14:ligatures w14:val="none"/>
        </w:rPr>
      </w:pPr>
      <w:r w:rsidRPr="000F1FC4">
        <w:rPr>
          <w:rFonts w:ascii="Calibri" w:eastAsia="Times New Roman" w:hAnsi="Calibri" w:cs="Calibri"/>
          <w:kern w:val="0"/>
          <w:sz w:val="22"/>
          <w:szCs w:val="22"/>
          <w:lang w:val="de-DE" w:eastAsia="en-GB"/>
          <w14:ligatures w14:val="none"/>
        </w:rPr>
        <w:t xml:space="preserve"> </w:t>
      </w:r>
    </w:p>
    <w:p w14:paraId="776A0717" w14:textId="77777777" w:rsidR="005E7D84" w:rsidRPr="000F1FC4" w:rsidRDefault="005E7D84" w:rsidP="00954A5F">
      <w:pPr>
        <w:spacing w:line="360" w:lineRule="auto"/>
        <w:textAlignment w:val="baseline"/>
        <w:rPr>
          <w:rFonts w:ascii="Segoe UI" w:eastAsia="Times New Roman" w:hAnsi="Segoe UI" w:cs="Segoe UI"/>
          <w:kern w:val="0"/>
          <w:sz w:val="18"/>
          <w:szCs w:val="18"/>
          <w:lang w:val="de-DE" w:eastAsia="en-GB"/>
          <w14:ligatures w14:val="none"/>
        </w:rPr>
      </w:pPr>
      <w:r w:rsidRPr="000F1FC4">
        <w:rPr>
          <w:rFonts w:ascii="Calibri" w:eastAsia="Times New Roman" w:hAnsi="Calibri" w:cs="Calibri"/>
          <w:b/>
          <w:bCs/>
          <w:kern w:val="0"/>
          <w:sz w:val="22"/>
          <w:szCs w:val="22"/>
          <w:u w:val="single"/>
          <w:lang w:val="de-DE" w:eastAsia="en-GB"/>
          <w14:ligatures w14:val="none"/>
        </w:rPr>
        <w:t>Hinweise für Redakteure  </w:t>
      </w:r>
    </w:p>
    <w:p w14:paraId="399EF338" w14:textId="77777777" w:rsidR="005E7D84" w:rsidRPr="000F1FC4" w:rsidRDefault="005E7D84" w:rsidP="00954A5F">
      <w:pPr>
        <w:spacing w:line="360" w:lineRule="auto"/>
        <w:textAlignment w:val="baseline"/>
        <w:rPr>
          <w:rFonts w:ascii="Segoe UI" w:eastAsia="Times New Roman" w:hAnsi="Segoe UI" w:cs="Segoe UI"/>
          <w:kern w:val="0"/>
          <w:sz w:val="18"/>
          <w:szCs w:val="18"/>
          <w:lang w:val="de-DE" w:eastAsia="en-GB"/>
          <w14:ligatures w14:val="none"/>
        </w:rPr>
      </w:pPr>
      <w:r w:rsidRPr="000F1FC4">
        <w:rPr>
          <w:rFonts w:ascii="Calibri" w:eastAsia="Times New Roman" w:hAnsi="Calibri" w:cs="Calibri"/>
          <w:b/>
          <w:bCs/>
          <w:kern w:val="0"/>
          <w:sz w:val="22"/>
          <w:szCs w:val="22"/>
          <w:lang w:val="de-DE" w:eastAsia="en-GB"/>
          <w14:ligatures w14:val="none"/>
        </w:rPr>
        <w:t xml:space="preserve">QS Quacquarelli Symonds </w:t>
      </w:r>
      <w:r w:rsidRPr="000F1FC4">
        <w:rPr>
          <w:rFonts w:ascii="Calibri" w:eastAsia="Times New Roman" w:hAnsi="Calibri" w:cs="Calibri"/>
          <w:kern w:val="0"/>
          <w:sz w:val="22"/>
          <w:szCs w:val="22"/>
          <w:lang w:val="de-DE" w:eastAsia="en-GB"/>
          <w14:ligatures w14:val="none"/>
        </w:rPr>
        <w:t>ist der weltweit führende Anbieter von Dienstleistungen, Analysen und Einblicken für den globalen Hochschulbereich. Seine Mission ist es, motivierten Menschen überall auf der Welt zu ermöglichen, ihr Potenzial durch Bildungserfolge, internationale Mobilität und berufliche Entwicklung auszuschöpfen</w:t>
      </w:r>
      <w:r w:rsidRPr="000F1FC4">
        <w:rPr>
          <w:rFonts w:ascii="Calibri" w:eastAsia="Times New Roman" w:hAnsi="Calibri" w:cs="Calibri"/>
          <w:i/>
          <w:iCs/>
          <w:kern w:val="0"/>
          <w:sz w:val="22"/>
          <w:szCs w:val="22"/>
          <w:lang w:val="de-DE" w:eastAsia="en-GB"/>
          <w14:ligatures w14:val="none"/>
        </w:rPr>
        <w:t xml:space="preserve">. </w:t>
      </w:r>
    </w:p>
    <w:p w14:paraId="21E57A8C" w14:textId="77777777" w:rsidR="005E7D84" w:rsidRPr="000F1FC4" w:rsidRDefault="005E7D84" w:rsidP="00954A5F">
      <w:pPr>
        <w:spacing w:line="360" w:lineRule="auto"/>
        <w:textAlignment w:val="baseline"/>
        <w:rPr>
          <w:rFonts w:ascii="Segoe UI" w:eastAsia="Times New Roman" w:hAnsi="Segoe UI" w:cs="Segoe UI"/>
          <w:kern w:val="0"/>
          <w:sz w:val="18"/>
          <w:szCs w:val="18"/>
          <w:lang w:val="de-DE" w:eastAsia="en-GB"/>
          <w14:ligatures w14:val="none"/>
        </w:rPr>
      </w:pPr>
      <w:r w:rsidRPr="000F1FC4">
        <w:rPr>
          <w:rFonts w:ascii="Calibri" w:eastAsia="Times New Roman" w:hAnsi="Calibri" w:cs="Calibri"/>
          <w:kern w:val="0"/>
          <w:sz w:val="22"/>
          <w:szCs w:val="22"/>
          <w:lang w:val="de-DE" w:eastAsia="en-GB"/>
          <w14:ligatures w14:val="none"/>
        </w:rPr>
        <w:t xml:space="preserve">Das 2004 ins Leben gerufene </w:t>
      </w:r>
      <w:r w:rsidRPr="000F1FC4">
        <w:rPr>
          <w:rFonts w:ascii="Calibri" w:eastAsia="Times New Roman" w:hAnsi="Calibri" w:cs="Calibri"/>
          <w:i/>
          <w:iCs/>
          <w:kern w:val="0"/>
          <w:sz w:val="22"/>
          <w:szCs w:val="22"/>
          <w:lang w:val="de-DE" w:eastAsia="en-GB"/>
          <w14:ligatures w14:val="none"/>
        </w:rPr>
        <w:t>QS World University Rankings</w:t>
      </w:r>
      <w:r w:rsidRPr="000F1FC4">
        <w:rPr>
          <w:rFonts w:ascii="Calibri" w:eastAsia="Times New Roman" w:hAnsi="Calibri" w:cs="Calibri"/>
          <w:kern w:val="0"/>
          <w:sz w:val="22"/>
          <w:szCs w:val="22"/>
          <w:lang w:val="de-DE" w:eastAsia="en-GB"/>
          <w14:ligatures w14:val="none"/>
        </w:rPr>
        <w:t>-Portfolio ist die weltweit beliebteste Quelle für Vergleichsdaten zur Leistungsfähigkeit von Universitäten. Die Flaggschiff-Website</w:t>
      </w:r>
      <w:hyperlink r:id="rId16" w:tgtFrame="_blank" w:history="1">
        <w:r w:rsidRPr="000F1FC4">
          <w:rPr>
            <w:rFonts w:ascii="Calibri" w:eastAsia="Times New Roman" w:hAnsi="Calibri" w:cs="Calibri"/>
            <w:color w:val="467886"/>
            <w:kern w:val="0"/>
            <w:sz w:val="22"/>
            <w:szCs w:val="22"/>
            <w:u w:val="single"/>
            <w:lang w:val="de-DE" w:eastAsia="en-GB"/>
            <w14:ligatures w14:val="none"/>
          </w:rPr>
          <w:t xml:space="preserve"> www.TopUniversities.com</w:t>
        </w:r>
      </w:hyperlink>
      <w:r w:rsidRPr="000F1FC4">
        <w:rPr>
          <w:rFonts w:ascii="Calibri" w:eastAsia="Times New Roman" w:hAnsi="Calibri" w:cs="Calibri"/>
          <w:kern w:val="0"/>
          <w:sz w:val="22"/>
          <w:szCs w:val="22"/>
          <w:lang w:val="de-DE" w:eastAsia="en-GB"/>
          <w14:ligatures w14:val="none"/>
        </w:rPr>
        <w:t xml:space="preserve"> – die Heimat der Rankings – wurde im Jahr 2024 mehr als 120 Millionen Mal aufgerufen, und im Jahr 2025 wurden weltweit mehr als 135.000 Medienberichte veröffentlicht, die sich auf QS bezogen oder QS erwähnten.  </w:t>
      </w:r>
    </w:p>
    <w:p w14:paraId="7B9B001B" w14:textId="77777777" w:rsidR="005E7D84" w:rsidRPr="005E7D84" w:rsidRDefault="005E7D84" w:rsidP="00954A5F">
      <w:pPr>
        <w:spacing w:line="360" w:lineRule="auto"/>
        <w:textAlignment w:val="baseline"/>
        <w:rPr>
          <w:rFonts w:ascii="Segoe UI" w:eastAsia="Times New Roman" w:hAnsi="Segoe UI" w:cs="Segoe UI"/>
          <w:kern w:val="0"/>
          <w:sz w:val="18"/>
          <w:szCs w:val="18"/>
          <w:lang w:eastAsia="en-GB"/>
          <w14:ligatures w14:val="none"/>
        </w:rPr>
      </w:pPr>
      <w:r w:rsidRPr="005E7D84">
        <w:rPr>
          <w:rFonts w:ascii="Calibri" w:eastAsia="Times New Roman" w:hAnsi="Calibri" w:cs="Calibri"/>
          <w:b/>
          <w:bCs/>
          <w:kern w:val="0"/>
          <w:sz w:val="22"/>
          <w:szCs w:val="22"/>
          <w:u w:val="single"/>
          <w:lang w:eastAsia="en-GB"/>
          <w14:ligatures w14:val="none"/>
        </w:rPr>
        <w:t>Anhang  </w:t>
      </w:r>
    </w:p>
    <w:tbl>
      <w:tblPr>
        <w:tblW w:w="77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990"/>
        <w:gridCol w:w="4245"/>
        <w:gridCol w:w="1575"/>
      </w:tblGrid>
      <w:tr w:rsidR="005E7D84" w:rsidRPr="005E7D84" w14:paraId="751E10CC" w14:textId="77777777" w:rsidTr="79CE8CE2">
        <w:trPr>
          <w:trHeight w:val="300"/>
        </w:trPr>
        <w:tc>
          <w:tcPr>
            <w:tcW w:w="7785" w:type="dxa"/>
            <w:gridSpan w:val="4"/>
            <w:tcBorders>
              <w:top w:val="single" w:sz="6" w:space="0" w:color="auto"/>
              <w:left w:val="single" w:sz="6" w:space="0" w:color="auto"/>
              <w:bottom w:val="single" w:sz="6" w:space="0" w:color="auto"/>
              <w:right w:val="single" w:sz="6" w:space="0" w:color="auto"/>
            </w:tcBorders>
            <w:vAlign w:val="bottom"/>
            <w:hideMark/>
          </w:tcPr>
          <w:p w14:paraId="0460154E" w14:textId="39075004"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Top 50 in Europa </w:t>
            </w:r>
          </w:p>
        </w:tc>
      </w:tr>
      <w:tr w:rsidR="005E7D84" w:rsidRPr="005E7D84" w14:paraId="39F44803"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1D775C8B"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Rang 2026 </w:t>
            </w:r>
          </w:p>
        </w:tc>
        <w:tc>
          <w:tcPr>
            <w:tcW w:w="990" w:type="dxa"/>
            <w:tcBorders>
              <w:top w:val="nil"/>
              <w:left w:val="nil"/>
              <w:bottom w:val="single" w:sz="6" w:space="0" w:color="auto"/>
              <w:right w:val="single" w:sz="6" w:space="0" w:color="auto"/>
            </w:tcBorders>
            <w:vAlign w:val="center"/>
            <w:hideMark/>
          </w:tcPr>
          <w:p w14:paraId="072612D9"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Rang 2025 </w:t>
            </w:r>
          </w:p>
        </w:tc>
        <w:tc>
          <w:tcPr>
            <w:tcW w:w="4245" w:type="dxa"/>
            <w:tcBorders>
              <w:top w:val="nil"/>
              <w:left w:val="nil"/>
              <w:bottom w:val="single" w:sz="6" w:space="0" w:color="auto"/>
              <w:right w:val="single" w:sz="6" w:space="0" w:color="auto"/>
            </w:tcBorders>
            <w:vAlign w:val="center"/>
            <w:hideMark/>
          </w:tcPr>
          <w:p w14:paraId="54D95B54"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Institution </w:t>
            </w:r>
          </w:p>
        </w:tc>
        <w:tc>
          <w:tcPr>
            <w:tcW w:w="1575" w:type="dxa"/>
            <w:tcBorders>
              <w:top w:val="nil"/>
              <w:left w:val="nil"/>
              <w:bottom w:val="single" w:sz="6" w:space="0" w:color="auto"/>
              <w:right w:val="single" w:sz="6" w:space="0" w:color="auto"/>
            </w:tcBorders>
            <w:vAlign w:val="center"/>
            <w:hideMark/>
          </w:tcPr>
          <w:p w14:paraId="31919B01"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Standort </w:t>
            </w:r>
          </w:p>
        </w:tc>
      </w:tr>
      <w:tr w:rsidR="005E7D84" w:rsidRPr="005E7D84" w14:paraId="34D7AF97"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6B7B5BFA"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1 </w:t>
            </w:r>
          </w:p>
        </w:tc>
        <w:tc>
          <w:tcPr>
            <w:tcW w:w="990" w:type="dxa"/>
            <w:tcBorders>
              <w:top w:val="nil"/>
              <w:left w:val="nil"/>
              <w:bottom w:val="single" w:sz="6" w:space="0" w:color="auto"/>
              <w:right w:val="single" w:sz="6" w:space="0" w:color="auto"/>
            </w:tcBorders>
            <w:vAlign w:val="center"/>
            <w:hideMark/>
          </w:tcPr>
          <w:p w14:paraId="76846B32"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3 </w:t>
            </w:r>
          </w:p>
        </w:tc>
        <w:tc>
          <w:tcPr>
            <w:tcW w:w="4245" w:type="dxa"/>
            <w:tcBorders>
              <w:top w:val="nil"/>
              <w:left w:val="nil"/>
              <w:bottom w:val="single" w:sz="6" w:space="0" w:color="auto"/>
              <w:right w:val="single" w:sz="6" w:space="0" w:color="auto"/>
            </w:tcBorders>
            <w:vAlign w:val="bottom"/>
            <w:hideMark/>
          </w:tcPr>
          <w:p w14:paraId="20D900AD"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Oxford </w:t>
            </w:r>
          </w:p>
        </w:tc>
        <w:tc>
          <w:tcPr>
            <w:tcW w:w="1575" w:type="dxa"/>
            <w:tcBorders>
              <w:top w:val="nil"/>
              <w:left w:val="nil"/>
              <w:bottom w:val="single" w:sz="6" w:space="0" w:color="auto"/>
              <w:right w:val="single" w:sz="6" w:space="0" w:color="auto"/>
            </w:tcBorders>
            <w:vAlign w:val="bottom"/>
            <w:hideMark/>
          </w:tcPr>
          <w:p w14:paraId="3FFBAAE3"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0C302F60"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517807A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2 </w:t>
            </w:r>
          </w:p>
        </w:tc>
        <w:tc>
          <w:tcPr>
            <w:tcW w:w="990" w:type="dxa"/>
            <w:tcBorders>
              <w:top w:val="nil"/>
              <w:left w:val="nil"/>
              <w:bottom w:val="single" w:sz="6" w:space="0" w:color="auto"/>
              <w:right w:val="single" w:sz="6" w:space="0" w:color="auto"/>
            </w:tcBorders>
            <w:vAlign w:val="center"/>
            <w:hideMark/>
          </w:tcPr>
          <w:p w14:paraId="04C961D1"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1 </w:t>
            </w:r>
          </w:p>
        </w:tc>
        <w:tc>
          <w:tcPr>
            <w:tcW w:w="4245" w:type="dxa"/>
            <w:tcBorders>
              <w:top w:val="nil"/>
              <w:left w:val="nil"/>
              <w:bottom w:val="single" w:sz="6" w:space="0" w:color="auto"/>
              <w:right w:val="single" w:sz="6" w:space="0" w:color="auto"/>
            </w:tcBorders>
            <w:vAlign w:val="bottom"/>
            <w:hideMark/>
          </w:tcPr>
          <w:p w14:paraId="4EC92FA7"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ETH Zürich </w:t>
            </w:r>
          </w:p>
        </w:tc>
        <w:tc>
          <w:tcPr>
            <w:tcW w:w="1575" w:type="dxa"/>
            <w:tcBorders>
              <w:top w:val="nil"/>
              <w:left w:val="nil"/>
              <w:bottom w:val="single" w:sz="6" w:space="0" w:color="auto"/>
              <w:right w:val="single" w:sz="6" w:space="0" w:color="auto"/>
            </w:tcBorders>
            <w:vAlign w:val="bottom"/>
            <w:hideMark/>
          </w:tcPr>
          <w:p w14:paraId="1735F622"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Schweiz </w:t>
            </w:r>
          </w:p>
        </w:tc>
      </w:tr>
      <w:tr w:rsidR="005E7D84" w:rsidRPr="005E7D84" w14:paraId="3DA6E961"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2F96321E"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3 </w:t>
            </w:r>
          </w:p>
        </w:tc>
        <w:tc>
          <w:tcPr>
            <w:tcW w:w="990" w:type="dxa"/>
            <w:tcBorders>
              <w:top w:val="nil"/>
              <w:left w:val="nil"/>
              <w:bottom w:val="single" w:sz="6" w:space="0" w:color="auto"/>
              <w:right w:val="single" w:sz="6" w:space="0" w:color="auto"/>
            </w:tcBorders>
            <w:vAlign w:val="center"/>
            <w:hideMark/>
          </w:tcPr>
          <w:p w14:paraId="300D843D"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2 </w:t>
            </w:r>
          </w:p>
        </w:tc>
        <w:tc>
          <w:tcPr>
            <w:tcW w:w="4245" w:type="dxa"/>
            <w:tcBorders>
              <w:top w:val="nil"/>
              <w:left w:val="nil"/>
              <w:bottom w:val="single" w:sz="6" w:space="0" w:color="auto"/>
              <w:right w:val="single" w:sz="6" w:space="0" w:color="auto"/>
            </w:tcBorders>
            <w:vAlign w:val="bottom"/>
            <w:hideMark/>
          </w:tcPr>
          <w:p w14:paraId="63790214"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Imperial College London </w:t>
            </w:r>
          </w:p>
        </w:tc>
        <w:tc>
          <w:tcPr>
            <w:tcW w:w="1575" w:type="dxa"/>
            <w:tcBorders>
              <w:top w:val="nil"/>
              <w:left w:val="nil"/>
              <w:bottom w:val="single" w:sz="6" w:space="0" w:color="auto"/>
              <w:right w:val="single" w:sz="6" w:space="0" w:color="auto"/>
            </w:tcBorders>
            <w:vAlign w:val="bottom"/>
            <w:hideMark/>
          </w:tcPr>
          <w:p w14:paraId="3451B559"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3085255A"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4754041B"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 </w:t>
            </w:r>
          </w:p>
        </w:tc>
        <w:tc>
          <w:tcPr>
            <w:tcW w:w="990" w:type="dxa"/>
            <w:tcBorders>
              <w:top w:val="nil"/>
              <w:left w:val="nil"/>
              <w:bottom w:val="single" w:sz="6" w:space="0" w:color="auto"/>
              <w:right w:val="single" w:sz="6" w:space="0" w:color="auto"/>
            </w:tcBorders>
            <w:vAlign w:val="center"/>
            <w:hideMark/>
          </w:tcPr>
          <w:p w14:paraId="7D2E5FCA"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5 </w:t>
            </w:r>
          </w:p>
        </w:tc>
        <w:tc>
          <w:tcPr>
            <w:tcW w:w="4245" w:type="dxa"/>
            <w:tcBorders>
              <w:top w:val="nil"/>
              <w:left w:val="nil"/>
              <w:bottom w:val="single" w:sz="6" w:space="0" w:color="auto"/>
              <w:right w:val="single" w:sz="6" w:space="0" w:color="auto"/>
            </w:tcBorders>
            <w:vAlign w:val="bottom"/>
            <w:hideMark/>
          </w:tcPr>
          <w:p w14:paraId="4AD0693E"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UCL </w:t>
            </w:r>
          </w:p>
        </w:tc>
        <w:tc>
          <w:tcPr>
            <w:tcW w:w="1575" w:type="dxa"/>
            <w:tcBorders>
              <w:top w:val="nil"/>
              <w:left w:val="nil"/>
              <w:bottom w:val="single" w:sz="6" w:space="0" w:color="auto"/>
              <w:right w:val="single" w:sz="6" w:space="0" w:color="auto"/>
            </w:tcBorders>
            <w:vAlign w:val="bottom"/>
            <w:hideMark/>
          </w:tcPr>
          <w:p w14:paraId="38625C8B"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71D0D159"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7EF6B3E6"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 </w:t>
            </w:r>
          </w:p>
        </w:tc>
        <w:tc>
          <w:tcPr>
            <w:tcW w:w="990" w:type="dxa"/>
            <w:tcBorders>
              <w:top w:val="nil"/>
              <w:left w:val="nil"/>
              <w:bottom w:val="single" w:sz="6" w:space="0" w:color="auto"/>
              <w:right w:val="single" w:sz="6" w:space="0" w:color="auto"/>
            </w:tcBorders>
            <w:vAlign w:val="center"/>
            <w:hideMark/>
          </w:tcPr>
          <w:p w14:paraId="59608653"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4 </w:t>
            </w:r>
          </w:p>
        </w:tc>
        <w:tc>
          <w:tcPr>
            <w:tcW w:w="4245" w:type="dxa"/>
            <w:tcBorders>
              <w:top w:val="nil"/>
              <w:left w:val="nil"/>
              <w:bottom w:val="single" w:sz="6" w:space="0" w:color="auto"/>
              <w:right w:val="single" w:sz="6" w:space="0" w:color="auto"/>
            </w:tcBorders>
            <w:vAlign w:val="bottom"/>
            <w:hideMark/>
          </w:tcPr>
          <w:p w14:paraId="1EB31427"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Cambridge </w:t>
            </w:r>
          </w:p>
        </w:tc>
        <w:tc>
          <w:tcPr>
            <w:tcW w:w="1575" w:type="dxa"/>
            <w:tcBorders>
              <w:top w:val="nil"/>
              <w:left w:val="nil"/>
              <w:bottom w:val="single" w:sz="6" w:space="0" w:color="auto"/>
              <w:right w:val="single" w:sz="6" w:space="0" w:color="auto"/>
            </w:tcBorders>
            <w:vAlign w:val="bottom"/>
            <w:hideMark/>
          </w:tcPr>
          <w:p w14:paraId="5718E9DE"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UK </w:t>
            </w:r>
          </w:p>
        </w:tc>
      </w:tr>
      <w:tr w:rsidR="005E7D84" w:rsidRPr="005E7D84" w14:paraId="0FE8B39A"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72FC2C27"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6 </w:t>
            </w:r>
          </w:p>
        </w:tc>
        <w:tc>
          <w:tcPr>
            <w:tcW w:w="990" w:type="dxa"/>
            <w:tcBorders>
              <w:top w:val="nil"/>
              <w:left w:val="nil"/>
              <w:bottom w:val="single" w:sz="6" w:space="0" w:color="auto"/>
              <w:right w:val="single" w:sz="6" w:space="0" w:color="auto"/>
            </w:tcBorders>
            <w:vAlign w:val="center"/>
            <w:hideMark/>
          </w:tcPr>
          <w:p w14:paraId="4F36D8DE"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9 </w:t>
            </w:r>
          </w:p>
        </w:tc>
        <w:tc>
          <w:tcPr>
            <w:tcW w:w="4245" w:type="dxa"/>
            <w:tcBorders>
              <w:top w:val="nil"/>
              <w:left w:val="nil"/>
              <w:bottom w:val="single" w:sz="6" w:space="0" w:color="auto"/>
              <w:right w:val="single" w:sz="6" w:space="0" w:color="auto"/>
            </w:tcBorders>
            <w:vAlign w:val="bottom"/>
            <w:hideMark/>
          </w:tcPr>
          <w:p w14:paraId="29101FC7"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PSL </w:t>
            </w:r>
          </w:p>
        </w:tc>
        <w:tc>
          <w:tcPr>
            <w:tcW w:w="1575" w:type="dxa"/>
            <w:tcBorders>
              <w:top w:val="nil"/>
              <w:left w:val="nil"/>
              <w:bottom w:val="single" w:sz="6" w:space="0" w:color="auto"/>
              <w:right w:val="single" w:sz="6" w:space="0" w:color="auto"/>
            </w:tcBorders>
            <w:vAlign w:val="bottom"/>
            <w:hideMark/>
          </w:tcPr>
          <w:p w14:paraId="6A9FCF83"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Frankreich </w:t>
            </w:r>
          </w:p>
        </w:tc>
      </w:tr>
      <w:tr w:rsidR="005E7D84" w:rsidRPr="005E7D84" w14:paraId="419BDC0D"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6D3EDAB5"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7 </w:t>
            </w:r>
          </w:p>
        </w:tc>
        <w:tc>
          <w:tcPr>
            <w:tcW w:w="990" w:type="dxa"/>
            <w:tcBorders>
              <w:top w:val="nil"/>
              <w:left w:val="nil"/>
              <w:bottom w:val="single" w:sz="6" w:space="0" w:color="auto"/>
              <w:right w:val="single" w:sz="6" w:space="0" w:color="auto"/>
            </w:tcBorders>
            <w:vAlign w:val="center"/>
            <w:hideMark/>
          </w:tcPr>
          <w:p w14:paraId="1F5941B3"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6 </w:t>
            </w:r>
          </w:p>
        </w:tc>
        <w:tc>
          <w:tcPr>
            <w:tcW w:w="4245" w:type="dxa"/>
            <w:tcBorders>
              <w:top w:val="nil"/>
              <w:left w:val="nil"/>
              <w:bottom w:val="single" w:sz="6" w:space="0" w:color="auto"/>
              <w:right w:val="single" w:sz="6" w:space="0" w:color="auto"/>
            </w:tcBorders>
            <w:vAlign w:val="bottom"/>
            <w:hideMark/>
          </w:tcPr>
          <w:p w14:paraId="5998C4B4"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Edinburgh </w:t>
            </w:r>
          </w:p>
        </w:tc>
        <w:tc>
          <w:tcPr>
            <w:tcW w:w="1575" w:type="dxa"/>
            <w:tcBorders>
              <w:top w:val="nil"/>
              <w:left w:val="nil"/>
              <w:bottom w:val="single" w:sz="6" w:space="0" w:color="auto"/>
              <w:right w:val="single" w:sz="6" w:space="0" w:color="auto"/>
            </w:tcBorders>
            <w:vAlign w:val="bottom"/>
            <w:hideMark/>
          </w:tcPr>
          <w:p w14:paraId="54BF152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5ABA9DF1"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1355B8DD"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=8 </w:t>
            </w:r>
          </w:p>
        </w:tc>
        <w:tc>
          <w:tcPr>
            <w:tcW w:w="990" w:type="dxa"/>
            <w:tcBorders>
              <w:top w:val="nil"/>
              <w:left w:val="nil"/>
              <w:bottom w:val="single" w:sz="6" w:space="0" w:color="auto"/>
              <w:right w:val="single" w:sz="6" w:space="0" w:color="auto"/>
            </w:tcBorders>
            <w:vAlign w:val="center"/>
            <w:hideMark/>
          </w:tcPr>
          <w:p w14:paraId="5AA1BD77"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8 </w:t>
            </w:r>
          </w:p>
        </w:tc>
        <w:tc>
          <w:tcPr>
            <w:tcW w:w="4245" w:type="dxa"/>
            <w:tcBorders>
              <w:top w:val="nil"/>
              <w:left w:val="nil"/>
              <w:bottom w:val="single" w:sz="6" w:space="0" w:color="auto"/>
              <w:right w:val="single" w:sz="6" w:space="0" w:color="auto"/>
            </w:tcBorders>
            <w:vAlign w:val="bottom"/>
            <w:hideMark/>
          </w:tcPr>
          <w:p w14:paraId="1AEB973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King's College London </w:t>
            </w:r>
          </w:p>
        </w:tc>
        <w:tc>
          <w:tcPr>
            <w:tcW w:w="1575" w:type="dxa"/>
            <w:tcBorders>
              <w:top w:val="nil"/>
              <w:left w:val="nil"/>
              <w:bottom w:val="single" w:sz="6" w:space="0" w:color="auto"/>
              <w:right w:val="single" w:sz="6" w:space="0" w:color="auto"/>
            </w:tcBorders>
            <w:vAlign w:val="bottom"/>
            <w:hideMark/>
          </w:tcPr>
          <w:p w14:paraId="5B1549BC"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739E7581"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444A0EED"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=8 </w:t>
            </w:r>
          </w:p>
        </w:tc>
        <w:tc>
          <w:tcPr>
            <w:tcW w:w="990" w:type="dxa"/>
            <w:tcBorders>
              <w:top w:val="nil"/>
              <w:left w:val="nil"/>
              <w:bottom w:val="single" w:sz="6" w:space="0" w:color="auto"/>
              <w:right w:val="single" w:sz="6" w:space="0" w:color="auto"/>
            </w:tcBorders>
            <w:vAlign w:val="center"/>
            <w:hideMark/>
          </w:tcPr>
          <w:p w14:paraId="682B74E9"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7 </w:t>
            </w:r>
          </w:p>
        </w:tc>
        <w:tc>
          <w:tcPr>
            <w:tcW w:w="4245" w:type="dxa"/>
            <w:tcBorders>
              <w:top w:val="nil"/>
              <w:left w:val="nil"/>
              <w:bottom w:val="single" w:sz="6" w:space="0" w:color="auto"/>
              <w:right w:val="single" w:sz="6" w:space="0" w:color="auto"/>
            </w:tcBorders>
            <w:vAlign w:val="bottom"/>
            <w:hideMark/>
          </w:tcPr>
          <w:p w14:paraId="7E2E24E3"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Manchester </w:t>
            </w:r>
          </w:p>
        </w:tc>
        <w:tc>
          <w:tcPr>
            <w:tcW w:w="1575" w:type="dxa"/>
            <w:tcBorders>
              <w:top w:val="nil"/>
              <w:left w:val="nil"/>
              <w:bottom w:val="single" w:sz="6" w:space="0" w:color="auto"/>
              <w:right w:val="single" w:sz="6" w:space="0" w:color="auto"/>
            </w:tcBorders>
            <w:vAlign w:val="bottom"/>
            <w:hideMark/>
          </w:tcPr>
          <w:p w14:paraId="4B4A11EC"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34B2ED82"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210ECFD9"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10 </w:t>
            </w:r>
          </w:p>
        </w:tc>
        <w:tc>
          <w:tcPr>
            <w:tcW w:w="990" w:type="dxa"/>
            <w:tcBorders>
              <w:top w:val="nil"/>
              <w:left w:val="nil"/>
              <w:bottom w:val="single" w:sz="6" w:space="0" w:color="auto"/>
              <w:right w:val="single" w:sz="6" w:space="0" w:color="auto"/>
            </w:tcBorders>
            <w:vAlign w:val="center"/>
            <w:hideMark/>
          </w:tcPr>
          <w:p w14:paraId="50488695"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10 </w:t>
            </w:r>
          </w:p>
        </w:tc>
        <w:tc>
          <w:tcPr>
            <w:tcW w:w="4245" w:type="dxa"/>
            <w:tcBorders>
              <w:top w:val="nil"/>
              <w:left w:val="nil"/>
              <w:bottom w:val="single" w:sz="6" w:space="0" w:color="auto"/>
              <w:right w:val="single" w:sz="6" w:space="0" w:color="auto"/>
            </w:tcBorders>
            <w:vAlign w:val="bottom"/>
            <w:hideMark/>
          </w:tcPr>
          <w:p w14:paraId="3CF9B11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val="fr-FR" w:eastAsia="en-GB"/>
                <w14:ligatures w14:val="none"/>
              </w:rPr>
            </w:pPr>
            <w:r w:rsidRPr="005E7D84">
              <w:rPr>
                <w:rFonts w:ascii="Calibri" w:eastAsia="Times New Roman" w:hAnsi="Calibri" w:cs="Calibri"/>
                <w:kern w:val="0"/>
                <w:sz w:val="20"/>
                <w:szCs w:val="20"/>
                <w:lang w:val="fr-FR" w:eastAsia="en-GB"/>
                <w14:ligatures w14:val="none"/>
              </w:rPr>
              <w:t xml:space="preserve">EPFL – École polytechnique fédérale de Lausanne </w:t>
            </w:r>
          </w:p>
        </w:tc>
        <w:tc>
          <w:tcPr>
            <w:tcW w:w="1575" w:type="dxa"/>
            <w:tcBorders>
              <w:top w:val="nil"/>
              <w:left w:val="nil"/>
              <w:bottom w:val="single" w:sz="6" w:space="0" w:color="auto"/>
              <w:right w:val="single" w:sz="6" w:space="0" w:color="auto"/>
            </w:tcBorders>
            <w:vAlign w:val="bottom"/>
            <w:hideMark/>
          </w:tcPr>
          <w:p w14:paraId="520C15F3"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Schweiz </w:t>
            </w:r>
          </w:p>
        </w:tc>
      </w:tr>
      <w:tr w:rsidR="005E7D84" w:rsidRPr="005E7D84" w14:paraId="751DD979"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4F4E7316"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11 </w:t>
            </w:r>
          </w:p>
        </w:tc>
        <w:tc>
          <w:tcPr>
            <w:tcW w:w="990" w:type="dxa"/>
            <w:tcBorders>
              <w:top w:val="nil"/>
              <w:left w:val="nil"/>
              <w:bottom w:val="single" w:sz="6" w:space="0" w:color="auto"/>
              <w:right w:val="single" w:sz="6" w:space="0" w:color="auto"/>
            </w:tcBorders>
            <w:vAlign w:val="center"/>
            <w:hideMark/>
          </w:tcPr>
          <w:p w14:paraId="0FA1EB3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15 </w:t>
            </w:r>
          </w:p>
        </w:tc>
        <w:tc>
          <w:tcPr>
            <w:tcW w:w="4245" w:type="dxa"/>
            <w:tcBorders>
              <w:top w:val="nil"/>
              <w:left w:val="nil"/>
              <w:bottom w:val="single" w:sz="6" w:space="0" w:color="auto"/>
              <w:right w:val="single" w:sz="6" w:space="0" w:color="auto"/>
            </w:tcBorders>
            <w:vAlign w:val="bottom"/>
            <w:hideMark/>
          </w:tcPr>
          <w:p w14:paraId="09AEA785"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Technische Universität Delft </w:t>
            </w:r>
          </w:p>
        </w:tc>
        <w:tc>
          <w:tcPr>
            <w:tcW w:w="1575" w:type="dxa"/>
            <w:tcBorders>
              <w:top w:val="nil"/>
              <w:left w:val="nil"/>
              <w:bottom w:val="single" w:sz="6" w:space="0" w:color="auto"/>
              <w:right w:val="single" w:sz="6" w:space="0" w:color="auto"/>
            </w:tcBorders>
            <w:vAlign w:val="bottom"/>
            <w:hideMark/>
          </w:tcPr>
          <w:p w14:paraId="0C5D5F4E"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Niederlande </w:t>
            </w:r>
          </w:p>
        </w:tc>
      </w:tr>
      <w:tr w:rsidR="005E7D84" w:rsidRPr="005E7D84" w14:paraId="5976CAFF"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152CE242"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lastRenderedPageBreak/>
              <w:t xml:space="preserve">=12 </w:t>
            </w:r>
          </w:p>
        </w:tc>
        <w:tc>
          <w:tcPr>
            <w:tcW w:w="990" w:type="dxa"/>
            <w:tcBorders>
              <w:top w:val="nil"/>
              <w:left w:val="nil"/>
              <w:bottom w:val="single" w:sz="6" w:space="0" w:color="auto"/>
              <w:right w:val="single" w:sz="6" w:space="0" w:color="auto"/>
            </w:tcBorders>
            <w:vAlign w:val="center"/>
            <w:hideMark/>
          </w:tcPr>
          <w:p w14:paraId="75F0B5A5"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13 </w:t>
            </w:r>
          </w:p>
        </w:tc>
        <w:tc>
          <w:tcPr>
            <w:tcW w:w="4245" w:type="dxa"/>
            <w:tcBorders>
              <w:top w:val="nil"/>
              <w:left w:val="nil"/>
              <w:bottom w:val="single" w:sz="6" w:space="0" w:color="auto"/>
              <w:right w:val="single" w:sz="6" w:space="0" w:color="auto"/>
            </w:tcBorders>
            <w:vAlign w:val="bottom"/>
            <w:hideMark/>
          </w:tcPr>
          <w:p w14:paraId="6BC5AEF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Lund </w:t>
            </w:r>
          </w:p>
        </w:tc>
        <w:tc>
          <w:tcPr>
            <w:tcW w:w="1575" w:type="dxa"/>
            <w:tcBorders>
              <w:top w:val="nil"/>
              <w:left w:val="nil"/>
              <w:bottom w:val="single" w:sz="6" w:space="0" w:color="auto"/>
              <w:right w:val="single" w:sz="6" w:space="0" w:color="auto"/>
            </w:tcBorders>
            <w:vAlign w:val="bottom"/>
            <w:hideMark/>
          </w:tcPr>
          <w:p w14:paraId="19D69DF7"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Schweden </w:t>
            </w:r>
          </w:p>
        </w:tc>
      </w:tr>
      <w:tr w:rsidR="005E7D84" w:rsidRPr="005E7D84" w14:paraId="37CBF3AA"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3D56704E"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=12 </w:t>
            </w:r>
          </w:p>
        </w:tc>
        <w:tc>
          <w:tcPr>
            <w:tcW w:w="990" w:type="dxa"/>
            <w:tcBorders>
              <w:top w:val="nil"/>
              <w:left w:val="nil"/>
              <w:bottom w:val="single" w:sz="6" w:space="0" w:color="auto"/>
              <w:right w:val="single" w:sz="6" w:space="0" w:color="auto"/>
            </w:tcBorders>
            <w:vAlign w:val="center"/>
            <w:hideMark/>
          </w:tcPr>
          <w:p w14:paraId="381F27BE"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11 </w:t>
            </w:r>
          </w:p>
        </w:tc>
        <w:tc>
          <w:tcPr>
            <w:tcW w:w="4245" w:type="dxa"/>
            <w:tcBorders>
              <w:top w:val="nil"/>
              <w:left w:val="nil"/>
              <w:bottom w:val="single" w:sz="6" w:space="0" w:color="auto"/>
              <w:right w:val="single" w:sz="6" w:space="0" w:color="auto"/>
            </w:tcBorders>
            <w:vAlign w:val="bottom"/>
            <w:hideMark/>
          </w:tcPr>
          <w:p w14:paraId="4535B21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Technische Universität München </w:t>
            </w:r>
          </w:p>
        </w:tc>
        <w:tc>
          <w:tcPr>
            <w:tcW w:w="1575" w:type="dxa"/>
            <w:tcBorders>
              <w:top w:val="nil"/>
              <w:left w:val="nil"/>
              <w:bottom w:val="single" w:sz="6" w:space="0" w:color="auto"/>
              <w:right w:val="single" w:sz="6" w:space="0" w:color="auto"/>
            </w:tcBorders>
            <w:vAlign w:val="bottom"/>
            <w:hideMark/>
          </w:tcPr>
          <w:p w14:paraId="37FE7499"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Deutschland </w:t>
            </w:r>
          </w:p>
        </w:tc>
      </w:tr>
      <w:tr w:rsidR="005E7D84" w:rsidRPr="005E7D84" w14:paraId="100B56C9"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264F91AF"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14 </w:t>
            </w:r>
          </w:p>
        </w:tc>
        <w:tc>
          <w:tcPr>
            <w:tcW w:w="990" w:type="dxa"/>
            <w:tcBorders>
              <w:top w:val="nil"/>
              <w:left w:val="nil"/>
              <w:bottom w:val="single" w:sz="6" w:space="0" w:color="auto"/>
              <w:right w:val="single" w:sz="6" w:space="0" w:color="auto"/>
            </w:tcBorders>
            <w:vAlign w:val="center"/>
            <w:hideMark/>
          </w:tcPr>
          <w:p w14:paraId="5594A0A5"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12 </w:t>
            </w:r>
          </w:p>
        </w:tc>
        <w:tc>
          <w:tcPr>
            <w:tcW w:w="4245" w:type="dxa"/>
            <w:tcBorders>
              <w:top w:val="nil"/>
              <w:left w:val="nil"/>
              <w:bottom w:val="single" w:sz="6" w:space="0" w:color="auto"/>
              <w:right w:val="single" w:sz="6" w:space="0" w:color="auto"/>
            </w:tcBorders>
            <w:vAlign w:val="bottom"/>
            <w:hideMark/>
          </w:tcPr>
          <w:p w14:paraId="56248075"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London School of Economics and Political Science (LSE) </w:t>
            </w:r>
          </w:p>
        </w:tc>
        <w:tc>
          <w:tcPr>
            <w:tcW w:w="1575" w:type="dxa"/>
            <w:tcBorders>
              <w:top w:val="nil"/>
              <w:left w:val="nil"/>
              <w:bottom w:val="single" w:sz="6" w:space="0" w:color="auto"/>
              <w:right w:val="single" w:sz="6" w:space="0" w:color="auto"/>
            </w:tcBorders>
            <w:vAlign w:val="bottom"/>
            <w:hideMark/>
          </w:tcPr>
          <w:p w14:paraId="5160F7B2"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Vereinigtes Königreich </w:t>
            </w:r>
          </w:p>
        </w:tc>
      </w:tr>
      <w:tr w:rsidR="005E7D84" w:rsidRPr="005E7D84" w14:paraId="412F69B6"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1E0D1ECF"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=15 </w:t>
            </w:r>
          </w:p>
        </w:tc>
        <w:tc>
          <w:tcPr>
            <w:tcW w:w="990" w:type="dxa"/>
            <w:tcBorders>
              <w:top w:val="nil"/>
              <w:left w:val="nil"/>
              <w:bottom w:val="single" w:sz="6" w:space="0" w:color="auto"/>
              <w:right w:val="single" w:sz="6" w:space="0" w:color="auto"/>
            </w:tcBorders>
            <w:vAlign w:val="center"/>
            <w:hideMark/>
          </w:tcPr>
          <w:p w14:paraId="7863B11B"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21 </w:t>
            </w:r>
          </w:p>
        </w:tc>
        <w:tc>
          <w:tcPr>
            <w:tcW w:w="4245" w:type="dxa"/>
            <w:tcBorders>
              <w:top w:val="nil"/>
              <w:left w:val="nil"/>
              <w:bottom w:val="single" w:sz="6" w:space="0" w:color="auto"/>
              <w:right w:val="single" w:sz="6" w:space="0" w:color="auto"/>
            </w:tcBorders>
            <w:vAlign w:val="bottom"/>
            <w:hideMark/>
          </w:tcPr>
          <w:p w14:paraId="23EE9CD0"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Ludwig-Maximilians-Universität München </w:t>
            </w:r>
          </w:p>
        </w:tc>
        <w:tc>
          <w:tcPr>
            <w:tcW w:w="1575" w:type="dxa"/>
            <w:tcBorders>
              <w:top w:val="nil"/>
              <w:left w:val="nil"/>
              <w:bottom w:val="single" w:sz="6" w:space="0" w:color="auto"/>
              <w:right w:val="single" w:sz="6" w:space="0" w:color="auto"/>
            </w:tcBorders>
            <w:vAlign w:val="bottom"/>
            <w:hideMark/>
          </w:tcPr>
          <w:p w14:paraId="14028EDD"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Deutschland </w:t>
            </w:r>
          </w:p>
        </w:tc>
      </w:tr>
      <w:tr w:rsidR="005E7D84" w:rsidRPr="005E7D84" w14:paraId="36B9F216"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52F73226"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=15 </w:t>
            </w:r>
          </w:p>
        </w:tc>
        <w:tc>
          <w:tcPr>
            <w:tcW w:w="990" w:type="dxa"/>
            <w:tcBorders>
              <w:top w:val="nil"/>
              <w:left w:val="nil"/>
              <w:bottom w:val="single" w:sz="6" w:space="0" w:color="auto"/>
              <w:right w:val="single" w:sz="6" w:space="0" w:color="auto"/>
            </w:tcBorders>
            <w:vAlign w:val="center"/>
            <w:hideMark/>
          </w:tcPr>
          <w:p w14:paraId="704BBD22"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22 </w:t>
            </w:r>
          </w:p>
        </w:tc>
        <w:tc>
          <w:tcPr>
            <w:tcW w:w="4245" w:type="dxa"/>
            <w:tcBorders>
              <w:top w:val="nil"/>
              <w:left w:val="nil"/>
              <w:bottom w:val="single" w:sz="6" w:space="0" w:color="auto"/>
              <w:right w:val="single" w:sz="6" w:space="0" w:color="auto"/>
            </w:tcBorders>
            <w:vAlign w:val="bottom"/>
            <w:hideMark/>
          </w:tcPr>
          <w:p w14:paraId="38FD59A4"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Warwick </w:t>
            </w:r>
          </w:p>
        </w:tc>
        <w:tc>
          <w:tcPr>
            <w:tcW w:w="1575" w:type="dxa"/>
            <w:tcBorders>
              <w:top w:val="nil"/>
              <w:left w:val="nil"/>
              <w:bottom w:val="single" w:sz="6" w:space="0" w:color="auto"/>
              <w:right w:val="single" w:sz="6" w:space="0" w:color="auto"/>
            </w:tcBorders>
            <w:vAlign w:val="bottom"/>
            <w:hideMark/>
          </w:tcPr>
          <w:p w14:paraId="6A64C3D7"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16DCFABA"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16890DD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=17 </w:t>
            </w:r>
          </w:p>
        </w:tc>
        <w:tc>
          <w:tcPr>
            <w:tcW w:w="990" w:type="dxa"/>
            <w:tcBorders>
              <w:top w:val="nil"/>
              <w:left w:val="nil"/>
              <w:bottom w:val="single" w:sz="6" w:space="0" w:color="auto"/>
              <w:right w:val="single" w:sz="6" w:space="0" w:color="auto"/>
            </w:tcBorders>
            <w:vAlign w:val="center"/>
            <w:hideMark/>
          </w:tcPr>
          <w:p w14:paraId="22E3938B"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14 </w:t>
            </w:r>
          </w:p>
        </w:tc>
        <w:tc>
          <w:tcPr>
            <w:tcW w:w="4245" w:type="dxa"/>
            <w:tcBorders>
              <w:top w:val="nil"/>
              <w:left w:val="nil"/>
              <w:bottom w:val="single" w:sz="6" w:space="0" w:color="auto"/>
              <w:right w:val="single" w:sz="6" w:space="0" w:color="auto"/>
            </w:tcBorders>
            <w:vAlign w:val="bottom"/>
            <w:hideMark/>
          </w:tcPr>
          <w:p w14:paraId="0ABB7D4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Bristol </w:t>
            </w:r>
          </w:p>
        </w:tc>
        <w:tc>
          <w:tcPr>
            <w:tcW w:w="1575" w:type="dxa"/>
            <w:tcBorders>
              <w:top w:val="nil"/>
              <w:left w:val="nil"/>
              <w:bottom w:val="single" w:sz="6" w:space="0" w:color="auto"/>
              <w:right w:val="single" w:sz="6" w:space="0" w:color="auto"/>
            </w:tcBorders>
            <w:vAlign w:val="bottom"/>
            <w:hideMark/>
          </w:tcPr>
          <w:p w14:paraId="55C237A1"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71382870"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368B5FE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=17 </w:t>
            </w:r>
          </w:p>
        </w:tc>
        <w:tc>
          <w:tcPr>
            <w:tcW w:w="990" w:type="dxa"/>
            <w:tcBorders>
              <w:top w:val="nil"/>
              <w:left w:val="nil"/>
              <w:bottom w:val="single" w:sz="6" w:space="0" w:color="auto"/>
              <w:right w:val="single" w:sz="6" w:space="0" w:color="auto"/>
            </w:tcBorders>
            <w:vAlign w:val="center"/>
            <w:hideMark/>
          </w:tcPr>
          <w:p w14:paraId="1BE9F7F5"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16 </w:t>
            </w:r>
          </w:p>
        </w:tc>
        <w:tc>
          <w:tcPr>
            <w:tcW w:w="4245" w:type="dxa"/>
            <w:tcBorders>
              <w:top w:val="nil"/>
              <w:left w:val="nil"/>
              <w:bottom w:val="single" w:sz="6" w:space="0" w:color="auto"/>
              <w:right w:val="single" w:sz="6" w:space="0" w:color="auto"/>
            </w:tcBorders>
            <w:vAlign w:val="bottom"/>
            <w:hideMark/>
          </w:tcPr>
          <w:p w14:paraId="4329F6D8"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Glasgow </w:t>
            </w:r>
          </w:p>
        </w:tc>
        <w:tc>
          <w:tcPr>
            <w:tcW w:w="1575" w:type="dxa"/>
            <w:tcBorders>
              <w:top w:val="nil"/>
              <w:left w:val="nil"/>
              <w:bottom w:val="single" w:sz="6" w:space="0" w:color="auto"/>
              <w:right w:val="single" w:sz="6" w:space="0" w:color="auto"/>
            </w:tcBorders>
            <w:vAlign w:val="bottom"/>
            <w:hideMark/>
          </w:tcPr>
          <w:p w14:paraId="3BEF951C"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581FEBA2"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127445A7"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19 </w:t>
            </w:r>
          </w:p>
        </w:tc>
        <w:tc>
          <w:tcPr>
            <w:tcW w:w="990" w:type="dxa"/>
            <w:tcBorders>
              <w:top w:val="nil"/>
              <w:left w:val="nil"/>
              <w:bottom w:val="single" w:sz="6" w:space="0" w:color="auto"/>
              <w:right w:val="single" w:sz="6" w:space="0" w:color="auto"/>
            </w:tcBorders>
            <w:vAlign w:val="center"/>
            <w:hideMark/>
          </w:tcPr>
          <w:p w14:paraId="11A0DFFA"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23 </w:t>
            </w:r>
          </w:p>
        </w:tc>
        <w:tc>
          <w:tcPr>
            <w:tcW w:w="4245" w:type="dxa"/>
            <w:tcBorders>
              <w:top w:val="nil"/>
              <w:left w:val="nil"/>
              <w:bottom w:val="single" w:sz="6" w:space="0" w:color="auto"/>
              <w:right w:val="single" w:sz="6" w:space="0" w:color="auto"/>
            </w:tcBorders>
            <w:vAlign w:val="bottom"/>
            <w:hideMark/>
          </w:tcPr>
          <w:p w14:paraId="6D205B87"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Institut Polytechnique de Paris </w:t>
            </w:r>
          </w:p>
        </w:tc>
        <w:tc>
          <w:tcPr>
            <w:tcW w:w="1575" w:type="dxa"/>
            <w:tcBorders>
              <w:top w:val="nil"/>
              <w:left w:val="nil"/>
              <w:bottom w:val="single" w:sz="6" w:space="0" w:color="auto"/>
              <w:right w:val="single" w:sz="6" w:space="0" w:color="auto"/>
            </w:tcBorders>
            <w:vAlign w:val="bottom"/>
            <w:hideMark/>
          </w:tcPr>
          <w:p w14:paraId="0D6433B2"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Frankreich </w:t>
            </w:r>
          </w:p>
        </w:tc>
      </w:tr>
      <w:tr w:rsidR="005E7D84" w:rsidRPr="005E7D84" w14:paraId="5151C3E6"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5B9F99FD"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20 </w:t>
            </w:r>
          </w:p>
        </w:tc>
        <w:tc>
          <w:tcPr>
            <w:tcW w:w="990" w:type="dxa"/>
            <w:tcBorders>
              <w:top w:val="nil"/>
              <w:left w:val="nil"/>
              <w:bottom w:val="single" w:sz="6" w:space="0" w:color="auto"/>
              <w:right w:val="single" w:sz="6" w:space="0" w:color="auto"/>
            </w:tcBorders>
            <w:vAlign w:val="center"/>
            <w:hideMark/>
          </w:tcPr>
          <w:p w14:paraId="14E36D95"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25 </w:t>
            </w:r>
          </w:p>
        </w:tc>
        <w:tc>
          <w:tcPr>
            <w:tcW w:w="4245" w:type="dxa"/>
            <w:tcBorders>
              <w:top w:val="nil"/>
              <w:left w:val="nil"/>
              <w:bottom w:val="single" w:sz="6" w:space="0" w:color="auto"/>
              <w:right w:val="single" w:sz="6" w:space="0" w:color="auto"/>
            </w:tcBorders>
            <w:vAlign w:val="center"/>
            <w:hideMark/>
          </w:tcPr>
          <w:p w14:paraId="4C91F93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Uppsala </w:t>
            </w:r>
          </w:p>
        </w:tc>
        <w:tc>
          <w:tcPr>
            <w:tcW w:w="1575" w:type="dxa"/>
            <w:tcBorders>
              <w:top w:val="nil"/>
              <w:left w:val="nil"/>
              <w:bottom w:val="single" w:sz="6" w:space="0" w:color="auto"/>
              <w:right w:val="single" w:sz="6" w:space="0" w:color="auto"/>
            </w:tcBorders>
            <w:vAlign w:val="center"/>
            <w:hideMark/>
          </w:tcPr>
          <w:p w14:paraId="17130FCC"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Schweden </w:t>
            </w:r>
          </w:p>
        </w:tc>
      </w:tr>
      <w:tr w:rsidR="005E7D84" w:rsidRPr="005E7D84" w14:paraId="09F34638"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48D530A3"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21 </w:t>
            </w:r>
          </w:p>
        </w:tc>
        <w:tc>
          <w:tcPr>
            <w:tcW w:w="990" w:type="dxa"/>
            <w:tcBorders>
              <w:top w:val="nil"/>
              <w:left w:val="nil"/>
              <w:bottom w:val="single" w:sz="6" w:space="0" w:color="auto"/>
              <w:right w:val="single" w:sz="6" w:space="0" w:color="auto"/>
            </w:tcBorders>
            <w:vAlign w:val="center"/>
            <w:hideMark/>
          </w:tcPr>
          <w:p w14:paraId="35B7AE23"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=18 </w:t>
            </w:r>
          </w:p>
        </w:tc>
        <w:tc>
          <w:tcPr>
            <w:tcW w:w="4245" w:type="dxa"/>
            <w:tcBorders>
              <w:top w:val="nil"/>
              <w:left w:val="nil"/>
              <w:bottom w:val="single" w:sz="6" w:space="0" w:color="auto"/>
              <w:right w:val="single" w:sz="6" w:space="0" w:color="auto"/>
            </w:tcBorders>
            <w:vAlign w:val="bottom"/>
            <w:hideMark/>
          </w:tcPr>
          <w:p w14:paraId="3BEF63E1"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Birmingham </w:t>
            </w:r>
          </w:p>
        </w:tc>
        <w:tc>
          <w:tcPr>
            <w:tcW w:w="1575" w:type="dxa"/>
            <w:tcBorders>
              <w:top w:val="nil"/>
              <w:left w:val="nil"/>
              <w:bottom w:val="single" w:sz="6" w:space="0" w:color="auto"/>
              <w:right w:val="single" w:sz="6" w:space="0" w:color="auto"/>
            </w:tcBorders>
            <w:vAlign w:val="bottom"/>
            <w:hideMark/>
          </w:tcPr>
          <w:p w14:paraId="69D776BE"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413149D9"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54D99B19"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22 </w:t>
            </w:r>
          </w:p>
        </w:tc>
        <w:tc>
          <w:tcPr>
            <w:tcW w:w="990" w:type="dxa"/>
            <w:tcBorders>
              <w:top w:val="nil"/>
              <w:left w:val="nil"/>
              <w:bottom w:val="single" w:sz="6" w:space="0" w:color="auto"/>
              <w:right w:val="single" w:sz="6" w:space="0" w:color="auto"/>
            </w:tcBorders>
            <w:vAlign w:val="center"/>
            <w:hideMark/>
          </w:tcPr>
          <w:p w14:paraId="3B1FF63C"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=18 </w:t>
            </w:r>
          </w:p>
        </w:tc>
        <w:tc>
          <w:tcPr>
            <w:tcW w:w="4245" w:type="dxa"/>
            <w:tcBorders>
              <w:top w:val="nil"/>
              <w:left w:val="nil"/>
              <w:bottom w:val="single" w:sz="6" w:space="0" w:color="auto"/>
              <w:right w:val="single" w:sz="6" w:space="0" w:color="auto"/>
            </w:tcBorders>
            <w:vAlign w:val="bottom"/>
            <w:hideMark/>
          </w:tcPr>
          <w:p w14:paraId="3BB7E24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Heidelberg </w:t>
            </w:r>
          </w:p>
        </w:tc>
        <w:tc>
          <w:tcPr>
            <w:tcW w:w="1575" w:type="dxa"/>
            <w:tcBorders>
              <w:top w:val="nil"/>
              <w:left w:val="nil"/>
              <w:bottom w:val="single" w:sz="6" w:space="0" w:color="auto"/>
              <w:right w:val="single" w:sz="6" w:space="0" w:color="auto"/>
            </w:tcBorders>
            <w:vAlign w:val="bottom"/>
            <w:hideMark/>
          </w:tcPr>
          <w:p w14:paraId="1870F9F1"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Deutschland </w:t>
            </w:r>
          </w:p>
        </w:tc>
      </w:tr>
      <w:tr w:rsidR="005E7D84" w:rsidRPr="005E7D84" w14:paraId="0D4DD6E3"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1AEAE59F"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23 </w:t>
            </w:r>
          </w:p>
        </w:tc>
        <w:tc>
          <w:tcPr>
            <w:tcW w:w="990" w:type="dxa"/>
            <w:tcBorders>
              <w:top w:val="nil"/>
              <w:left w:val="nil"/>
              <w:bottom w:val="single" w:sz="6" w:space="0" w:color="auto"/>
              <w:right w:val="single" w:sz="6" w:space="0" w:color="auto"/>
            </w:tcBorders>
            <w:vAlign w:val="center"/>
            <w:hideMark/>
          </w:tcPr>
          <w:p w14:paraId="4077CBCB"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20 </w:t>
            </w:r>
          </w:p>
        </w:tc>
        <w:tc>
          <w:tcPr>
            <w:tcW w:w="4245" w:type="dxa"/>
            <w:tcBorders>
              <w:top w:val="nil"/>
              <w:left w:val="nil"/>
              <w:bottom w:val="single" w:sz="6" w:space="0" w:color="auto"/>
              <w:right w:val="single" w:sz="6" w:space="0" w:color="auto"/>
            </w:tcBorders>
            <w:vAlign w:val="bottom"/>
            <w:hideMark/>
          </w:tcPr>
          <w:p w14:paraId="6B26333B"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Leeds </w:t>
            </w:r>
          </w:p>
        </w:tc>
        <w:tc>
          <w:tcPr>
            <w:tcW w:w="1575" w:type="dxa"/>
            <w:tcBorders>
              <w:top w:val="nil"/>
              <w:left w:val="nil"/>
              <w:bottom w:val="single" w:sz="6" w:space="0" w:color="auto"/>
              <w:right w:val="single" w:sz="6" w:space="0" w:color="auto"/>
            </w:tcBorders>
            <w:vAlign w:val="bottom"/>
            <w:hideMark/>
          </w:tcPr>
          <w:p w14:paraId="338841B7"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54D8FBB5"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7E3967ED"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24 </w:t>
            </w:r>
          </w:p>
        </w:tc>
        <w:tc>
          <w:tcPr>
            <w:tcW w:w="990" w:type="dxa"/>
            <w:tcBorders>
              <w:top w:val="nil"/>
              <w:left w:val="nil"/>
              <w:bottom w:val="single" w:sz="6" w:space="0" w:color="auto"/>
              <w:right w:val="single" w:sz="6" w:space="0" w:color="auto"/>
            </w:tcBorders>
            <w:vAlign w:val="center"/>
            <w:hideMark/>
          </w:tcPr>
          <w:p w14:paraId="7B54E867"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17 </w:t>
            </w:r>
          </w:p>
        </w:tc>
        <w:tc>
          <w:tcPr>
            <w:tcW w:w="4245" w:type="dxa"/>
            <w:tcBorders>
              <w:top w:val="nil"/>
              <w:left w:val="nil"/>
              <w:bottom w:val="single" w:sz="6" w:space="0" w:color="auto"/>
              <w:right w:val="single" w:sz="6" w:space="0" w:color="auto"/>
            </w:tcBorders>
            <w:vAlign w:val="center"/>
            <w:hideMark/>
          </w:tcPr>
          <w:p w14:paraId="4A581B56"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Amsterdam </w:t>
            </w:r>
          </w:p>
        </w:tc>
        <w:tc>
          <w:tcPr>
            <w:tcW w:w="1575" w:type="dxa"/>
            <w:tcBorders>
              <w:top w:val="nil"/>
              <w:left w:val="nil"/>
              <w:bottom w:val="single" w:sz="6" w:space="0" w:color="auto"/>
              <w:right w:val="single" w:sz="6" w:space="0" w:color="auto"/>
            </w:tcBorders>
            <w:vAlign w:val="center"/>
            <w:hideMark/>
          </w:tcPr>
          <w:p w14:paraId="311D8736"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Niederlande </w:t>
            </w:r>
          </w:p>
        </w:tc>
      </w:tr>
      <w:tr w:rsidR="005E7D84" w:rsidRPr="005E7D84" w14:paraId="34ABF1C8"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233D2779"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=25 </w:t>
            </w:r>
          </w:p>
        </w:tc>
        <w:tc>
          <w:tcPr>
            <w:tcW w:w="990" w:type="dxa"/>
            <w:tcBorders>
              <w:top w:val="nil"/>
              <w:left w:val="nil"/>
              <w:bottom w:val="single" w:sz="6" w:space="0" w:color="auto"/>
              <w:right w:val="single" w:sz="6" w:space="0" w:color="auto"/>
            </w:tcBorders>
            <w:vAlign w:val="center"/>
            <w:hideMark/>
          </w:tcPr>
          <w:p w14:paraId="7C2002D4"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=27 </w:t>
            </w:r>
          </w:p>
        </w:tc>
        <w:tc>
          <w:tcPr>
            <w:tcW w:w="4245" w:type="dxa"/>
            <w:tcBorders>
              <w:top w:val="nil"/>
              <w:left w:val="nil"/>
              <w:bottom w:val="single" w:sz="6" w:space="0" w:color="auto"/>
              <w:right w:val="single" w:sz="6" w:space="0" w:color="auto"/>
            </w:tcBorders>
            <w:vAlign w:val="bottom"/>
            <w:hideMark/>
          </w:tcPr>
          <w:p w14:paraId="31E513AE"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Königliche Technische Hochschule </w:t>
            </w:r>
          </w:p>
        </w:tc>
        <w:tc>
          <w:tcPr>
            <w:tcW w:w="1575" w:type="dxa"/>
            <w:tcBorders>
              <w:top w:val="nil"/>
              <w:left w:val="nil"/>
              <w:bottom w:val="single" w:sz="6" w:space="0" w:color="auto"/>
              <w:right w:val="single" w:sz="6" w:space="0" w:color="auto"/>
            </w:tcBorders>
            <w:vAlign w:val="bottom"/>
            <w:hideMark/>
          </w:tcPr>
          <w:p w14:paraId="3C30BC13"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Schweden </w:t>
            </w:r>
          </w:p>
        </w:tc>
      </w:tr>
      <w:tr w:rsidR="005E7D84" w:rsidRPr="005E7D84" w14:paraId="118FD7F9"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43674712"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=25 </w:t>
            </w:r>
          </w:p>
        </w:tc>
        <w:tc>
          <w:tcPr>
            <w:tcW w:w="990" w:type="dxa"/>
            <w:tcBorders>
              <w:top w:val="nil"/>
              <w:left w:val="nil"/>
              <w:bottom w:val="single" w:sz="6" w:space="0" w:color="auto"/>
              <w:right w:val="single" w:sz="6" w:space="0" w:color="auto"/>
            </w:tcBorders>
            <w:vAlign w:val="center"/>
            <w:hideMark/>
          </w:tcPr>
          <w:p w14:paraId="6C1E46F7"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24 </w:t>
            </w:r>
          </w:p>
        </w:tc>
        <w:tc>
          <w:tcPr>
            <w:tcW w:w="4245" w:type="dxa"/>
            <w:tcBorders>
              <w:top w:val="nil"/>
              <w:left w:val="nil"/>
              <w:bottom w:val="single" w:sz="6" w:space="0" w:color="auto"/>
              <w:right w:val="single" w:sz="6" w:space="0" w:color="auto"/>
            </w:tcBorders>
            <w:vAlign w:val="bottom"/>
            <w:hideMark/>
          </w:tcPr>
          <w:p w14:paraId="604C2F0D"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Nottingham </w:t>
            </w:r>
          </w:p>
        </w:tc>
        <w:tc>
          <w:tcPr>
            <w:tcW w:w="1575" w:type="dxa"/>
            <w:tcBorders>
              <w:top w:val="nil"/>
              <w:left w:val="nil"/>
              <w:bottom w:val="single" w:sz="6" w:space="0" w:color="auto"/>
              <w:right w:val="single" w:sz="6" w:space="0" w:color="auto"/>
            </w:tcBorders>
            <w:vAlign w:val="bottom"/>
            <w:hideMark/>
          </w:tcPr>
          <w:p w14:paraId="65B5FBF5"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4A0DF613"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565D297F"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27 </w:t>
            </w:r>
          </w:p>
        </w:tc>
        <w:tc>
          <w:tcPr>
            <w:tcW w:w="990" w:type="dxa"/>
            <w:tcBorders>
              <w:top w:val="nil"/>
              <w:left w:val="nil"/>
              <w:bottom w:val="single" w:sz="6" w:space="0" w:color="auto"/>
              <w:right w:val="single" w:sz="6" w:space="0" w:color="auto"/>
            </w:tcBorders>
            <w:vAlign w:val="center"/>
            <w:hideMark/>
          </w:tcPr>
          <w:p w14:paraId="4F0DD643"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30 </w:t>
            </w:r>
          </w:p>
        </w:tc>
        <w:tc>
          <w:tcPr>
            <w:tcW w:w="4245" w:type="dxa"/>
            <w:tcBorders>
              <w:top w:val="nil"/>
              <w:left w:val="nil"/>
              <w:bottom w:val="single" w:sz="6" w:space="0" w:color="auto"/>
              <w:right w:val="single" w:sz="6" w:space="0" w:color="auto"/>
            </w:tcBorders>
            <w:vAlign w:val="bottom"/>
            <w:hideMark/>
          </w:tcPr>
          <w:p w14:paraId="4A2EBADC"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Paris-Saclay </w:t>
            </w:r>
          </w:p>
        </w:tc>
        <w:tc>
          <w:tcPr>
            <w:tcW w:w="1575" w:type="dxa"/>
            <w:tcBorders>
              <w:top w:val="nil"/>
              <w:left w:val="nil"/>
              <w:bottom w:val="single" w:sz="6" w:space="0" w:color="auto"/>
              <w:right w:val="single" w:sz="6" w:space="0" w:color="auto"/>
            </w:tcBorders>
            <w:vAlign w:val="bottom"/>
            <w:hideMark/>
          </w:tcPr>
          <w:p w14:paraId="7DC357D8"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Frankreich </w:t>
            </w:r>
          </w:p>
        </w:tc>
      </w:tr>
      <w:tr w:rsidR="005E7D84" w:rsidRPr="005E7D84" w14:paraId="3CEA6589"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14A61371"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28 </w:t>
            </w:r>
          </w:p>
        </w:tc>
        <w:tc>
          <w:tcPr>
            <w:tcW w:w="990" w:type="dxa"/>
            <w:tcBorders>
              <w:top w:val="nil"/>
              <w:left w:val="nil"/>
              <w:bottom w:val="single" w:sz="6" w:space="0" w:color="auto"/>
              <w:right w:val="single" w:sz="6" w:space="0" w:color="auto"/>
            </w:tcBorders>
            <w:vAlign w:val="center"/>
            <w:hideMark/>
          </w:tcPr>
          <w:p w14:paraId="4244960A"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29 </w:t>
            </w:r>
          </w:p>
        </w:tc>
        <w:tc>
          <w:tcPr>
            <w:tcW w:w="4245" w:type="dxa"/>
            <w:tcBorders>
              <w:top w:val="nil"/>
              <w:left w:val="nil"/>
              <w:bottom w:val="single" w:sz="6" w:space="0" w:color="auto"/>
              <w:right w:val="single" w:sz="6" w:space="0" w:color="auto"/>
            </w:tcBorders>
            <w:vAlign w:val="bottom"/>
            <w:hideMark/>
          </w:tcPr>
          <w:p w14:paraId="25D5469D"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Sheffield </w:t>
            </w:r>
          </w:p>
        </w:tc>
        <w:tc>
          <w:tcPr>
            <w:tcW w:w="1575" w:type="dxa"/>
            <w:tcBorders>
              <w:top w:val="nil"/>
              <w:left w:val="nil"/>
              <w:bottom w:val="single" w:sz="6" w:space="0" w:color="auto"/>
              <w:right w:val="single" w:sz="6" w:space="0" w:color="auto"/>
            </w:tcBorders>
            <w:vAlign w:val="bottom"/>
            <w:hideMark/>
          </w:tcPr>
          <w:p w14:paraId="0202B51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47D42E84"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0746105E"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29 </w:t>
            </w:r>
          </w:p>
        </w:tc>
        <w:tc>
          <w:tcPr>
            <w:tcW w:w="990" w:type="dxa"/>
            <w:tcBorders>
              <w:top w:val="nil"/>
              <w:left w:val="nil"/>
              <w:bottom w:val="single" w:sz="6" w:space="0" w:color="auto"/>
              <w:right w:val="single" w:sz="6" w:space="0" w:color="auto"/>
            </w:tcBorders>
            <w:vAlign w:val="center"/>
            <w:hideMark/>
          </w:tcPr>
          <w:p w14:paraId="25EE973A"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26 </w:t>
            </w:r>
          </w:p>
        </w:tc>
        <w:tc>
          <w:tcPr>
            <w:tcW w:w="4245" w:type="dxa"/>
            <w:tcBorders>
              <w:top w:val="nil"/>
              <w:left w:val="nil"/>
              <w:bottom w:val="single" w:sz="6" w:space="0" w:color="auto"/>
              <w:right w:val="single" w:sz="6" w:space="0" w:color="auto"/>
            </w:tcBorders>
            <w:vAlign w:val="bottom"/>
            <w:hideMark/>
          </w:tcPr>
          <w:p w14:paraId="3B290F00"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Trinity College Dublin, Universität Dublin </w:t>
            </w:r>
          </w:p>
        </w:tc>
        <w:tc>
          <w:tcPr>
            <w:tcW w:w="1575" w:type="dxa"/>
            <w:tcBorders>
              <w:top w:val="nil"/>
              <w:left w:val="nil"/>
              <w:bottom w:val="single" w:sz="6" w:space="0" w:color="auto"/>
              <w:right w:val="single" w:sz="6" w:space="0" w:color="auto"/>
            </w:tcBorders>
            <w:vAlign w:val="bottom"/>
            <w:hideMark/>
          </w:tcPr>
          <w:p w14:paraId="3131353D"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Irland </w:t>
            </w:r>
          </w:p>
        </w:tc>
      </w:tr>
      <w:tr w:rsidR="005E7D84" w:rsidRPr="005E7D84" w14:paraId="17E80D45"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3209512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30 </w:t>
            </w:r>
          </w:p>
        </w:tc>
        <w:tc>
          <w:tcPr>
            <w:tcW w:w="990" w:type="dxa"/>
            <w:tcBorders>
              <w:top w:val="nil"/>
              <w:left w:val="nil"/>
              <w:bottom w:val="single" w:sz="6" w:space="0" w:color="auto"/>
              <w:right w:val="single" w:sz="6" w:space="0" w:color="auto"/>
            </w:tcBorders>
            <w:vAlign w:val="center"/>
            <w:hideMark/>
          </w:tcPr>
          <w:p w14:paraId="2A7A03EE"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=27 </w:t>
            </w:r>
          </w:p>
        </w:tc>
        <w:tc>
          <w:tcPr>
            <w:tcW w:w="4245" w:type="dxa"/>
            <w:tcBorders>
              <w:top w:val="nil"/>
              <w:left w:val="nil"/>
              <w:bottom w:val="single" w:sz="6" w:space="0" w:color="auto"/>
              <w:right w:val="single" w:sz="6" w:space="0" w:color="auto"/>
            </w:tcBorders>
            <w:vAlign w:val="bottom"/>
            <w:hideMark/>
          </w:tcPr>
          <w:p w14:paraId="57BBA885"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KU Leuven </w:t>
            </w:r>
          </w:p>
        </w:tc>
        <w:tc>
          <w:tcPr>
            <w:tcW w:w="1575" w:type="dxa"/>
            <w:tcBorders>
              <w:top w:val="nil"/>
              <w:left w:val="nil"/>
              <w:bottom w:val="single" w:sz="6" w:space="0" w:color="auto"/>
              <w:right w:val="single" w:sz="6" w:space="0" w:color="auto"/>
            </w:tcBorders>
            <w:vAlign w:val="bottom"/>
            <w:hideMark/>
          </w:tcPr>
          <w:p w14:paraId="553CC896"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Belgien </w:t>
            </w:r>
          </w:p>
        </w:tc>
      </w:tr>
      <w:tr w:rsidR="005E7D84" w:rsidRPr="005E7D84" w14:paraId="7AFA5F74"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3C51BD53"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31 </w:t>
            </w:r>
          </w:p>
        </w:tc>
        <w:tc>
          <w:tcPr>
            <w:tcW w:w="990" w:type="dxa"/>
            <w:tcBorders>
              <w:top w:val="nil"/>
              <w:left w:val="nil"/>
              <w:bottom w:val="single" w:sz="6" w:space="0" w:color="auto"/>
              <w:right w:val="single" w:sz="6" w:space="0" w:color="auto"/>
            </w:tcBorders>
            <w:vAlign w:val="center"/>
            <w:hideMark/>
          </w:tcPr>
          <w:p w14:paraId="26D8E7E7"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31 </w:t>
            </w:r>
          </w:p>
        </w:tc>
        <w:tc>
          <w:tcPr>
            <w:tcW w:w="4245" w:type="dxa"/>
            <w:tcBorders>
              <w:top w:val="nil"/>
              <w:left w:val="nil"/>
              <w:bottom w:val="single" w:sz="6" w:space="0" w:color="auto"/>
              <w:right w:val="single" w:sz="6" w:space="0" w:color="auto"/>
            </w:tcBorders>
            <w:vAlign w:val="bottom"/>
            <w:hideMark/>
          </w:tcPr>
          <w:p w14:paraId="025DA47D"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Sorbonne Universität </w:t>
            </w:r>
          </w:p>
        </w:tc>
        <w:tc>
          <w:tcPr>
            <w:tcW w:w="1575" w:type="dxa"/>
            <w:tcBorders>
              <w:top w:val="nil"/>
              <w:left w:val="nil"/>
              <w:bottom w:val="single" w:sz="6" w:space="0" w:color="auto"/>
              <w:right w:val="single" w:sz="6" w:space="0" w:color="auto"/>
            </w:tcBorders>
            <w:vAlign w:val="bottom"/>
            <w:hideMark/>
          </w:tcPr>
          <w:p w14:paraId="5D7C0C8D"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Frankreich </w:t>
            </w:r>
          </w:p>
        </w:tc>
      </w:tr>
      <w:tr w:rsidR="005E7D84" w:rsidRPr="005E7D84" w14:paraId="45F614F6"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722CDB0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32 </w:t>
            </w:r>
          </w:p>
        </w:tc>
        <w:tc>
          <w:tcPr>
            <w:tcW w:w="990" w:type="dxa"/>
            <w:tcBorders>
              <w:top w:val="nil"/>
              <w:left w:val="nil"/>
              <w:bottom w:val="single" w:sz="6" w:space="0" w:color="auto"/>
              <w:right w:val="single" w:sz="6" w:space="0" w:color="auto"/>
            </w:tcBorders>
            <w:vAlign w:val="center"/>
            <w:hideMark/>
          </w:tcPr>
          <w:p w14:paraId="3DDA849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32 </w:t>
            </w:r>
          </w:p>
        </w:tc>
        <w:tc>
          <w:tcPr>
            <w:tcW w:w="4245" w:type="dxa"/>
            <w:tcBorders>
              <w:top w:val="nil"/>
              <w:left w:val="nil"/>
              <w:bottom w:val="single" w:sz="6" w:space="0" w:color="auto"/>
              <w:right w:val="single" w:sz="6" w:space="0" w:color="auto"/>
            </w:tcBorders>
            <w:vAlign w:val="bottom"/>
            <w:hideMark/>
          </w:tcPr>
          <w:p w14:paraId="72E88418"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Durham </w:t>
            </w:r>
          </w:p>
        </w:tc>
        <w:tc>
          <w:tcPr>
            <w:tcW w:w="1575" w:type="dxa"/>
            <w:tcBorders>
              <w:top w:val="nil"/>
              <w:left w:val="nil"/>
              <w:bottom w:val="single" w:sz="6" w:space="0" w:color="auto"/>
              <w:right w:val="single" w:sz="6" w:space="0" w:color="auto"/>
            </w:tcBorders>
            <w:vAlign w:val="bottom"/>
            <w:hideMark/>
          </w:tcPr>
          <w:p w14:paraId="5D2094B7"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6359402F"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0C8EEB1A"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33 </w:t>
            </w:r>
          </w:p>
        </w:tc>
        <w:tc>
          <w:tcPr>
            <w:tcW w:w="990" w:type="dxa"/>
            <w:tcBorders>
              <w:top w:val="nil"/>
              <w:left w:val="nil"/>
              <w:bottom w:val="single" w:sz="6" w:space="0" w:color="auto"/>
              <w:right w:val="single" w:sz="6" w:space="0" w:color="auto"/>
            </w:tcBorders>
            <w:vAlign w:val="center"/>
            <w:hideMark/>
          </w:tcPr>
          <w:p w14:paraId="61DDEDBB"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36 </w:t>
            </w:r>
          </w:p>
        </w:tc>
        <w:tc>
          <w:tcPr>
            <w:tcW w:w="4245" w:type="dxa"/>
            <w:tcBorders>
              <w:top w:val="nil"/>
              <w:left w:val="nil"/>
              <w:bottom w:val="single" w:sz="6" w:space="0" w:color="auto"/>
              <w:right w:val="single" w:sz="6" w:space="0" w:color="auto"/>
            </w:tcBorders>
            <w:vAlign w:val="bottom"/>
            <w:hideMark/>
          </w:tcPr>
          <w:p w14:paraId="0CD1300B"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Zürich </w:t>
            </w:r>
          </w:p>
        </w:tc>
        <w:tc>
          <w:tcPr>
            <w:tcW w:w="1575" w:type="dxa"/>
            <w:tcBorders>
              <w:top w:val="nil"/>
              <w:left w:val="nil"/>
              <w:bottom w:val="single" w:sz="6" w:space="0" w:color="auto"/>
              <w:right w:val="single" w:sz="6" w:space="0" w:color="auto"/>
            </w:tcBorders>
            <w:vAlign w:val="bottom"/>
            <w:hideMark/>
          </w:tcPr>
          <w:p w14:paraId="502CD7A2"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Schweiz </w:t>
            </w:r>
          </w:p>
        </w:tc>
      </w:tr>
      <w:tr w:rsidR="005E7D84" w:rsidRPr="005E7D84" w14:paraId="4B280600"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72003F36"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34 </w:t>
            </w:r>
          </w:p>
        </w:tc>
        <w:tc>
          <w:tcPr>
            <w:tcW w:w="990" w:type="dxa"/>
            <w:tcBorders>
              <w:top w:val="nil"/>
              <w:left w:val="nil"/>
              <w:bottom w:val="single" w:sz="6" w:space="0" w:color="auto"/>
              <w:right w:val="single" w:sz="6" w:space="0" w:color="auto"/>
            </w:tcBorders>
            <w:vAlign w:val="center"/>
            <w:hideMark/>
          </w:tcPr>
          <w:p w14:paraId="0E85E94A"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34 </w:t>
            </w:r>
          </w:p>
        </w:tc>
        <w:tc>
          <w:tcPr>
            <w:tcW w:w="4245" w:type="dxa"/>
            <w:tcBorders>
              <w:top w:val="nil"/>
              <w:left w:val="nil"/>
              <w:bottom w:val="single" w:sz="6" w:space="0" w:color="auto"/>
              <w:right w:val="single" w:sz="6" w:space="0" w:color="auto"/>
            </w:tcBorders>
            <w:vAlign w:val="bottom"/>
            <w:hideMark/>
          </w:tcPr>
          <w:p w14:paraId="17879B37"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Southampton </w:t>
            </w:r>
          </w:p>
        </w:tc>
        <w:tc>
          <w:tcPr>
            <w:tcW w:w="1575" w:type="dxa"/>
            <w:tcBorders>
              <w:top w:val="nil"/>
              <w:left w:val="nil"/>
              <w:bottom w:val="single" w:sz="6" w:space="0" w:color="auto"/>
              <w:right w:val="single" w:sz="6" w:space="0" w:color="auto"/>
            </w:tcBorders>
            <w:vAlign w:val="bottom"/>
            <w:hideMark/>
          </w:tcPr>
          <w:p w14:paraId="485A4C25"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Vereinigtes Königreich </w:t>
            </w:r>
          </w:p>
        </w:tc>
      </w:tr>
      <w:tr w:rsidR="005E7D84" w:rsidRPr="005E7D84" w14:paraId="5848F202"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597B10AE"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35 </w:t>
            </w:r>
          </w:p>
        </w:tc>
        <w:tc>
          <w:tcPr>
            <w:tcW w:w="990" w:type="dxa"/>
            <w:tcBorders>
              <w:top w:val="nil"/>
              <w:left w:val="nil"/>
              <w:bottom w:val="single" w:sz="6" w:space="0" w:color="auto"/>
              <w:right w:val="single" w:sz="6" w:space="0" w:color="auto"/>
            </w:tcBorders>
            <w:vAlign w:val="center"/>
            <w:hideMark/>
          </w:tcPr>
          <w:p w14:paraId="613BC584"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41 </w:t>
            </w:r>
          </w:p>
        </w:tc>
        <w:tc>
          <w:tcPr>
            <w:tcW w:w="4245" w:type="dxa"/>
            <w:tcBorders>
              <w:top w:val="nil"/>
              <w:left w:val="nil"/>
              <w:bottom w:val="single" w:sz="6" w:space="0" w:color="auto"/>
              <w:right w:val="single" w:sz="6" w:space="0" w:color="auto"/>
            </w:tcBorders>
            <w:vAlign w:val="bottom"/>
            <w:hideMark/>
          </w:tcPr>
          <w:p w14:paraId="431652B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Aalto-Universität </w:t>
            </w:r>
          </w:p>
        </w:tc>
        <w:tc>
          <w:tcPr>
            <w:tcW w:w="1575" w:type="dxa"/>
            <w:tcBorders>
              <w:top w:val="nil"/>
              <w:left w:val="nil"/>
              <w:bottom w:val="single" w:sz="6" w:space="0" w:color="auto"/>
              <w:right w:val="single" w:sz="6" w:space="0" w:color="auto"/>
            </w:tcBorders>
            <w:vAlign w:val="bottom"/>
            <w:hideMark/>
          </w:tcPr>
          <w:p w14:paraId="4A707BC4"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Finnland </w:t>
            </w:r>
          </w:p>
        </w:tc>
      </w:tr>
      <w:tr w:rsidR="005E7D84" w:rsidRPr="005E7D84" w14:paraId="6A31FF94"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01790E79"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36 </w:t>
            </w:r>
          </w:p>
        </w:tc>
        <w:tc>
          <w:tcPr>
            <w:tcW w:w="990" w:type="dxa"/>
            <w:tcBorders>
              <w:top w:val="nil"/>
              <w:left w:val="nil"/>
              <w:bottom w:val="single" w:sz="6" w:space="0" w:color="auto"/>
              <w:right w:val="single" w:sz="6" w:space="0" w:color="auto"/>
            </w:tcBorders>
            <w:vAlign w:val="center"/>
            <w:hideMark/>
          </w:tcPr>
          <w:p w14:paraId="1C2CDFF9"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51 </w:t>
            </w:r>
          </w:p>
        </w:tc>
        <w:tc>
          <w:tcPr>
            <w:tcW w:w="4245" w:type="dxa"/>
            <w:tcBorders>
              <w:top w:val="nil"/>
              <w:left w:val="nil"/>
              <w:bottom w:val="single" w:sz="6" w:space="0" w:color="auto"/>
              <w:right w:val="single" w:sz="6" w:space="0" w:color="auto"/>
            </w:tcBorders>
            <w:vAlign w:val="bottom"/>
            <w:hideMark/>
          </w:tcPr>
          <w:p w14:paraId="09A61C43"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University College Dublin </w:t>
            </w:r>
          </w:p>
        </w:tc>
        <w:tc>
          <w:tcPr>
            <w:tcW w:w="1575" w:type="dxa"/>
            <w:tcBorders>
              <w:top w:val="nil"/>
              <w:left w:val="nil"/>
              <w:bottom w:val="single" w:sz="6" w:space="0" w:color="auto"/>
              <w:right w:val="single" w:sz="6" w:space="0" w:color="auto"/>
            </w:tcBorders>
            <w:vAlign w:val="bottom"/>
            <w:hideMark/>
          </w:tcPr>
          <w:p w14:paraId="4496D9E5"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Irland </w:t>
            </w:r>
          </w:p>
        </w:tc>
      </w:tr>
      <w:tr w:rsidR="005E7D84" w:rsidRPr="005E7D84" w14:paraId="2C67081A"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1B26C55B"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37 </w:t>
            </w:r>
          </w:p>
        </w:tc>
        <w:tc>
          <w:tcPr>
            <w:tcW w:w="990" w:type="dxa"/>
            <w:tcBorders>
              <w:top w:val="nil"/>
              <w:left w:val="nil"/>
              <w:bottom w:val="single" w:sz="6" w:space="0" w:color="auto"/>
              <w:right w:val="single" w:sz="6" w:space="0" w:color="auto"/>
            </w:tcBorders>
            <w:vAlign w:val="center"/>
            <w:hideMark/>
          </w:tcPr>
          <w:p w14:paraId="396DFFD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35 </w:t>
            </w:r>
          </w:p>
        </w:tc>
        <w:tc>
          <w:tcPr>
            <w:tcW w:w="4245" w:type="dxa"/>
            <w:tcBorders>
              <w:top w:val="nil"/>
              <w:left w:val="nil"/>
              <w:bottom w:val="single" w:sz="6" w:space="0" w:color="auto"/>
              <w:right w:val="single" w:sz="6" w:space="0" w:color="auto"/>
            </w:tcBorders>
            <w:vAlign w:val="bottom"/>
            <w:hideMark/>
          </w:tcPr>
          <w:p w14:paraId="0E648105"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Newcastle University </w:t>
            </w:r>
          </w:p>
        </w:tc>
        <w:tc>
          <w:tcPr>
            <w:tcW w:w="1575" w:type="dxa"/>
            <w:tcBorders>
              <w:top w:val="nil"/>
              <w:left w:val="nil"/>
              <w:bottom w:val="single" w:sz="6" w:space="0" w:color="auto"/>
              <w:right w:val="single" w:sz="6" w:space="0" w:color="auto"/>
            </w:tcBorders>
            <w:vAlign w:val="bottom"/>
            <w:hideMark/>
          </w:tcPr>
          <w:p w14:paraId="40B64AF9"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42D2F305"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07AE9887"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38 </w:t>
            </w:r>
          </w:p>
        </w:tc>
        <w:tc>
          <w:tcPr>
            <w:tcW w:w="990" w:type="dxa"/>
            <w:tcBorders>
              <w:top w:val="nil"/>
              <w:left w:val="nil"/>
              <w:bottom w:val="single" w:sz="6" w:space="0" w:color="auto"/>
              <w:right w:val="single" w:sz="6" w:space="0" w:color="auto"/>
            </w:tcBorders>
            <w:vAlign w:val="center"/>
            <w:hideMark/>
          </w:tcPr>
          <w:p w14:paraId="501E26AB"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43 </w:t>
            </w:r>
          </w:p>
        </w:tc>
        <w:tc>
          <w:tcPr>
            <w:tcW w:w="4245" w:type="dxa"/>
            <w:tcBorders>
              <w:top w:val="nil"/>
              <w:left w:val="nil"/>
              <w:bottom w:val="single" w:sz="6" w:space="0" w:color="auto"/>
              <w:right w:val="single" w:sz="6" w:space="0" w:color="auto"/>
            </w:tcBorders>
            <w:vAlign w:val="bottom"/>
            <w:hideMark/>
          </w:tcPr>
          <w:p w14:paraId="32B8D015"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Freie Universität Berlin </w:t>
            </w:r>
          </w:p>
        </w:tc>
        <w:tc>
          <w:tcPr>
            <w:tcW w:w="1575" w:type="dxa"/>
            <w:tcBorders>
              <w:top w:val="nil"/>
              <w:left w:val="nil"/>
              <w:bottom w:val="single" w:sz="6" w:space="0" w:color="auto"/>
              <w:right w:val="single" w:sz="6" w:space="0" w:color="auto"/>
            </w:tcBorders>
            <w:vAlign w:val="bottom"/>
            <w:hideMark/>
          </w:tcPr>
          <w:p w14:paraId="7713849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Deutschland </w:t>
            </w:r>
          </w:p>
        </w:tc>
      </w:tr>
      <w:tr w:rsidR="005E7D84" w:rsidRPr="005E7D84" w14:paraId="4E9CB559"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31C1D006"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39 </w:t>
            </w:r>
          </w:p>
        </w:tc>
        <w:tc>
          <w:tcPr>
            <w:tcW w:w="990" w:type="dxa"/>
            <w:tcBorders>
              <w:top w:val="nil"/>
              <w:left w:val="nil"/>
              <w:bottom w:val="single" w:sz="6" w:space="0" w:color="auto"/>
              <w:right w:val="single" w:sz="6" w:space="0" w:color="auto"/>
            </w:tcBorders>
            <w:vAlign w:val="center"/>
            <w:hideMark/>
          </w:tcPr>
          <w:p w14:paraId="73563B69"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42 </w:t>
            </w:r>
          </w:p>
        </w:tc>
        <w:tc>
          <w:tcPr>
            <w:tcW w:w="4245" w:type="dxa"/>
            <w:tcBorders>
              <w:top w:val="nil"/>
              <w:left w:val="nil"/>
              <w:bottom w:val="single" w:sz="6" w:space="0" w:color="auto"/>
              <w:right w:val="single" w:sz="6" w:space="0" w:color="auto"/>
            </w:tcBorders>
            <w:vAlign w:val="bottom"/>
            <w:hideMark/>
          </w:tcPr>
          <w:p w14:paraId="74C451F0"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Wien </w:t>
            </w:r>
          </w:p>
        </w:tc>
        <w:tc>
          <w:tcPr>
            <w:tcW w:w="1575" w:type="dxa"/>
            <w:tcBorders>
              <w:top w:val="nil"/>
              <w:left w:val="nil"/>
              <w:bottom w:val="single" w:sz="6" w:space="0" w:color="auto"/>
              <w:right w:val="single" w:sz="6" w:space="0" w:color="auto"/>
            </w:tcBorders>
            <w:vAlign w:val="bottom"/>
            <w:hideMark/>
          </w:tcPr>
          <w:p w14:paraId="2A886BCF"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Österreich </w:t>
            </w:r>
          </w:p>
        </w:tc>
      </w:tr>
      <w:tr w:rsidR="005E7D84" w:rsidRPr="005E7D84" w14:paraId="24A0F583"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6CE5E64E"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=40 </w:t>
            </w:r>
          </w:p>
        </w:tc>
        <w:tc>
          <w:tcPr>
            <w:tcW w:w="990" w:type="dxa"/>
            <w:tcBorders>
              <w:top w:val="nil"/>
              <w:left w:val="nil"/>
              <w:bottom w:val="single" w:sz="6" w:space="0" w:color="auto"/>
              <w:right w:val="single" w:sz="6" w:space="0" w:color="auto"/>
            </w:tcBorders>
            <w:vAlign w:val="center"/>
            <w:hideMark/>
          </w:tcPr>
          <w:p w14:paraId="4AC12968"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=53 </w:t>
            </w:r>
          </w:p>
        </w:tc>
        <w:tc>
          <w:tcPr>
            <w:tcW w:w="4245" w:type="dxa"/>
            <w:tcBorders>
              <w:top w:val="nil"/>
              <w:left w:val="nil"/>
              <w:bottom w:val="single" w:sz="6" w:space="0" w:color="auto"/>
              <w:right w:val="single" w:sz="6" w:space="0" w:color="auto"/>
            </w:tcBorders>
            <w:vAlign w:val="bottom"/>
            <w:hideMark/>
          </w:tcPr>
          <w:p w14:paraId="1422C3EF"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Aarhus </w:t>
            </w:r>
          </w:p>
        </w:tc>
        <w:tc>
          <w:tcPr>
            <w:tcW w:w="1575" w:type="dxa"/>
            <w:tcBorders>
              <w:top w:val="nil"/>
              <w:left w:val="nil"/>
              <w:bottom w:val="single" w:sz="6" w:space="0" w:color="auto"/>
              <w:right w:val="single" w:sz="6" w:space="0" w:color="auto"/>
            </w:tcBorders>
            <w:vAlign w:val="bottom"/>
            <w:hideMark/>
          </w:tcPr>
          <w:p w14:paraId="14C35502"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Dänemark </w:t>
            </w:r>
          </w:p>
        </w:tc>
      </w:tr>
      <w:tr w:rsidR="005E7D84" w:rsidRPr="005E7D84" w14:paraId="317EB02F"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4DF75684"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=40 </w:t>
            </w:r>
          </w:p>
        </w:tc>
        <w:tc>
          <w:tcPr>
            <w:tcW w:w="990" w:type="dxa"/>
            <w:tcBorders>
              <w:top w:val="nil"/>
              <w:left w:val="nil"/>
              <w:bottom w:val="single" w:sz="6" w:space="0" w:color="auto"/>
              <w:right w:val="single" w:sz="6" w:space="0" w:color="auto"/>
            </w:tcBorders>
            <w:vAlign w:val="center"/>
            <w:hideMark/>
          </w:tcPr>
          <w:p w14:paraId="24BEDB13"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47 </w:t>
            </w:r>
          </w:p>
        </w:tc>
        <w:tc>
          <w:tcPr>
            <w:tcW w:w="4245" w:type="dxa"/>
            <w:tcBorders>
              <w:top w:val="nil"/>
              <w:left w:val="nil"/>
              <w:bottom w:val="single" w:sz="6" w:space="0" w:color="auto"/>
              <w:right w:val="single" w:sz="6" w:space="0" w:color="auto"/>
            </w:tcBorders>
            <w:vAlign w:val="bottom"/>
            <w:hideMark/>
          </w:tcPr>
          <w:p w14:paraId="670C1326"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Gent </w:t>
            </w:r>
          </w:p>
        </w:tc>
        <w:tc>
          <w:tcPr>
            <w:tcW w:w="1575" w:type="dxa"/>
            <w:tcBorders>
              <w:top w:val="nil"/>
              <w:left w:val="nil"/>
              <w:bottom w:val="single" w:sz="6" w:space="0" w:color="auto"/>
              <w:right w:val="single" w:sz="6" w:space="0" w:color="auto"/>
            </w:tcBorders>
            <w:vAlign w:val="bottom"/>
            <w:hideMark/>
          </w:tcPr>
          <w:p w14:paraId="554775C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Belgien </w:t>
            </w:r>
          </w:p>
        </w:tc>
      </w:tr>
      <w:tr w:rsidR="005E7D84" w:rsidRPr="005E7D84" w14:paraId="753FDEC9"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6439C0D5"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=40 </w:t>
            </w:r>
          </w:p>
        </w:tc>
        <w:tc>
          <w:tcPr>
            <w:tcW w:w="990" w:type="dxa"/>
            <w:tcBorders>
              <w:top w:val="nil"/>
              <w:left w:val="nil"/>
              <w:bottom w:val="single" w:sz="6" w:space="0" w:color="auto"/>
              <w:right w:val="single" w:sz="6" w:space="0" w:color="auto"/>
            </w:tcBorders>
            <w:vAlign w:val="center"/>
            <w:hideMark/>
          </w:tcPr>
          <w:p w14:paraId="16A78958"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=38 </w:t>
            </w:r>
          </w:p>
        </w:tc>
        <w:tc>
          <w:tcPr>
            <w:tcW w:w="4245" w:type="dxa"/>
            <w:tcBorders>
              <w:top w:val="nil"/>
              <w:left w:val="nil"/>
              <w:bottom w:val="single" w:sz="6" w:space="0" w:color="auto"/>
              <w:right w:val="single" w:sz="6" w:space="0" w:color="auto"/>
            </w:tcBorders>
            <w:vAlign w:val="bottom"/>
            <w:hideMark/>
          </w:tcPr>
          <w:p w14:paraId="7A9F3DD3"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Queen Mary Universität London </w:t>
            </w:r>
          </w:p>
        </w:tc>
        <w:tc>
          <w:tcPr>
            <w:tcW w:w="1575" w:type="dxa"/>
            <w:tcBorders>
              <w:top w:val="nil"/>
              <w:left w:val="nil"/>
              <w:bottom w:val="single" w:sz="6" w:space="0" w:color="auto"/>
              <w:right w:val="single" w:sz="6" w:space="0" w:color="auto"/>
            </w:tcBorders>
            <w:vAlign w:val="bottom"/>
            <w:hideMark/>
          </w:tcPr>
          <w:p w14:paraId="4A13D0D9"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406BA509"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2E52A993"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=40 </w:t>
            </w:r>
          </w:p>
        </w:tc>
        <w:tc>
          <w:tcPr>
            <w:tcW w:w="990" w:type="dxa"/>
            <w:tcBorders>
              <w:top w:val="nil"/>
              <w:left w:val="nil"/>
              <w:bottom w:val="single" w:sz="6" w:space="0" w:color="auto"/>
              <w:right w:val="single" w:sz="6" w:space="0" w:color="auto"/>
            </w:tcBorders>
            <w:vAlign w:val="center"/>
            <w:hideMark/>
          </w:tcPr>
          <w:p w14:paraId="34403D4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=44 </w:t>
            </w:r>
          </w:p>
        </w:tc>
        <w:tc>
          <w:tcPr>
            <w:tcW w:w="4245" w:type="dxa"/>
            <w:tcBorders>
              <w:top w:val="nil"/>
              <w:left w:val="nil"/>
              <w:bottom w:val="single" w:sz="6" w:space="0" w:color="auto"/>
              <w:right w:val="single" w:sz="6" w:space="0" w:color="auto"/>
            </w:tcBorders>
            <w:vAlign w:val="bottom"/>
            <w:hideMark/>
          </w:tcPr>
          <w:p w14:paraId="3D67D6AD"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val="de-DE" w:eastAsia="en-GB"/>
                <w14:ligatures w14:val="none"/>
              </w:rPr>
            </w:pPr>
            <w:r w:rsidRPr="005E7D84">
              <w:rPr>
                <w:rFonts w:ascii="Calibri" w:eastAsia="Times New Roman" w:hAnsi="Calibri" w:cs="Calibri"/>
                <w:kern w:val="0"/>
                <w:sz w:val="20"/>
                <w:szCs w:val="20"/>
                <w:lang w:val="de-DE" w:eastAsia="en-GB"/>
                <w14:ligatures w14:val="none"/>
              </w:rPr>
              <w:t xml:space="preserve">Technische Universität Berlin (TU Berlin) </w:t>
            </w:r>
          </w:p>
        </w:tc>
        <w:tc>
          <w:tcPr>
            <w:tcW w:w="1575" w:type="dxa"/>
            <w:tcBorders>
              <w:top w:val="nil"/>
              <w:left w:val="nil"/>
              <w:bottom w:val="single" w:sz="6" w:space="0" w:color="auto"/>
              <w:right w:val="single" w:sz="6" w:space="0" w:color="auto"/>
            </w:tcBorders>
            <w:vAlign w:val="bottom"/>
            <w:hideMark/>
          </w:tcPr>
          <w:p w14:paraId="53A3727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Deutschland </w:t>
            </w:r>
          </w:p>
        </w:tc>
      </w:tr>
      <w:tr w:rsidR="005E7D84" w:rsidRPr="005E7D84" w14:paraId="77B78BBB"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7CA727A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=44 </w:t>
            </w:r>
          </w:p>
        </w:tc>
        <w:tc>
          <w:tcPr>
            <w:tcW w:w="990" w:type="dxa"/>
            <w:tcBorders>
              <w:top w:val="nil"/>
              <w:left w:val="nil"/>
              <w:bottom w:val="single" w:sz="6" w:space="0" w:color="auto"/>
              <w:right w:val="single" w:sz="6" w:space="0" w:color="auto"/>
            </w:tcBorders>
            <w:vAlign w:val="center"/>
            <w:hideMark/>
          </w:tcPr>
          <w:p w14:paraId="33A831C4"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=38 </w:t>
            </w:r>
          </w:p>
        </w:tc>
        <w:tc>
          <w:tcPr>
            <w:tcW w:w="4245" w:type="dxa"/>
            <w:tcBorders>
              <w:top w:val="nil"/>
              <w:left w:val="nil"/>
              <w:bottom w:val="single" w:sz="6" w:space="0" w:color="auto"/>
              <w:right w:val="single" w:sz="6" w:space="0" w:color="auto"/>
            </w:tcBorders>
            <w:vAlign w:val="bottom"/>
            <w:hideMark/>
          </w:tcPr>
          <w:p w14:paraId="07C0698D"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Politecnico di Milano </w:t>
            </w:r>
          </w:p>
        </w:tc>
        <w:tc>
          <w:tcPr>
            <w:tcW w:w="1575" w:type="dxa"/>
            <w:tcBorders>
              <w:top w:val="nil"/>
              <w:left w:val="nil"/>
              <w:bottom w:val="single" w:sz="6" w:space="0" w:color="auto"/>
              <w:right w:val="single" w:sz="6" w:space="0" w:color="auto"/>
            </w:tcBorders>
            <w:vAlign w:val="bottom"/>
            <w:hideMark/>
          </w:tcPr>
          <w:p w14:paraId="7B9E01CA"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Italien </w:t>
            </w:r>
          </w:p>
        </w:tc>
      </w:tr>
      <w:tr w:rsidR="005E7D84" w:rsidRPr="005E7D84" w14:paraId="047E36F8"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57786DC2"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=44 </w:t>
            </w:r>
          </w:p>
        </w:tc>
        <w:tc>
          <w:tcPr>
            <w:tcW w:w="990" w:type="dxa"/>
            <w:tcBorders>
              <w:top w:val="nil"/>
              <w:left w:val="nil"/>
              <w:bottom w:val="single" w:sz="6" w:space="0" w:color="auto"/>
              <w:right w:val="single" w:sz="6" w:space="0" w:color="auto"/>
            </w:tcBorders>
            <w:vAlign w:val="center"/>
            <w:hideMark/>
          </w:tcPr>
          <w:p w14:paraId="421789D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33 </w:t>
            </w:r>
          </w:p>
        </w:tc>
        <w:tc>
          <w:tcPr>
            <w:tcW w:w="4245" w:type="dxa"/>
            <w:tcBorders>
              <w:top w:val="nil"/>
              <w:left w:val="nil"/>
              <w:bottom w:val="single" w:sz="6" w:space="0" w:color="auto"/>
              <w:right w:val="single" w:sz="6" w:space="0" w:color="auto"/>
            </w:tcBorders>
            <w:vAlign w:val="bottom"/>
            <w:hideMark/>
          </w:tcPr>
          <w:p w14:paraId="7CA8D7E8"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Kopenhagen </w:t>
            </w:r>
          </w:p>
        </w:tc>
        <w:tc>
          <w:tcPr>
            <w:tcW w:w="1575" w:type="dxa"/>
            <w:tcBorders>
              <w:top w:val="nil"/>
              <w:left w:val="nil"/>
              <w:bottom w:val="single" w:sz="6" w:space="0" w:color="auto"/>
              <w:right w:val="single" w:sz="6" w:space="0" w:color="auto"/>
            </w:tcBorders>
            <w:vAlign w:val="bottom"/>
            <w:hideMark/>
          </w:tcPr>
          <w:p w14:paraId="746FEA58"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Dänemark </w:t>
            </w:r>
          </w:p>
        </w:tc>
      </w:tr>
      <w:tr w:rsidR="005E7D84" w:rsidRPr="005E7D84" w14:paraId="59F49BBD"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790F8B73"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=46 </w:t>
            </w:r>
          </w:p>
        </w:tc>
        <w:tc>
          <w:tcPr>
            <w:tcW w:w="990" w:type="dxa"/>
            <w:tcBorders>
              <w:top w:val="nil"/>
              <w:left w:val="nil"/>
              <w:bottom w:val="single" w:sz="6" w:space="0" w:color="auto"/>
              <w:right w:val="single" w:sz="6" w:space="0" w:color="auto"/>
            </w:tcBorders>
            <w:vAlign w:val="center"/>
            <w:hideMark/>
          </w:tcPr>
          <w:p w14:paraId="6465C64B"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46 </w:t>
            </w:r>
          </w:p>
        </w:tc>
        <w:tc>
          <w:tcPr>
            <w:tcW w:w="4245" w:type="dxa"/>
            <w:tcBorders>
              <w:top w:val="nil"/>
              <w:left w:val="nil"/>
              <w:bottom w:val="single" w:sz="6" w:space="0" w:color="auto"/>
              <w:right w:val="single" w:sz="6" w:space="0" w:color="auto"/>
            </w:tcBorders>
            <w:vAlign w:val="bottom"/>
            <w:hideMark/>
          </w:tcPr>
          <w:p w14:paraId="3892E02E"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Helsinki </w:t>
            </w:r>
          </w:p>
        </w:tc>
        <w:tc>
          <w:tcPr>
            <w:tcW w:w="1575" w:type="dxa"/>
            <w:tcBorders>
              <w:top w:val="nil"/>
              <w:left w:val="nil"/>
              <w:bottom w:val="single" w:sz="6" w:space="0" w:color="auto"/>
              <w:right w:val="single" w:sz="6" w:space="0" w:color="auto"/>
            </w:tcBorders>
            <w:vAlign w:val="bottom"/>
            <w:hideMark/>
          </w:tcPr>
          <w:p w14:paraId="75AF1CE6"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Finnland </w:t>
            </w:r>
          </w:p>
        </w:tc>
      </w:tr>
      <w:tr w:rsidR="005E7D84" w:rsidRPr="005E7D84" w14:paraId="6228BF8E"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180788FD"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=46 </w:t>
            </w:r>
          </w:p>
        </w:tc>
        <w:tc>
          <w:tcPr>
            <w:tcW w:w="990" w:type="dxa"/>
            <w:tcBorders>
              <w:top w:val="nil"/>
              <w:left w:val="nil"/>
              <w:bottom w:val="single" w:sz="6" w:space="0" w:color="auto"/>
              <w:right w:val="single" w:sz="6" w:space="0" w:color="auto"/>
            </w:tcBorders>
            <w:vAlign w:val="center"/>
            <w:hideMark/>
          </w:tcPr>
          <w:p w14:paraId="741F17E4"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37 </w:t>
            </w:r>
          </w:p>
        </w:tc>
        <w:tc>
          <w:tcPr>
            <w:tcW w:w="4245" w:type="dxa"/>
            <w:tcBorders>
              <w:top w:val="nil"/>
              <w:left w:val="nil"/>
              <w:bottom w:val="single" w:sz="6" w:space="0" w:color="auto"/>
              <w:right w:val="single" w:sz="6" w:space="0" w:color="auto"/>
            </w:tcBorders>
            <w:vAlign w:val="center"/>
            <w:hideMark/>
          </w:tcPr>
          <w:p w14:paraId="42F709AC"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St Andrews </w:t>
            </w:r>
          </w:p>
        </w:tc>
        <w:tc>
          <w:tcPr>
            <w:tcW w:w="1575" w:type="dxa"/>
            <w:tcBorders>
              <w:top w:val="nil"/>
              <w:left w:val="nil"/>
              <w:bottom w:val="single" w:sz="6" w:space="0" w:color="auto"/>
              <w:right w:val="single" w:sz="6" w:space="0" w:color="auto"/>
            </w:tcBorders>
            <w:vAlign w:val="center"/>
            <w:hideMark/>
          </w:tcPr>
          <w:p w14:paraId="1A3AF07E"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Großbritannien </w:t>
            </w:r>
          </w:p>
        </w:tc>
      </w:tr>
      <w:tr w:rsidR="005E7D84" w:rsidRPr="005E7D84" w14:paraId="52293FE8"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504983C0"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=48 </w:t>
            </w:r>
          </w:p>
        </w:tc>
        <w:tc>
          <w:tcPr>
            <w:tcW w:w="990" w:type="dxa"/>
            <w:tcBorders>
              <w:top w:val="nil"/>
              <w:left w:val="nil"/>
              <w:bottom w:val="single" w:sz="6" w:space="0" w:color="auto"/>
              <w:right w:val="single" w:sz="6" w:space="0" w:color="auto"/>
            </w:tcBorders>
            <w:vAlign w:val="center"/>
            <w:hideMark/>
          </w:tcPr>
          <w:p w14:paraId="2F503C6F"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59 </w:t>
            </w:r>
          </w:p>
        </w:tc>
        <w:tc>
          <w:tcPr>
            <w:tcW w:w="4245" w:type="dxa"/>
            <w:tcBorders>
              <w:top w:val="nil"/>
              <w:left w:val="nil"/>
              <w:bottom w:val="single" w:sz="6" w:space="0" w:color="auto"/>
              <w:right w:val="single" w:sz="6" w:space="0" w:color="auto"/>
            </w:tcBorders>
            <w:vAlign w:val="bottom"/>
            <w:hideMark/>
          </w:tcPr>
          <w:p w14:paraId="7B3A27E7" w14:textId="77777777" w:rsidR="005E7D84" w:rsidRPr="000F1FC4" w:rsidRDefault="005E7D84" w:rsidP="005E7D84">
            <w:pPr>
              <w:spacing w:after="0" w:line="240" w:lineRule="auto"/>
              <w:textAlignment w:val="baseline"/>
              <w:rPr>
                <w:rFonts w:ascii="Times New Roman" w:eastAsia="Times New Roman" w:hAnsi="Times New Roman" w:cs="Times New Roman"/>
                <w:kern w:val="0"/>
                <w:lang w:val="de-DE" w:eastAsia="en-GB"/>
                <w14:ligatures w14:val="none"/>
              </w:rPr>
            </w:pPr>
            <w:r w:rsidRPr="000F1FC4">
              <w:rPr>
                <w:rFonts w:ascii="Calibri" w:eastAsia="Times New Roman" w:hAnsi="Calibri" w:cs="Calibri"/>
                <w:kern w:val="0"/>
                <w:sz w:val="20"/>
                <w:szCs w:val="20"/>
                <w:lang w:val="de-DE" w:eastAsia="en-GB"/>
                <w14:ligatures w14:val="none"/>
              </w:rPr>
              <w:t xml:space="preserve">KIT, Karlsruher Institut für Technologie </w:t>
            </w:r>
          </w:p>
        </w:tc>
        <w:tc>
          <w:tcPr>
            <w:tcW w:w="1575" w:type="dxa"/>
            <w:tcBorders>
              <w:top w:val="nil"/>
              <w:left w:val="nil"/>
              <w:bottom w:val="single" w:sz="6" w:space="0" w:color="auto"/>
              <w:right w:val="single" w:sz="6" w:space="0" w:color="auto"/>
            </w:tcBorders>
            <w:vAlign w:val="bottom"/>
            <w:hideMark/>
          </w:tcPr>
          <w:p w14:paraId="0119B45F"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Deutschland </w:t>
            </w:r>
          </w:p>
        </w:tc>
      </w:tr>
      <w:tr w:rsidR="005E7D84" w:rsidRPr="005E7D84" w14:paraId="20F25A05"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1385853F"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=48 </w:t>
            </w:r>
          </w:p>
        </w:tc>
        <w:tc>
          <w:tcPr>
            <w:tcW w:w="990" w:type="dxa"/>
            <w:tcBorders>
              <w:top w:val="nil"/>
              <w:left w:val="nil"/>
              <w:bottom w:val="single" w:sz="6" w:space="0" w:color="auto"/>
              <w:right w:val="single" w:sz="6" w:space="0" w:color="auto"/>
            </w:tcBorders>
            <w:vAlign w:val="center"/>
            <w:hideMark/>
          </w:tcPr>
          <w:p w14:paraId="0455784A"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=53 </w:t>
            </w:r>
          </w:p>
        </w:tc>
        <w:tc>
          <w:tcPr>
            <w:tcW w:w="4245" w:type="dxa"/>
            <w:tcBorders>
              <w:top w:val="nil"/>
              <w:left w:val="nil"/>
              <w:bottom w:val="single" w:sz="6" w:space="0" w:color="auto"/>
              <w:right w:val="single" w:sz="6" w:space="0" w:color="auto"/>
            </w:tcBorders>
            <w:vAlign w:val="bottom"/>
            <w:hideMark/>
          </w:tcPr>
          <w:p w14:paraId="02B07DA2"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Genf </w:t>
            </w:r>
          </w:p>
        </w:tc>
        <w:tc>
          <w:tcPr>
            <w:tcW w:w="1575" w:type="dxa"/>
            <w:tcBorders>
              <w:top w:val="nil"/>
              <w:left w:val="nil"/>
              <w:bottom w:val="single" w:sz="6" w:space="0" w:color="auto"/>
              <w:right w:val="single" w:sz="6" w:space="0" w:color="auto"/>
            </w:tcBorders>
            <w:vAlign w:val="bottom"/>
            <w:hideMark/>
          </w:tcPr>
          <w:p w14:paraId="47D06653"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Schweiz </w:t>
            </w:r>
          </w:p>
        </w:tc>
      </w:tr>
      <w:tr w:rsidR="005E7D84" w:rsidRPr="005E7D84" w14:paraId="37C48080" w14:textId="77777777" w:rsidTr="79CE8CE2">
        <w:trPr>
          <w:trHeight w:val="300"/>
        </w:trPr>
        <w:tc>
          <w:tcPr>
            <w:tcW w:w="975" w:type="dxa"/>
            <w:tcBorders>
              <w:top w:val="nil"/>
              <w:left w:val="single" w:sz="6" w:space="0" w:color="auto"/>
              <w:bottom w:val="single" w:sz="6" w:space="0" w:color="auto"/>
              <w:right w:val="single" w:sz="6" w:space="0" w:color="auto"/>
            </w:tcBorders>
            <w:vAlign w:val="center"/>
            <w:hideMark/>
          </w:tcPr>
          <w:p w14:paraId="0C743076"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b/>
                <w:bCs/>
                <w:kern w:val="0"/>
                <w:sz w:val="20"/>
                <w:szCs w:val="20"/>
                <w:lang w:eastAsia="en-GB"/>
                <w14:ligatures w14:val="none"/>
              </w:rPr>
              <w:t xml:space="preserve">50 </w:t>
            </w:r>
          </w:p>
        </w:tc>
        <w:tc>
          <w:tcPr>
            <w:tcW w:w="990" w:type="dxa"/>
            <w:tcBorders>
              <w:top w:val="nil"/>
              <w:left w:val="nil"/>
              <w:bottom w:val="single" w:sz="6" w:space="0" w:color="auto"/>
              <w:right w:val="single" w:sz="6" w:space="0" w:color="auto"/>
            </w:tcBorders>
            <w:vAlign w:val="center"/>
            <w:hideMark/>
          </w:tcPr>
          <w:p w14:paraId="6073CCA6" w14:textId="77777777" w:rsidR="005E7D84" w:rsidRPr="005E7D84" w:rsidRDefault="005E7D84" w:rsidP="005E7D84">
            <w:pPr>
              <w:spacing w:after="0" w:line="240" w:lineRule="auto"/>
              <w:jc w:val="center"/>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=49 </w:t>
            </w:r>
          </w:p>
        </w:tc>
        <w:tc>
          <w:tcPr>
            <w:tcW w:w="4245" w:type="dxa"/>
            <w:tcBorders>
              <w:top w:val="nil"/>
              <w:left w:val="nil"/>
              <w:bottom w:val="single" w:sz="6" w:space="0" w:color="auto"/>
              <w:right w:val="single" w:sz="6" w:space="0" w:color="auto"/>
            </w:tcBorders>
            <w:vAlign w:val="bottom"/>
            <w:hideMark/>
          </w:tcPr>
          <w:p w14:paraId="7DD03C46"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Universität Liverpool </w:t>
            </w:r>
          </w:p>
        </w:tc>
        <w:tc>
          <w:tcPr>
            <w:tcW w:w="1575" w:type="dxa"/>
            <w:tcBorders>
              <w:top w:val="nil"/>
              <w:left w:val="nil"/>
              <w:bottom w:val="single" w:sz="6" w:space="0" w:color="auto"/>
              <w:right w:val="single" w:sz="6" w:space="0" w:color="auto"/>
            </w:tcBorders>
            <w:vAlign w:val="bottom"/>
            <w:hideMark/>
          </w:tcPr>
          <w:p w14:paraId="38A547E9" w14:textId="77777777" w:rsidR="005E7D84" w:rsidRPr="005E7D84" w:rsidRDefault="005E7D84" w:rsidP="005E7D84">
            <w:pPr>
              <w:spacing w:after="0" w:line="240" w:lineRule="auto"/>
              <w:textAlignment w:val="baseline"/>
              <w:rPr>
                <w:rFonts w:ascii="Times New Roman" w:eastAsia="Times New Roman" w:hAnsi="Times New Roman" w:cs="Times New Roman"/>
                <w:kern w:val="0"/>
                <w:lang w:eastAsia="en-GB"/>
                <w14:ligatures w14:val="none"/>
              </w:rPr>
            </w:pPr>
            <w:r w:rsidRPr="005E7D84">
              <w:rPr>
                <w:rFonts w:ascii="Calibri" w:eastAsia="Times New Roman" w:hAnsi="Calibri" w:cs="Calibri"/>
                <w:kern w:val="0"/>
                <w:sz w:val="20"/>
                <w:szCs w:val="20"/>
                <w:lang w:eastAsia="en-GB"/>
                <w14:ligatures w14:val="none"/>
              </w:rPr>
              <w:t xml:space="preserve">Vereinigtes Königreich </w:t>
            </w:r>
          </w:p>
        </w:tc>
      </w:tr>
    </w:tbl>
    <w:p w14:paraId="00F10A0C" w14:textId="77777777" w:rsidR="005E7D84" w:rsidRPr="00641ED4" w:rsidRDefault="005E7D84"/>
    <w:sectPr w:rsidR="005E7D84" w:rsidRPr="00641ED4" w:rsidSect="001306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E46"/>
    <w:multiLevelType w:val="multilevel"/>
    <w:tmpl w:val="84BC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36E97"/>
    <w:multiLevelType w:val="multilevel"/>
    <w:tmpl w:val="D31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79DB9"/>
    <w:multiLevelType w:val="hybridMultilevel"/>
    <w:tmpl w:val="55868AB4"/>
    <w:lvl w:ilvl="0" w:tplc="915C12C8">
      <w:start w:val="1"/>
      <w:numFmt w:val="bullet"/>
      <w:lvlText w:val=""/>
      <w:lvlJc w:val="left"/>
      <w:pPr>
        <w:ind w:left="720" w:hanging="360"/>
      </w:pPr>
      <w:rPr>
        <w:rFonts w:ascii="Symbol" w:hAnsi="Symbol" w:hint="default"/>
      </w:rPr>
    </w:lvl>
    <w:lvl w:ilvl="1" w:tplc="FFC6E20C">
      <w:start w:val="1"/>
      <w:numFmt w:val="bullet"/>
      <w:lvlText w:val="o"/>
      <w:lvlJc w:val="left"/>
      <w:pPr>
        <w:ind w:left="1440" w:hanging="360"/>
      </w:pPr>
      <w:rPr>
        <w:rFonts w:ascii="Courier New" w:hAnsi="Courier New" w:hint="default"/>
      </w:rPr>
    </w:lvl>
    <w:lvl w:ilvl="2" w:tplc="970C0FBA">
      <w:start w:val="1"/>
      <w:numFmt w:val="bullet"/>
      <w:lvlText w:val=""/>
      <w:lvlJc w:val="left"/>
      <w:pPr>
        <w:ind w:left="2160" w:hanging="360"/>
      </w:pPr>
      <w:rPr>
        <w:rFonts w:ascii="Wingdings" w:hAnsi="Wingdings" w:hint="default"/>
      </w:rPr>
    </w:lvl>
    <w:lvl w:ilvl="3" w:tplc="CCEE716E">
      <w:start w:val="1"/>
      <w:numFmt w:val="bullet"/>
      <w:lvlText w:val=""/>
      <w:lvlJc w:val="left"/>
      <w:pPr>
        <w:ind w:left="2880" w:hanging="360"/>
      </w:pPr>
      <w:rPr>
        <w:rFonts w:ascii="Symbol" w:hAnsi="Symbol" w:hint="default"/>
      </w:rPr>
    </w:lvl>
    <w:lvl w:ilvl="4" w:tplc="12827A5E">
      <w:start w:val="1"/>
      <w:numFmt w:val="bullet"/>
      <w:lvlText w:val="o"/>
      <w:lvlJc w:val="left"/>
      <w:pPr>
        <w:ind w:left="3600" w:hanging="360"/>
      </w:pPr>
      <w:rPr>
        <w:rFonts w:ascii="Courier New" w:hAnsi="Courier New" w:hint="default"/>
      </w:rPr>
    </w:lvl>
    <w:lvl w:ilvl="5" w:tplc="D500FCBE">
      <w:start w:val="1"/>
      <w:numFmt w:val="bullet"/>
      <w:lvlText w:val=""/>
      <w:lvlJc w:val="left"/>
      <w:pPr>
        <w:ind w:left="4320" w:hanging="360"/>
      </w:pPr>
      <w:rPr>
        <w:rFonts w:ascii="Wingdings" w:hAnsi="Wingdings" w:hint="default"/>
      </w:rPr>
    </w:lvl>
    <w:lvl w:ilvl="6" w:tplc="955A2ACC">
      <w:start w:val="1"/>
      <w:numFmt w:val="bullet"/>
      <w:lvlText w:val=""/>
      <w:lvlJc w:val="left"/>
      <w:pPr>
        <w:ind w:left="5040" w:hanging="360"/>
      </w:pPr>
      <w:rPr>
        <w:rFonts w:ascii="Symbol" w:hAnsi="Symbol" w:hint="default"/>
      </w:rPr>
    </w:lvl>
    <w:lvl w:ilvl="7" w:tplc="31667626">
      <w:start w:val="1"/>
      <w:numFmt w:val="bullet"/>
      <w:lvlText w:val="o"/>
      <w:lvlJc w:val="left"/>
      <w:pPr>
        <w:ind w:left="5760" w:hanging="360"/>
      </w:pPr>
      <w:rPr>
        <w:rFonts w:ascii="Courier New" w:hAnsi="Courier New" w:hint="default"/>
      </w:rPr>
    </w:lvl>
    <w:lvl w:ilvl="8" w:tplc="220454F8">
      <w:start w:val="1"/>
      <w:numFmt w:val="bullet"/>
      <w:lvlText w:val=""/>
      <w:lvlJc w:val="left"/>
      <w:pPr>
        <w:ind w:left="6480" w:hanging="360"/>
      </w:pPr>
      <w:rPr>
        <w:rFonts w:ascii="Wingdings" w:hAnsi="Wingdings" w:hint="default"/>
      </w:rPr>
    </w:lvl>
  </w:abstractNum>
  <w:abstractNum w:abstractNumId="3" w15:restartNumberingAfterBreak="0">
    <w:nsid w:val="1C790E3A"/>
    <w:multiLevelType w:val="multilevel"/>
    <w:tmpl w:val="E40A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9B362D"/>
    <w:multiLevelType w:val="multilevel"/>
    <w:tmpl w:val="4708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9A0FF1"/>
    <w:multiLevelType w:val="multilevel"/>
    <w:tmpl w:val="9E2A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E33722"/>
    <w:multiLevelType w:val="multilevel"/>
    <w:tmpl w:val="7F9C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772F7B"/>
    <w:multiLevelType w:val="multilevel"/>
    <w:tmpl w:val="7E66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E3EC7"/>
    <w:multiLevelType w:val="multilevel"/>
    <w:tmpl w:val="4C7E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B62E57"/>
    <w:multiLevelType w:val="multilevel"/>
    <w:tmpl w:val="0DFE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794FE7"/>
    <w:multiLevelType w:val="multilevel"/>
    <w:tmpl w:val="2302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FD3195"/>
    <w:multiLevelType w:val="multilevel"/>
    <w:tmpl w:val="A042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984646"/>
    <w:multiLevelType w:val="multilevel"/>
    <w:tmpl w:val="67EA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A82F8F"/>
    <w:multiLevelType w:val="multilevel"/>
    <w:tmpl w:val="661A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EB0424"/>
    <w:multiLevelType w:val="multilevel"/>
    <w:tmpl w:val="14FC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80675F"/>
    <w:multiLevelType w:val="multilevel"/>
    <w:tmpl w:val="FEE4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5475F0"/>
    <w:multiLevelType w:val="multilevel"/>
    <w:tmpl w:val="A12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093A43"/>
    <w:multiLevelType w:val="multilevel"/>
    <w:tmpl w:val="CFB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A84860"/>
    <w:multiLevelType w:val="multilevel"/>
    <w:tmpl w:val="8F9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CB50C3"/>
    <w:multiLevelType w:val="hybridMultilevel"/>
    <w:tmpl w:val="FC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A604AA"/>
    <w:multiLevelType w:val="multilevel"/>
    <w:tmpl w:val="17C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802978"/>
    <w:multiLevelType w:val="multilevel"/>
    <w:tmpl w:val="1E6A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1398014">
    <w:abstractNumId w:val="2"/>
  </w:num>
  <w:num w:numId="2" w16cid:durableId="1697465295">
    <w:abstractNumId w:val="6"/>
  </w:num>
  <w:num w:numId="3" w16cid:durableId="15815369">
    <w:abstractNumId w:val="8"/>
  </w:num>
  <w:num w:numId="4" w16cid:durableId="676537956">
    <w:abstractNumId w:val="4"/>
  </w:num>
  <w:num w:numId="5" w16cid:durableId="1805005055">
    <w:abstractNumId w:val="20"/>
  </w:num>
  <w:num w:numId="6" w16cid:durableId="894241190">
    <w:abstractNumId w:val="15"/>
  </w:num>
  <w:num w:numId="7" w16cid:durableId="1258636526">
    <w:abstractNumId w:val="13"/>
  </w:num>
  <w:num w:numId="8" w16cid:durableId="1400715709">
    <w:abstractNumId w:val="9"/>
  </w:num>
  <w:num w:numId="9" w16cid:durableId="918173002">
    <w:abstractNumId w:val="11"/>
  </w:num>
  <w:num w:numId="10" w16cid:durableId="377054938">
    <w:abstractNumId w:val="5"/>
  </w:num>
  <w:num w:numId="11" w16cid:durableId="1873687020">
    <w:abstractNumId w:val="21"/>
  </w:num>
  <w:num w:numId="12" w16cid:durableId="1167407132">
    <w:abstractNumId w:val="3"/>
  </w:num>
  <w:num w:numId="13" w16cid:durableId="967197966">
    <w:abstractNumId w:val="10"/>
  </w:num>
  <w:num w:numId="14" w16cid:durableId="1534804672">
    <w:abstractNumId w:val="17"/>
  </w:num>
  <w:num w:numId="15" w16cid:durableId="2146121354">
    <w:abstractNumId w:val="1"/>
  </w:num>
  <w:num w:numId="16" w16cid:durableId="137037032">
    <w:abstractNumId w:val="0"/>
  </w:num>
  <w:num w:numId="17" w16cid:durableId="232930122">
    <w:abstractNumId w:val="16"/>
  </w:num>
  <w:num w:numId="18" w16cid:durableId="1263563274">
    <w:abstractNumId w:val="14"/>
  </w:num>
  <w:num w:numId="19" w16cid:durableId="796607394">
    <w:abstractNumId w:val="7"/>
  </w:num>
  <w:num w:numId="20" w16cid:durableId="169831078">
    <w:abstractNumId w:val="18"/>
  </w:num>
  <w:num w:numId="21" w16cid:durableId="1968505846">
    <w:abstractNumId w:val="12"/>
  </w:num>
  <w:num w:numId="22" w16cid:durableId="13887210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D4"/>
    <w:rsid w:val="000D7E02"/>
    <w:rsid w:val="000F1FC4"/>
    <w:rsid w:val="0013064C"/>
    <w:rsid w:val="001477D7"/>
    <w:rsid w:val="00151655"/>
    <w:rsid w:val="001E53AD"/>
    <w:rsid w:val="001F7959"/>
    <w:rsid w:val="00203A87"/>
    <w:rsid w:val="002438DD"/>
    <w:rsid w:val="003411F8"/>
    <w:rsid w:val="0037193F"/>
    <w:rsid w:val="003E7E79"/>
    <w:rsid w:val="00490D0A"/>
    <w:rsid w:val="004A3107"/>
    <w:rsid w:val="004E3CE8"/>
    <w:rsid w:val="00540347"/>
    <w:rsid w:val="005C41FF"/>
    <w:rsid w:val="005E7D84"/>
    <w:rsid w:val="00641ED4"/>
    <w:rsid w:val="006731C2"/>
    <w:rsid w:val="007177CF"/>
    <w:rsid w:val="00761639"/>
    <w:rsid w:val="007F2916"/>
    <w:rsid w:val="0081787A"/>
    <w:rsid w:val="008E71F6"/>
    <w:rsid w:val="00924F7A"/>
    <w:rsid w:val="00954A5F"/>
    <w:rsid w:val="009E153D"/>
    <w:rsid w:val="00A02DEC"/>
    <w:rsid w:val="00A34676"/>
    <w:rsid w:val="00B35C22"/>
    <w:rsid w:val="00B64321"/>
    <w:rsid w:val="00C23217"/>
    <w:rsid w:val="00CE48F2"/>
    <w:rsid w:val="00D76814"/>
    <w:rsid w:val="00DA17B5"/>
    <w:rsid w:val="00DA679B"/>
    <w:rsid w:val="00E9206A"/>
    <w:rsid w:val="00F03B51"/>
    <w:rsid w:val="01EBFCD7"/>
    <w:rsid w:val="029AD43D"/>
    <w:rsid w:val="02C66898"/>
    <w:rsid w:val="061508BD"/>
    <w:rsid w:val="07211404"/>
    <w:rsid w:val="078A8EC0"/>
    <w:rsid w:val="0CAE2CEE"/>
    <w:rsid w:val="12832C27"/>
    <w:rsid w:val="1634922B"/>
    <w:rsid w:val="17361188"/>
    <w:rsid w:val="17C0F074"/>
    <w:rsid w:val="184F24B6"/>
    <w:rsid w:val="18C818BC"/>
    <w:rsid w:val="1A154BBD"/>
    <w:rsid w:val="2431391B"/>
    <w:rsid w:val="25002840"/>
    <w:rsid w:val="25D7C679"/>
    <w:rsid w:val="279678D3"/>
    <w:rsid w:val="27AC45FA"/>
    <w:rsid w:val="27E41297"/>
    <w:rsid w:val="2924FEAC"/>
    <w:rsid w:val="2A3E5BAD"/>
    <w:rsid w:val="2B7A6315"/>
    <w:rsid w:val="2B8D6B52"/>
    <w:rsid w:val="2B9DE360"/>
    <w:rsid w:val="2E1DCC8B"/>
    <w:rsid w:val="2E4CDA9F"/>
    <w:rsid w:val="2FB11D66"/>
    <w:rsid w:val="32A12AE6"/>
    <w:rsid w:val="33866649"/>
    <w:rsid w:val="34709054"/>
    <w:rsid w:val="347AD3CB"/>
    <w:rsid w:val="35E9C968"/>
    <w:rsid w:val="36CD61E2"/>
    <w:rsid w:val="380AA2B8"/>
    <w:rsid w:val="3829E3A1"/>
    <w:rsid w:val="3900BF9A"/>
    <w:rsid w:val="3DE125DE"/>
    <w:rsid w:val="3F1E98A2"/>
    <w:rsid w:val="3F7CBEA4"/>
    <w:rsid w:val="3FC6EA49"/>
    <w:rsid w:val="41541C14"/>
    <w:rsid w:val="4243F472"/>
    <w:rsid w:val="44EAAA03"/>
    <w:rsid w:val="45026DFD"/>
    <w:rsid w:val="48FB1BFD"/>
    <w:rsid w:val="4D13B96A"/>
    <w:rsid w:val="50A11C79"/>
    <w:rsid w:val="527165CE"/>
    <w:rsid w:val="55C2CD9D"/>
    <w:rsid w:val="564CD3D7"/>
    <w:rsid w:val="56518A72"/>
    <w:rsid w:val="571277B9"/>
    <w:rsid w:val="579520FA"/>
    <w:rsid w:val="5B1A5251"/>
    <w:rsid w:val="5DD2C90C"/>
    <w:rsid w:val="603C2CBD"/>
    <w:rsid w:val="605B492C"/>
    <w:rsid w:val="62897F0D"/>
    <w:rsid w:val="62F19BB5"/>
    <w:rsid w:val="632CC98A"/>
    <w:rsid w:val="640838CD"/>
    <w:rsid w:val="65BE3988"/>
    <w:rsid w:val="65D0FA76"/>
    <w:rsid w:val="65DE7EF5"/>
    <w:rsid w:val="679D7506"/>
    <w:rsid w:val="6A7FAAD0"/>
    <w:rsid w:val="6D2CE29F"/>
    <w:rsid w:val="6DB0987E"/>
    <w:rsid w:val="6E35534F"/>
    <w:rsid w:val="6F90D822"/>
    <w:rsid w:val="70461235"/>
    <w:rsid w:val="707EA2A8"/>
    <w:rsid w:val="71B3D7E5"/>
    <w:rsid w:val="74FDF843"/>
    <w:rsid w:val="75C4B788"/>
    <w:rsid w:val="788E604F"/>
    <w:rsid w:val="7893DCB7"/>
    <w:rsid w:val="78C6CB1A"/>
    <w:rsid w:val="790BC425"/>
    <w:rsid w:val="79826657"/>
    <w:rsid w:val="79CE8CE2"/>
    <w:rsid w:val="7A7AFB7C"/>
    <w:rsid w:val="7A843444"/>
    <w:rsid w:val="7C57EBD1"/>
    <w:rsid w:val="7E34F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0EC2"/>
  <w15:chartTrackingRefBased/>
  <w15:docId w15:val="{523A6B22-D041-45C0-85BC-52024CC6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41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1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1E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1E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1E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1ED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1ED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1ED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1ED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1E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1E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1E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1E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1E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1E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1E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1E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1ED4"/>
    <w:rPr>
      <w:rFonts w:eastAsiaTheme="majorEastAsia" w:cstheme="majorBidi"/>
      <w:color w:val="272727" w:themeColor="text1" w:themeTint="D8"/>
    </w:rPr>
  </w:style>
  <w:style w:type="paragraph" w:styleId="Titel">
    <w:name w:val="Title"/>
    <w:basedOn w:val="Standard"/>
    <w:next w:val="Standard"/>
    <w:link w:val="TitelZchn"/>
    <w:uiPriority w:val="10"/>
    <w:qFormat/>
    <w:rsid w:val="00641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1E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1ED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1E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1ED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1ED4"/>
    <w:rPr>
      <w:i/>
      <w:iCs/>
      <w:color w:val="404040" w:themeColor="text1" w:themeTint="BF"/>
    </w:rPr>
  </w:style>
  <w:style w:type="paragraph" w:styleId="Listenabsatz">
    <w:name w:val="List Paragraph"/>
    <w:basedOn w:val="Standard"/>
    <w:uiPriority w:val="34"/>
    <w:qFormat/>
    <w:rsid w:val="00641ED4"/>
    <w:pPr>
      <w:ind w:left="720"/>
      <w:contextualSpacing/>
    </w:pPr>
  </w:style>
  <w:style w:type="character" w:styleId="IntensiveHervorhebung">
    <w:name w:val="Intense Emphasis"/>
    <w:basedOn w:val="Absatz-Standardschriftart"/>
    <w:uiPriority w:val="21"/>
    <w:qFormat/>
    <w:rsid w:val="00641ED4"/>
    <w:rPr>
      <w:i/>
      <w:iCs/>
      <w:color w:val="0F4761" w:themeColor="accent1" w:themeShade="BF"/>
    </w:rPr>
  </w:style>
  <w:style w:type="paragraph" w:styleId="IntensivesZitat">
    <w:name w:val="Intense Quote"/>
    <w:basedOn w:val="Standard"/>
    <w:next w:val="Standard"/>
    <w:link w:val="IntensivesZitatZchn"/>
    <w:uiPriority w:val="30"/>
    <w:qFormat/>
    <w:rsid w:val="00641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1ED4"/>
    <w:rPr>
      <w:i/>
      <w:iCs/>
      <w:color w:val="0F4761" w:themeColor="accent1" w:themeShade="BF"/>
    </w:rPr>
  </w:style>
  <w:style w:type="character" w:styleId="IntensiverVerweis">
    <w:name w:val="Intense Reference"/>
    <w:basedOn w:val="Absatz-Standardschriftart"/>
    <w:uiPriority w:val="32"/>
    <w:qFormat/>
    <w:rsid w:val="00641ED4"/>
    <w:rPr>
      <w:b/>
      <w:bCs/>
      <w:smallCaps/>
      <w:color w:val="0F4761" w:themeColor="accent1" w:themeShade="BF"/>
      <w:spacing w:val="5"/>
    </w:rPr>
  </w:style>
  <w:style w:type="character" w:styleId="Hyperlink">
    <w:name w:val="Hyperlink"/>
    <w:basedOn w:val="Absatz-Standardschriftart"/>
    <w:uiPriority w:val="99"/>
    <w:unhideWhenUsed/>
    <w:rsid w:val="00641ED4"/>
    <w:rPr>
      <w:color w:val="467886" w:themeColor="hyperlink"/>
      <w:u w:val="single"/>
    </w:rPr>
  </w:style>
  <w:style w:type="character" w:styleId="NichtaufgelsteErwhnung">
    <w:name w:val="Unresolved Mention"/>
    <w:basedOn w:val="Absatz-Standardschriftart"/>
    <w:uiPriority w:val="99"/>
    <w:semiHidden/>
    <w:unhideWhenUsed/>
    <w:rsid w:val="00641ED4"/>
    <w:rPr>
      <w:color w:val="605E5C"/>
      <w:shd w:val="clear" w:color="auto" w:fill="E1DFDD"/>
    </w:rPr>
  </w:style>
  <w:style w:type="paragraph" w:customStyle="1" w:styleId="paragraph">
    <w:name w:val="paragraph"/>
    <w:basedOn w:val="Standard"/>
    <w:rsid w:val="00641ED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Absatz-Standardschriftart"/>
    <w:rsid w:val="00641ED4"/>
  </w:style>
  <w:style w:type="character" w:customStyle="1" w:styleId="eop">
    <w:name w:val="eop"/>
    <w:basedOn w:val="Absatz-Standardschriftart"/>
    <w:rsid w:val="00641ED4"/>
  </w:style>
  <w:style w:type="character" w:styleId="Kommentarzeichen">
    <w:name w:val="annotation reference"/>
    <w:basedOn w:val="Absatz-Standardschriftart"/>
    <w:uiPriority w:val="99"/>
    <w:semiHidden/>
    <w:unhideWhenUsed/>
    <w:rsid w:val="004E3CE8"/>
    <w:rPr>
      <w:sz w:val="16"/>
      <w:szCs w:val="16"/>
    </w:rPr>
  </w:style>
  <w:style w:type="paragraph" w:styleId="Kommentartext">
    <w:name w:val="annotation text"/>
    <w:basedOn w:val="Standard"/>
    <w:link w:val="KommentartextZchn"/>
    <w:uiPriority w:val="99"/>
    <w:unhideWhenUsed/>
    <w:rsid w:val="004E3CE8"/>
    <w:pPr>
      <w:spacing w:line="240" w:lineRule="auto"/>
    </w:pPr>
    <w:rPr>
      <w:sz w:val="20"/>
      <w:szCs w:val="20"/>
    </w:rPr>
  </w:style>
  <w:style w:type="character" w:customStyle="1" w:styleId="KommentartextZchn">
    <w:name w:val="Kommentartext Zchn"/>
    <w:basedOn w:val="Absatz-Standardschriftart"/>
    <w:link w:val="Kommentartext"/>
    <w:uiPriority w:val="99"/>
    <w:rsid w:val="004E3CE8"/>
    <w:rPr>
      <w:sz w:val="20"/>
      <w:szCs w:val="20"/>
    </w:rPr>
  </w:style>
  <w:style w:type="paragraph" w:styleId="Kommentarthema">
    <w:name w:val="annotation subject"/>
    <w:basedOn w:val="Kommentartext"/>
    <w:next w:val="Kommentartext"/>
    <w:link w:val="KommentarthemaZchn"/>
    <w:uiPriority w:val="99"/>
    <w:semiHidden/>
    <w:unhideWhenUsed/>
    <w:rsid w:val="004E3CE8"/>
    <w:rPr>
      <w:b/>
      <w:bCs/>
    </w:rPr>
  </w:style>
  <w:style w:type="character" w:customStyle="1" w:styleId="KommentarthemaZchn">
    <w:name w:val="Kommentarthema Zchn"/>
    <w:basedOn w:val="KommentartextZchn"/>
    <w:link w:val="Kommentarthema"/>
    <w:uiPriority w:val="99"/>
    <w:semiHidden/>
    <w:rsid w:val="004E3CE8"/>
    <w:rPr>
      <w:b/>
      <w:bCs/>
      <w:sz w:val="20"/>
      <w:szCs w:val="20"/>
    </w:rPr>
  </w:style>
  <w:style w:type="table" w:styleId="Tabellenraster">
    <w:name w:val="Table Grid"/>
    <w:basedOn w:val="NormaleTabelle"/>
    <w:uiPriority w:val="39"/>
    <w:rsid w:val="0013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universities.com/europe-university-rankings" TargetMode="External"/><Relationship Id="rId13" Type="http://schemas.openxmlformats.org/officeDocument/2006/relationships/hyperlink" Target="https://www.topuniversities.com/europe-university-ranking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qs.com/hc/en-gb/articles/6637672827548-QS-Europe-Region-Ranking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cea.ec.europa.eu/national-policies/eurydice/france/glossary_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fg.de/en/service/press/press-releases/2025/press-release-no-10" TargetMode="External"/><Relationship Id="rId5" Type="http://schemas.openxmlformats.org/officeDocument/2006/relationships/styles" Target="styles.xml"/><Relationship Id="rId15" Type="http://schemas.openxmlformats.org/officeDocument/2006/relationships/hyperlink" Target="mailto:William.barbieri@qs.com" TargetMode="External"/><Relationship Id="rId10" Type="http://schemas.openxmlformats.org/officeDocument/2006/relationships/hyperlink" Target="https://thepienews.com/germanys-record-first-year-intake-drives-6-rise-in-international-enrolments/" TargetMode="External"/><Relationship Id="rId4" Type="http://schemas.openxmlformats.org/officeDocument/2006/relationships/numbering" Target="numbering.xml"/><Relationship Id="rId9" Type="http://schemas.openxmlformats.org/officeDocument/2006/relationships/hyperlink" Target="https://www.topuniversities.com/europe-university-rankings" TargetMode="External"/><Relationship Id="rId14" Type="http://schemas.openxmlformats.org/officeDocument/2006/relationships/hyperlink" Target="https://www.linkedin.com/in/simona-bizzo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149CF-1AD4-41E8-B7AE-669B6CD83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77988-5F3B-4740-8A3B-3F3CE9D0961A}">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customXml/itemProps3.xml><?xml version="1.0" encoding="utf-8"?>
<ds:datastoreItem xmlns:ds="http://schemas.openxmlformats.org/officeDocument/2006/customXml" ds:itemID="{F9A1D51F-2950-4F2A-BADC-0855ABCDC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2853</Words>
  <Characters>17979</Characters>
  <Application>Microsoft Office Word</Application>
  <DocSecurity>0</DocSecurity>
  <Lines>149</Lines>
  <Paragraphs>41</Paragraphs>
  <ScaleCrop>false</ScaleCrop>
  <Company>Quacquarelli-Symonds</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docId:2E38EC9656B3003755E2B99577043F25</cp:keywords>
  <dc:description/>
  <cp:lastModifiedBy>Björn Schlesinger</cp:lastModifiedBy>
  <cp:revision>17</cp:revision>
  <dcterms:created xsi:type="dcterms:W3CDTF">2026-01-14T10:16:00Z</dcterms:created>
  <dcterms:modified xsi:type="dcterms:W3CDTF">2026-01-23T12:23:00Z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