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50D7" w:rsidR="00E40BF5" w:rsidP="238D8AFF" w:rsidRDefault="00E40BF5" w14:paraId="1AD450B9" w14:noSpellErr="1" w14:textId="776843F1">
      <w:pPr>
        <w:spacing w:line="360" w:lineRule="auto"/>
        <w:jc w:val="center"/>
        <w:rPr>
          <w:rFonts w:ascii="Calibri" w:hAnsi="Calibri" w:cs="Calibri"/>
          <w:color w:val="FF0000"/>
          <w:sz w:val="20"/>
          <w:szCs w:val="20"/>
          <w:lang w:val="es-ES"/>
        </w:rPr>
      </w:pPr>
      <w:r w:rsidRPr="258524D8" w:rsidR="00E40BF5">
        <w:rPr>
          <w:rFonts w:ascii="Calibri" w:hAnsi="Calibri" w:cs="Calibri"/>
          <w:b w:val="1"/>
          <w:bCs w:val="1"/>
          <w:color w:val="FF0000"/>
          <w:sz w:val="20"/>
          <w:szCs w:val="20"/>
          <w:lang w:val="es-ES"/>
        </w:rPr>
        <w:t xml:space="preserve">BAJO ESTRICTAS MEDIDAS DE CONFIDENCIALIDAD HASTA EL </w:t>
      </w:r>
      <w:r w:rsidRPr="258524D8" w:rsidR="43CD60A2">
        <w:rPr>
          <w:rFonts w:ascii="Calibri" w:hAnsi="Calibri" w:cs="Calibri"/>
          <w:b w:val="1"/>
          <w:bCs w:val="1"/>
          <w:color w:val="FF0000"/>
          <w:sz w:val="20"/>
          <w:szCs w:val="20"/>
          <w:lang w:val="es-ES"/>
        </w:rPr>
        <w:t xml:space="preserve">MIÉRCOLES </w:t>
      </w:r>
      <w:r w:rsidRPr="258524D8" w:rsidR="00E40BF5">
        <w:rPr>
          <w:rFonts w:ascii="Calibri" w:hAnsi="Calibri" w:cs="Calibri"/>
          <w:b w:val="1"/>
          <w:bCs w:val="1"/>
          <w:color w:val="FF0000"/>
          <w:sz w:val="20"/>
          <w:szCs w:val="20"/>
          <w:lang w:val="es-ES"/>
        </w:rPr>
        <w:t>1</w:t>
      </w:r>
      <w:r w:rsidRPr="258524D8" w:rsidR="00F250D7">
        <w:rPr>
          <w:rFonts w:ascii="Calibri" w:hAnsi="Calibri" w:cs="Calibri"/>
          <w:b w:val="1"/>
          <w:bCs w:val="1"/>
          <w:color w:val="FF0000"/>
          <w:sz w:val="20"/>
          <w:szCs w:val="20"/>
          <w:lang w:val="es-ES"/>
        </w:rPr>
        <w:t xml:space="preserve"> DE </w:t>
      </w:r>
      <w:r w:rsidRPr="258524D8" w:rsidR="00E40BF5">
        <w:rPr>
          <w:rFonts w:ascii="Calibri" w:hAnsi="Calibri" w:cs="Calibri"/>
          <w:b w:val="1"/>
          <w:bCs w:val="1"/>
          <w:color w:val="FF0000"/>
          <w:sz w:val="20"/>
          <w:szCs w:val="20"/>
          <w:lang w:val="es-ES"/>
        </w:rPr>
        <w:t xml:space="preserve">OCTUBRE A LAS 11:00 A. M. BST </w:t>
      </w:r>
    </w:p>
    <w:p w:rsidRPr="00F250D7" w:rsidR="00E40BF5" w:rsidP="238D8AFF" w:rsidRDefault="00E40BF5" w14:paraId="0102BC21" w14:textId="3236F7D5">
      <w:pPr>
        <w:spacing w:line="360" w:lineRule="auto"/>
        <w:jc w:val="center"/>
        <w:rPr>
          <w:rFonts w:ascii="Calibri" w:hAnsi="Calibri" w:cs="Calibri"/>
          <w:b/>
          <w:bCs/>
          <w:sz w:val="22"/>
          <w:szCs w:val="22"/>
          <w:u w:val="single"/>
          <w:lang w:val="es-ES"/>
        </w:rPr>
      </w:pPr>
      <w:r w:rsidRPr="00F250D7">
        <w:rPr>
          <w:rFonts w:ascii="Calibri" w:hAnsi="Calibri" w:cs="Calibri"/>
          <w:b/>
          <w:bCs/>
          <w:sz w:val="22"/>
          <w:szCs w:val="22"/>
          <w:u w:val="single"/>
          <w:lang w:val="es-ES"/>
        </w:rPr>
        <w:t xml:space="preserve">QS </w:t>
      </w:r>
      <w:proofErr w:type="spellStart"/>
      <w:r w:rsidRPr="00F250D7">
        <w:rPr>
          <w:rFonts w:ascii="Calibri" w:hAnsi="Calibri" w:cs="Calibri"/>
          <w:b/>
          <w:bCs/>
          <w:sz w:val="22"/>
          <w:szCs w:val="22"/>
          <w:u w:val="single"/>
          <w:lang w:val="es-ES"/>
        </w:rPr>
        <w:t>World</w:t>
      </w:r>
      <w:proofErr w:type="spellEnd"/>
      <w:r w:rsidRPr="00F250D7">
        <w:rPr>
          <w:rFonts w:ascii="Calibri" w:hAnsi="Calibri" w:cs="Calibri"/>
          <w:b/>
          <w:bCs/>
          <w:sz w:val="22"/>
          <w:szCs w:val="22"/>
          <w:u w:val="single"/>
          <w:lang w:val="es-ES"/>
        </w:rPr>
        <w:t xml:space="preserve"> University Rankings 2026: </w:t>
      </w:r>
      <w:r w:rsidR="00F250D7">
        <w:rPr>
          <w:rFonts w:ascii="Calibri" w:hAnsi="Calibri" w:cs="Calibri"/>
          <w:b/>
          <w:bCs/>
          <w:sz w:val="22"/>
          <w:szCs w:val="22"/>
          <w:u w:val="single"/>
          <w:lang w:val="es-ES"/>
        </w:rPr>
        <w:t>Latinoamérica</w:t>
      </w:r>
      <w:r w:rsidRPr="00F250D7">
        <w:rPr>
          <w:rFonts w:ascii="Calibri" w:hAnsi="Calibri" w:cs="Calibri"/>
          <w:b/>
          <w:bCs/>
          <w:sz w:val="22"/>
          <w:szCs w:val="22"/>
          <w:u w:val="single"/>
          <w:lang w:val="es-ES"/>
        </w:rPr>
        <w:t xml:space="preserve"> y el Caribe</w:t>
      </w:r>
    </w:p>
    <w:p w:rsidR="00F65CC9" w:rsidP="008D4657" w:rsidRDefault="79C2C7C8" w14:paraId="127CA417" w14:textId="6AE9BADD">
      <w:pPr>
        <w:spacing w:line="360" w:lineRule="auto"/>
        <w:jc w:val="center"/>
        <w:rPr>
          <w:rFonts w:ascii="Calibri" w:hAnsi="Calibri" w:eastAsia="Calibri" w:cs="Calibri"/>
          <w:b/>
          <w:bCs/>
          <w:lang w:val="es-ES"/>
        </w:rPr>
      </w:pPr>
      <w:r w:rsidRPr="00F250D7">
        <w:rPr>
          <w:rFonts w:ascii="Calibri" w:hAnsi="Calibri" w:eastAsia="Calibri" w:cs="Calibri"/>
          <w:b/>
          <w:bCs/>
          <w:lang w:val="es-ES"/>
        </w:rPr>
        <w:t xml:space="preserve">La Pontificia Universidad Católica de Chile se corona en lo más alto; </w:t>
      </w:r>
      <w:r w:rsidRPr="00F250D7" w:rsidR="7E3FD28F">
        <w:rPr>
          <w:rFonts w:ascii="Calibri" w:hAnsi="Calibri" w:eastAsia="Calibri" w:cs="Calibri"/>
          <w:b/>
          <w:bCs/>
          <w:lang w:val="es-ES"/>
        </w:rPr>
        <w:t xml:space="preserve">la capacidad </w:t>
      </w:r>
      <w:r w:rsidRPr="00F250D7">
        <w:rPr>
          <w:rFonts w:ascii="Calibri" w:hAnsi="Calibri" w:eastAsia="Calibri" w:cs="Calibri"/>
          <w:b/>
          <w:bCs/>
          <w:lang w:val="es-ES"/>
        </w:rPr>
        <w:t xml:space="preserve">investigadora </w:t>
      </w:r>
      <w:r w:rsidRPr="00F250D7" w:rsidR="097587CA">
        <w:rPr>
          <w:rFonts w:ascii="Calibri" w:hAnsi="Calibri" w:eastAsia="Calibri" w:cs="Calibri"/>
          <w:b/>
          <w:bCs/>
          <w:lang w:val="es-ES"/>
        </w:rPr>
        <w:t xml:space="preserve">de Brasil </w:t>
      </w:r>
      <w:r w:rsidRPr="00F250D7" w:rsidR="7E3FD28F">
        <w:rPr>
          <w:rFonts w:ascii="Calibri" w:hAnsi="Calibri" w:eastAsia="Calibri" w:cs="Calibri"/>
          <w:b/>
          <w:bCs/>
          <w:lang w:val="es-ES"/>
        </w:rPr>
        <w:t xml:space="preserve">impulsa </w:t>
      </w:r>
      <w:r w:rsidRPr="00F250D7">
        <w:rPr>
          <w:rFonts w:ascii="Calibri" w:hAnsi="Calibri" w:eastAsia="Calibri" w:cs="Calibri"/>
          <w:b/>
          <w:bCs/>
          <w:lang w:val="es-ES"/>
        </w:rPr>
        <w:t>una representación cada vez mayor; la UBA mantiene su prestigio mundial a pesar de las dificultades</w:t>
      </w:r>
      <w:r w:rsidR="008D4657">
        <w:rPr>
          <w:rFonts w:ascii="Calibri" w:hAnsi="Calibri" w:eastAsia="Calibri" w:cs="Calibri"/>
          <w:b/>
          <w:bCs/>
          <w:lang w:val="es-ES"/>
        </w:rPr>
        <w:t xml:space="preserve"> de financiación</w:t>
      </w:r>
    </w:p>
    <w:p w:rsidRPr="00E40BF5" w:rsidR="00E40BF5" w:rsidP="238D8AFF" w:rsidRDefault="00E40BF5" w14:paraId="768BEC42" w14:textId="1731A413">
      <w:pPr>
        <w:spacing w:line="360" w:lineRule="auto"/>
        <w:jc w:val="center"/>
        <w:rPr>
          <w:rFonts w:ascii="Calibri" w:hAnsi="Calibri" w:cs="Calibri"/>
          <w:sz w:val="22"/>
          <w:szCs w:val="22"/>
        </w:rPr>
      </w:pPr>
      <w:r w:rsidRPr="238D8AFF">
        <w:rPr>
          <w:rFonts w:ascii="Calibri" w:hAnsi="Calibri" w:cs="Calibri"/>
          <w:b/>
          <w:bCs/>
          <w:sz w:val="22"/>
          <w:szCs w:val="22"/>
          <w:lang w:val="en-US"/>
        </w:rPr>
        <w:t>#QSWUR</w:t>
      </w:r>
    </w:p>
    <w:p w:rsidRPr="00F250D7" w:rsidR="68805381" w:rsidP="238D8AFF" w:rsidRDefault="68805381" w14:paraId="5061D416" w14:textId="2B6CE7F8">
      <w:pPr>
        <w:pStyle w:val="ListParagraph"/>
        <w:numPr>
          <w:ilvl w:val="0"/>
          <w:numId w:val="1"/>
        </w:numPr>
        <w:spacing w:line="360" w:lineRule="auto"/>
        <w:rPr>
          <w:rFonts w:ascii="Calibri" w:hAnsi="Calibri" w:eastAsia="Calibri" w:cs="Calibri"/>
          <w:i/>
          <w:iCs/>
          <w:lang w:val="es-ES"/>
        </w:rPr>
      </w:pPr>
      <w:r w:rsidRPr="00F250D7">
        <w:rPr>
          <w:rFonts w:ascii="Calibri" w:hAnsi="Calibri" w:eastAsia="Calibri" w:cs="Calibri"/>
          <w:i/>
          <w:iCs/>
          <w:sz w:val="22"/>
          <w:szCs w:val="22"/>
          <w:lang w:val="es-ES"/>
        </w:rPr>
        <w:t xml:space="preserve">La Pontificia Universidad Católica de Chile (UC) recupera el primer puesto regional, lo que pone de relieve la alta concentración de universidades de élite en Chile. </w:t>
      </w:r>
    </w:p>
    <w:p w:rsidRPr="00F250D7" w:rsidR="68805381" w:rsidP="238D8AFF" w:rsidRDefault="68805381" w14:paraId="7602B5E1" w14:textId="00E31ECA">
      <w:pPr>
        <w:pStyle w:val="ListParagraph"/>
        <w:numPr>
          <w:ilvl w:val="0"/>
          <w:numId w:val="1"/>
        </w:numPr>
        <w:spacing w:line="360" w:lineRule="auto"/>
        <w:rPr>
          <w:rFonts w:ascii="Calibri" w:hAnsi="Calibri" w:eastAsia="Calibri" w:cs="Calibri"/>
          <w:i/>
          <w:iCs/>
          <w:lang w:val="es-ES"/>
        </w:rPr>
      </w:pPr>
      <w:r w:rsidRPr="00F250D7">
        <w:rPr>
          <w:rFonts w:ascii="Calibri" w:hAnsi="Calibri" w:eastAsia="Calibri" w:cs="Calibri"/>
          <w:i/>
          <w:iCs/>
          <w:sz w:val="22"/>
          <w:szCs w:val="22"/>
          <w:lang w:val="es-ES"/>
        </w:rPr>
        <w:t>Brasil sigue siendo la potencia investigadora, con una productividad y un impacto sin igual</w:t>
      </w:r>
      <w:r w:rsidRPr="00F250D7" w:rsidR="71A0DDA0">
        <w:rPr>
          <w:rFonts w:ascii="Calibri" w:hAnsi="Calibri" w:eastAsia="Calibri" w:cs="Calibri"/>
          <w:i/>
          <w:iCs/>
          <w:sz w:val="22"/>
          <w:szCs w:val="22"/>
          <w:lang w:val="es-ES"/>
        </w:rPr>
        <w:t xml:space="preserve">. </w:t>
      </w:r>
      <w:r w:rsidRPr="00F250D7">
        <w:rPr>
          <w:rFonts w:ascii="Calibri" w:hAnsi="Calibri" w:eastAsia="Calibri" w:cs="Calibri"/>
          <w:i/>
          <w:iCs/>
          <w:sz w:val="22"/>
          <w:szCs w:val="22"/>
          <w:lang w:val="es-ES"/>
        </w:rPr>
        <w:t xml:space="preserve">Aunque </w:t>
      </w:r>
      <w:r w:rsidRPr="00F250D7" w:rsidR="62809A59">
        <w:rPr>
          <w:rFonts w:ascii="Calibri" w:hAnsi="Calibri" w:eastAsia="Calibri" w:cs="Calibri"/>
          <w:i/>
          <w:iCs/>
          <w:sz w:val="22"/>
          <w:szCs w:val="22"/>
          <w:lang w:val="es-ES"/>
        </w:rPr>
        <w:t xml:space="preserve">la USP </w:t>
      </w:r>
      <w:r w:rsidRPr="00F250D7">
        <w:rPr>
          <w:rFonts w:ascii="Calibri" w:hAnsi="Calibri" w:eastAsia="Calibri" w:cs="Calibri"/>
          <w:i/>
          <w:iCs/>
          <w:sz w:val="22"/>
          <w:szCs w:val="22"/>
          <w:lang w:val="es-ES"/>
        </w:rPr>
        <w:t>pierde el primer puesto</w:t>
      </w:r>
      <w:r w:rsidRPr="00F250D7" w:rsidR="60C1A7C0">
        <w:rPr>
          <w:rFonts w:ascii="Calibri" w:hAnsi="Calibri" w:eastAsia="Calibri" w:cs="Calibri"/>
          <w:i/>
          <w:iCs/>
          <w:sz w:val="22"/>
          <w:szCs w:val="22"/>
          <w:lang w:val="es-ES"/>
        </w:rPr>
        <w:t xml:space="preserve">, Brasil </w:t>
      </w:r>
      <w:r w:rsidRPr="00F250D7" w:rsidR="7047FF56">
        <w:rPr>
          <w:rFonts w:ascii="Calibri" w:hAnsi="Calibri" w:eastAsia="Calibri" w:cs="Calibri"/>
          <w:i/>
          <w:iCs/>
          <w:sz w:val="22"/>
          <w:szCs w:val="22"/>
          <w:lang w:val="es-ES"/>
        </w:rPr>
        <w:t xml:space="preserve">aumenta </w:t>
      </w:r>
      <w:r w:rsidRPr="00F250D7" w:rsidR="610FEE99">
        <w:rPr>
          <w:rFonts w:ascii="Calibri" w:hAnsi="Calibri" w:eastAsia="Calibri" w:cs="Calibri"/>
          <w:i/>
          <w:iCs/>
          <w:sz w:val="22"/>
          <w:szCs w:val="22"/>
          <w:lang w:val="es-ES"/>
        </w:rPr>
        <w:t xml:space="preserve">su representación en un 26 </w:t>
      </w:r>
      <w:r w:rsidRPr="00F250D7" w:rsidR="102A2986">
        <w:rPr>
          <w:rFonts w:ascii="Calibri" w:hAnsi="Calibri" w:eastAsia="Calibri" w:cs="Calibri"/>
          <w:i/>
          <w:iCs/>
          <w:sz w:val="22"/>
          <w:szCs w:val="22"/>
          <w:lang w:val="es-ES"/>
        </w:rPr>
        <w:t>%.</w:t>
      </w:r>
    </w:p>
    <w:p w:rsidRPr="00F250D7" w:rsidR="68805381" w:rsidP="238D8AFF" w:rsidRDefault="68805381" w14:paraId="72B5EC20" w14:textId="32C71573">
      <w:pPr>
        <w:pStyle w:val="ListParagraph"/>
        <w:numPr>
          <w:ilvl w:val="0"/>
          <w:numId w:val="1"/>
        </w:numPr>
        <w:spacing w:line="360" w:lineRule="auto"/>
        <w:rPr>
          <w:rFonts w:ascii="Calibri" w:hAnsi="Calibri" w:eastAsia="Calibri" w:cs="Calibri"/>
          <w:i/>
          <w:iCs/>
          <w:lang w:val="es-ES"/>
        </w:rPr>
      </w:pPr>
      <w:r w:rsidRPr="00F250D7">
        <w:rPr>
          <w:rFonts w:ascii="Calibri" w:hAnsi="Calibri" w:eastAsia="Calibri" w:cs="Calibri"/>
          <w:i/>
          <w:iCs/>
          <w:sz w:val="22"/>
          <w:szCs w:val="22"/>
          <w:lang w:val="es-ES"/>
        </w:rPr>
        <w:t xml:space="preserve">México y Colombia mantienen </w:t>
      </w:r>
      <w:r w:rsidRPr="00F250D7" w:rsidR="0ADE35D3">
        <w:rPr>
          <w:rFonts w:ascii="Calibri" w:hAnsi="Calibri" w:eastAsia="Calibri" w:cs="Calibri"/>
          <w:i/>
          <w:iCs/>
          <w:sz w:val="22"/>
          <w:szCs w:val="22"/>
          <w:lang w:val="es-ES"/>
        </w:rPr>
        <w:t>un fuerte renombre internacional</w:t>
      </w:r>
      <w:r w:rsidRPr="00F250D7" w:rsidR="4B26A9B5">
        <w:rPr>
          <w:rFonts w:ascii="Calibri" w:hAnsi="Calibri" w:eastAsia="Calibri" w:cs="Calibri"/>
          <w:i/>
          <w:iCs/>
          <w:sz w:val="22"/>
          <w:szCs w:val="22"/>
          <w:lang w:val="es-ES"/>
        </w:rPr>
        <w:t xml:space="preserve">; </w:t>
      </w:r>
      <w:r w:rsidRPr="00F250D7">
        <w:rPr>
          <w:rFonts w:ascii="Calibri" w:hAnsi="Calibri" w:eastAsia="Calibri" w:cs="Calibri"/>
          <w:i/>
          <w:iCs/>
          <w:sz w:val="22"/>
          <w:szCs w:val="22"/>
          <w:lang w:val="es-ES"/>
        </w:rPr>
        <w:t xml:space="preserve">el Tecnológico de Monterrey, la UNAM y la Universidad de los Andes obtienen </w:t>
      </w:r>
      <w:r w:rsidRPr="00F250D7" w:rsidR="55EB2741">
        <w:rPr>
          <w:rFonts w:ascii="Calibri" w:hAnsi="Calibri" w:eastAsia="Calibri" w:cs="Calibri"/>
          <w:i/>
          <w:iCs/>
          <w:sz w:val="22"/>
          <w:szCs w:val="22"/>
          <w:lang w:val="es-ES"/>
        </w:rPr>
        <w:t xml:space="preserve">excelentes </w:t>
      </w:r>
      <w:r w:rsidRPr="00F250D7">
        <w:rPr>
          <w:rFonts w:ascii="Calibri" w:hAnsi="Calibri" w:eastAsia="Calibri" w:cs="Calibri"/>
          <w:i/>
          <w:iCs/>
          <w:sz w:val="22"/>
          <w:szCs w:val="22"/>
          <w:lang w:val="es-ES"/>
        </w:rPr>
        <w:t xml:space="preserve">resultados </w:t>
      </w:r>
      <w:r w:rsidRPr="00F250D7" w:rsidR="1676597B">
        <w:rPr>
          <w:rFonts w:ascii="Calibri" w:hAnsi="Calibri" w:eastAsia="Calibri" w:cs="Calibri"/>
          <w:i/>
          <w:iCs/>
          <w:sz w:val="22"/>
          <w:szCs w:val="22"/>
          <w:lang w:val="es-ES"/>
        </w:rPr>
        <w:t>en reputación académica y entre los empleadores</w:t>
      </w:r>
      <w:r w:rsidRPr="00F250D7">
        <w:rPr>
          <w:rFonts w:ascii="Calibri" w:hAnsi="Calibri" w:eastAsia="Calibri" w:cs="Calibri"/>
          <w:i/>
          <w:iCs/>
          <w:sz w:val="22"/>
          <w:szCs w:val="22"/>
          <w:lang w:val="es-ES"/>
        </w:rPr>
        <w:t xml:space="preserve">. </w:t>
      </w:r>
    </w:p>
    <w:p w:rsidRPr="00F250D7" w:rsidR="68805381" w:rsidP="238D8AFF" w:rsidRDefault="68805381" w14:paraId="080DF163" w14:textId="02F59CE5">
      <w:pPr>
        <w:pStyle w:val="ListParagraph"/>
        <w:numPr>
          <w:ilvl w:val="0"/>
          <w:numId w:val="1"/>
        </w:numPr>
        <w:spacing w:line="360" w:lineRule="auto"/>
        <w:rPr>
          <w:rFonts w:ascii="Calibri" w:hAnsi="Calibri" w:eastAsia="Calibri" w:cs="Calibri"/>
          <w:i/>
          <w:iCs/>
          <w:lang w:val="es-ES"/>
        </w:rPr>
      </w:pPr>
      <w:r w:rsidRPr="00F250D7">
        <w:rPr>
          <w:rFonts w:ascii="Calibri" w:hAnsi="Calibri" w:eastAsia="Calibri" w:cs="Calibri"/>
          <w:i/>
          <w:iCs/>
          <w:sz w:val="22"/>
          <w:szCs w:val="22"/>
          <w:lang w:val="es-ES"/>
        </w:rPr>
        <w:t xml:space="preserve">La UBA de Argentina </w:t>
      </w:r>
      <w:r w:rsidRPr="00F250D7" w:rsidR="341C2ECA">
        <w:rPr>
          <w:rFonts w:ascii="Calibri" w:hAnsi="Calibri" w:eastAsia="Calibri" w:cs="Calibri"/>
          <w:i/>
          <w:iCs/>
          <w:sz w:val="22"/>
          <w:szCs w:val="22"/>
          <w:lang w:val="es-ES"/>
        </w:rPr>
        <w:t xml:space="preserve">sigue siendo una de las universidades más prestigiosas de la región </w:t>
      </w:r>
      <w:r w:rsidRPr="00F250D7">
        <w:rPr>
          <w:rFonts w:ascii="Calibri" w:hAnsi="Calibri" w:eastAsia="Calibri" w:cs="Calibri"/>
          <w:i/>
          <w:iCs/>
          <w:sz w:val="22"/>
          <w:szCs w:val="22"/>
          <w:lang w:val="es-ES"/>
        </w:rPr>
        <w:t xml:space="preserve">a pesar de los retos de financiación, destacando en </w:t>
      </w:r>
      <w:r w:rsidRPr="00F250D7" w:rsidR="00007B2C">
        <w:rPr>
          <w:rFonts w:ascii="Calibri" w:hAnsi="Calibri" w:eastAsia="Calibri" w:cs="Calibri"/>
          <w:i/>
          <w:iCs/>
          <w:sz w:val="22"/>
          <w:szCs w:val="22"/>
          <w:lang w:val="es-ES"/>
        </w:rPr>
        <w:t>reputación,</w:t>
      </w:r>
      <w:r w:rsidRPr="00F250D7">
        <w:rPr>
          <w:rFonts w:ascii="Calibri" w:hAnsi="Calibri" w:eastAsia="Calibri" w:cs="Calibri"/>
          <w:i/>
          <w:iCs/>
          <w:sz w:val="22"/>
          <w:szCs w:val="22"/>
          <w:lang w:val="es-ES"/>
        </w:rPr>
        <w:t xml:space="preserve"> pero quedando rezagada en investigación. </w:t>
      </w:r>
    </w:p>
    <w:p w:rsidRPr="00F250D7" w:rsidR="68805381" w:rsidP="238D8AFF" w:rsidRDefault="68805381" w14:paraId="4DDD8AC7" w14:textId="3147810D">
      <w:pPr>
        <w:pStyle w:val="ListParagraph"/>
        <w:numPr>
          <w:ilvl w:val="0"/>
          <w:numId w:val="1"/>
        </w:numPr>
        <w:spacing w:line="360" w:lineRule="auto"/>
        <w:rPr>
          <w:rFonts w:ascii="Calibri" w:hAnsi="Calibri" w:eastAsia="Calibri" w:cs="Calibri"/>
          <w:i/>
          <w:iCs/>
          <w:lang w:val="es-ES"/>
        </w:rPr>
      </w:pPr>
      <w:r w:rsidRPr="00F250D7">
        <w:rPr>
          <w:rFonts w:ascii="Calibri" w:hAnsi="Calibri" w:eastAsia="Calibri" w:cs="Calibri"/>
          <w:i/>
          <w:iCs/>
          <w:sz w:val="22"/>
          <w:szCs w:val="22"/>
          <w:lang w:val="es-ES"/>
        </w:rPr>
        <w:t xml:space="preserve">Ecuador se perfila como el </w:t>
      </w:r>
      <w:r w:rsidRPr="00F250D7" w:rsidR="340A0D69">
        <w:rPr>
          <w:rFonts w:ascii="Calibri" w:hAnsi="Calibri" w:eastAsia="Calibri" w:cs="Calibri"/>
          <w:i/>
          <w:iCs/>
          <w:sz w:val="22"/>
          <w:szCs w:val="22"/>
          <w:lang w:val="es-ES"/>
        </w:rPr>
        <w:t>país que más ha mejorado</w:t>
      </w:r>
      <w:r w:rsidRPr="00F250D7">
        <w:rPr>
          <w:rFonts w:ascii="Calibri" w:hAnsi="Calibri" w:eastAsia="Calibri" w:cs="Calibri"/>
          <w:i/>
          <w:iCs/>
          <w:sz w:val="22"/>
          <w:szCs w:val="22"/>
          <w:lang w:val="es-ES"/>
        </w:rPr>
        <w:t xml:space="preserve">, </w:t>
      </w:r>
      <w:r w:rsidRPr="00F250D7" w:rsidR="48D29987">
        <w:rPr>
          <w:rFonts w:ascii="Calibri" w:hAnsi="Calibri" w:eastAsia="Calibri" w:cs="Calibri"/>
          <w:i/>
          <w:iCs/>
          <w:sz w:val="22"/>
          <w:szCs w:val="22"/>
          <w:lang w:val="es-ES"/>
        </w:rPr>
        <w:t>con un 57 % de las universidades en ascenso y un 9 % en descenso</w:t>
      </w:r>
      <w:r w:rsidRPr="00F250D7" w:rsidR="06898215">
        <w:rPr>
          <w:rFonts w:ascii="Calibri" w:hAnsi="Calibri" w:eastAsia="Calibri" w:cs="Calibri"/>
          <w:i/>
          <w:iCs/>
          <w:sz w:val="22"/>
          <w:szCs w:val="22"/>
          <w:lang w:val="es-ES"/>
        </w:rPr>
        <w:t xml:space="preserve">. La Escuela Superior Politécnica del Litoral </w:t>
      </w:r>
      <w:r w:rsidRPr="00F250D7" w:rsidR="3BD0F1C3">
        <w:rPr>
          <w:rFonts w:ascii="Calibri" w:hAnsi="Calibri" w:eastAsia="Calibri" w:cs="Calibri"/>
          <w:i/>
          <w:iCs/>
          <w:sz w:val="22"/>
          <w:szCs w:val="22"/>
          <w:lang w:val="es-ES"/>
        </w:rPr>
        <w:t>ocupa el primer puesto nacional por primera vez.</w:t>
      </w:r>
    </w:p>
    <w:p w:rsidR="419CB511" w:rsidP="238D8AFF" w:rsidRDefault="68805381" w14:paraId="0F3EAF9B" w14:textId="22FF2782">
      <w:pPr>
        <w:pStyle w:val="ListParagraph"/>
        <w:numPr>
          <w:ilvl w:val="0"/>
          <w:numId w:val="1"/>
        </w:numPr>
        <w:spacing w:line="360" w:lineRule="auto"/>
        <w:rPr>
          <w:rFonts w:ascii="Calibri" w:hAnsi="Calibri" w:cs="Calibri"/>
        </w:rPr>
      </w:pPr>
      <w:r w:rsidRPr="00F250D7">
        <w:rPr>
          <w:rFonts w:ascii="Calibri" w:hAnsi="Calibri" w:eastAsia="Calibri" w:cs="Calibri"/>
          <w:i/>
          <w:iCs/>
          <w:sz w:val="22"/>
          <w:szCs w:val="22"/>
          <w:lang w:val="es-ES"/>
        </w:rPr>
        <w:t>El Caribe cuenta con una nueva representación</w:t>
      </w:r>
      <w:r w:rsidRPr="00F250D7" w:rsidR="6AB2D0E8">
        <w:rPr>
          <w:rFonts w:ascii="Calibri" w:hAnsi="Calibri" w:eastAsia="Calibri" w:cs="Calibri"/>
          <w:i/>
          <w:iCs/>
          <w:sz w:val="22"/>
          <w:szCs w:val="22"/>
          <w:lang w:val="es-ES"/>
        </w:rPr>
        <w:t xml:space="preserve">, con Belice y Trinidad y Tobago apareciendo por primera vez. </w:t>
      </w:r>
      <w:r w:rsidRPr="238D8AFF" w:rsidR="6AB2D0E8">
        <w:rPr>
          <w:rFonts w:ascii="Calibri" w:hAnsi="Calibri" w:cs="Calibri"/>
          <w:i/>
          <w:iCs/>
          <w:sz w:val="22"/>
          <w:szCs w:val="22"/>
        </w:rPr>
        <w:t xml:space="preserve">La Universidad de Puerto Rico </w:t>
      </w:r>
      <w:r w:rsidRPr="238D8AFF" w:rsidR="744DC0E7">
        <w:rPr>
          <w:rFonts w:ascii="Calibri" w:hAnsi="Calibri" w:cs="Calibri"/>
          <w:i/>
          <w:iCs/>
          <w:sz w:val="22"/>
          <w:szCs w:val="22"/>
        </w:rPr>
        <w:t xml:space="preserve">ocupa </w:t>
      </w:r>
      <w:r w:rsidRPr="238D8AFF" w:rsidR="6AB2D0E8">
        <w:rPr>
          <w:rFonts w:ascii="Calibri" w:hAnsi="Calibri" w:cs="Calibri"/>
          <w:i/>
          <w:iCs/>
          <w:sz w:val="22"/>
          <w:szCs w:val="22"/>
        </w:rPr>
        <w:t xml:space="preserve">el </w:t>
      </w:r>
      <w:r w:rsidRPr="238D8AFF" w:rsidR="4B21BCCC">
        <w:rPr>
          <w:rFonts w:ascii="Calibri" w:hAnsi="Calibri" w:cs="Calibri"/>
          <w:i/>
          <w:iCs/>
          <w:sz w:val="22"/>
          <w:szCs w:val="22"/>
        </w:rPr>
        <w:t xml:space="preserve">primer </w:t>
      </w:r>
      <w:r w:rsidRPr="238D8AFF" w:rsidR="6AB2D0E8">
        <w:rPr>
          <w:rFonts w:ascii="Calibri" w:hAnsi="Calibri" w:cs="Calibri"/>
          <w:i/>
          <w:iCs/>
          <w:sz w:val="22"/>
          <w:szCs w:val="22"/>
        </w:rPr>
        <w:t>puesto.</w:t>
      </w:r>
    </w:p>
    <w:p w:rsidRPr="00F250D7" w:rsidR="00E40BF5" w:rsidP="002B720E" w:rsidRDefault="00E40BF5" w14:paraId="70F39131" w14:textId="596E2F70">
      <w:pPr>
        <w:spacing w:line="360" w:lineRule="auto"/>
        <w:rPr>
          <w:rFonts w:ascii="Calibri" w:hAnsi="Calibri" w:cs="Calibri"/>
          <w:sz w:val="22"/>
          <w:szCs w:val="22"/>
          <w:lang w:val="es-ES"/>
        </w:rPr>
      </w:pPr>
      <w:r w:rsidRPr="00F250D7">
        <w:rPr>
          <w:rFonts w:ascii="Calibri" w:hAnsi="Calibri" w:cs="Calibri"/>
          <w:b/>
          <w:bCs/>
          <w:i/>
          <w:iCs/>
          <w:sz w:val="22"/>
          <w:szCs w:val="22"/>
          <w:lang w:val="es-ES"/>
        </w:rPr>
        <w:t xml:space="preserve">Londres, 1 de octubre de 2025: </w:t>
      </w:r>
      <w:r w:rsidRPr="00F250D7">
        <w:rPr>
          <w:rFonts w:ascii="Calibri" w:hAnsi="Calibri" w:cs="Calibri"/>
          <w:sz w:val="22"/>
          <w:szCs w:val="22"/>
          <w:lang w:val="es-ES"/>
        </w:rPr>
        <w:t xml:space="preserve">La consultora internacional de educación superior QS </w:t>
      </w:r>
      <w:proofErr w:type="spellStart"/>
      <w:r w:rsidRPr="00F250D7">
        <w:rPr>
          <w:rFonts w:ascii="Calibri" w:hAnsi="Calibri" w:cs="Calibri"/>
          <w:sz w:val="22"/>
          <w:szCs w:val="22"/>
          <w:lang w:val="es-ES"/>
        </w:rPr>
        <w:t>Quacquarelli</w:t>
      </w:r>
      <w:proofErr w:type="spellEnd"/>
      <w:r w:rsidRPr="00F250D7">
        <w:rPr>
          <w:rFonts w:ascii="Calibri" w:hAnsi="Calibri" w:cs="Calibri"/>
          <w:sz w:val="22"/>
          <w:szCs w:val="22"/>
          <w:lang w:val="es-ES"/>
        </w:rPr>
        <w:t xml:space="preserve"> Symonds ha publicado hoy la edición</w:t>
      </w:r>
      <w:r w:rsidRPr="00F250D7" w:rsidR="00D8539A">
        <w:rPr>
          <w:rFonts w:ascii="Calibri" w:hAnsi="Calibri" w:cs="Calibri"/>
          <w:sz w:val="22"/>
          <w:szCs w:val="22"/>
          <w:lang w:val="es-ES"/>
        </w:rPr>
        <w:t xml:space="preserve"> 2026 </w:t>
      </w:r>
      <w:r w:rsidRPr="00F250D7">
        <w:rPr>
          <w:rFonts w:ascii="Calibri" w:hAnsi="Calibri" w:cs="Calibri"/>
          <w:sz w:val="22"/>
          <w:szCs w:val="22"/>
          <w:lang w:val="es-ES"/>
        </w:rPr>
        <w:t xml:space="preserve">del </w:t>
      </w:r>
      <w:hyperlink r:id="rId8">
        <w:r w:rsidRPr="00F250D7" w:rsidR="00DD703D">
          <w:rPr>
            <w:rStyle w:val="Hyperlink"/>
            <w:rFonts w:ascii="Calibri" w:hAnsi="Calibri" w:cs="Calibri"/>
            <w:sz w:val="22"/>
            <w:szCs w:val="22"/>
            <w:lang w:val="es-ES"/>
          </w:rPr>
          <w:t xml:space="preserve">QS </w:t>
        </w:r>
        <w:proofErr w:type="spellStart"/>
        <w:r w:rsidRPr="00F250D7" w:rsidR="00DD703D">
          <w:rPr>
            <w:rStyle w:val="Hyperlink"/>
            <w:rFonts w:ascii="Calibri" w:hAnsi="Calibri" w:cs="Calibri"/>
            <w:sz w:val="22"/>
            <w:szCs w:val="22"/>
            <w:lang w:val="es-ES"/>
          </w:rPr>
          <w:t>World</w:t>
        </w:r>
        <w:proofErr w:type="spellEnd"/>
        <w:r w:rsidRPr="00F250D7" w:rsidR="00DD703D">
          <w:rPr>
            <w:rStyle w:val="Hyperlink"/>
            <w:rFonts w:ascii="Calibri" w:hAnsi="Calibri" w:cs="Calibri"/>
            <w:sz w:val="22"/>
            <w:szCs w:val="22"/>
            <w:lang w:val="es-ES"/>
          </w:rPr>
          <w:t xml:space="preserve"> University Rankings 2026: Latinoamérica </w:t>
        </w:r>
        <w:r w:rsidRPr="00F250D7" w:rsidR="2CA4CFA8">
          <w:rPr>
            <w:rStyle w:val="Hyperlink"/>
            <w:rFonts w:ascii="Calibri" w:hAnsi="Calibri" w:cs="Calibri"/>
            <w:sz w:val="22"/>
            <w:szCs w:val="22"/>
            <w:lang w:val="es-ES"/>
          </w:rPr>
          <w:t>y el Caribe</w:t>
        </w:r>
      </w:hyperlink>
      <w:r w:rsidRPr="00F250D7">
        <w:rPr>
          <w:rFonts w:ascii="Calibri" w:hAnsi="Calibri" w:cs="Calibri"/>
          <w:sz w:val="22"/>
          <w:szCs w:val="22"/>
          <w:lang w:val="es-ES"/>
        </w:rPr>
        <w:t xml:space="preserve">*. </w:t>
      </w:r>
      <w:r w:rsidRPr="00F250D7">
        <w:rPr>
          <w:rFonts w:ascii="Calibri" w:hAnsi="Calibri" w:cs="Calibri"/>
          <w:color w:val="EE0000"/>
          <w:sz w:val="16"/>
          <w:szCs w:val="16"/>
          <w:lang w:val="es-ES"/>
        </w:rPr>
        <w:t xml:space="preserve">*El enlace se actualizará con los últimos resultados cuando se levante la restricción. </w:t>
      </w:r>
    </w:p>
    <w:p w:rsidRPr="00F250D7" w:rsidR="00E40BF5" w:rsidP="002B720E" w:rsidRDefault="00E40BF5" w14:paraId="53884B11" w14:textId="23D938DE">
      <w:pPr>
        <w:spacing w:line="360" w:lineRule="auto"/>
        <w:rPr>
          <w:rFonts w:ascii="Calibri" w:hAnsi="Calibri" w:cs="Calibri"/>
          <w:sz w:val="22"/>
          <w:szCs w:val="22"/>
          <w:lang w:val="es-ES"/>
        </w:rPr>
      </w:pPr>
      <w:r w:rsidRPr="00F250D7">
        <w:rPr>
          <w:rFonts w:ascii="Calibri" w:hAnsi="Calibri" w:cs="Calibri"/>
          <w:sz w:val="22"/>
          <w:szCs w:val="22"/>
          <w:lang w:val="es-ES"/>
        </w:rPr>
        <w:t xml:space="preserve">Los resultados muestran que la Pontificia Universidad Católica de Chile (UC) recupera el primer puesto por primera vez desde 2022, desbancando a la líder del año pasado, la </w:t>
      </w:r>
      <w:proofErr w:type="spellStart"/>
      <w:r w:rsidRPr="00F250D7">
        <w:rPr>
          <w:rFonts w:ascii="Calibri" w:hAnsi="Calibri" w:cs="Calibri"/>
          <w:sz w:val="22"/>
          <w:szCs w:val="22"/>
          <w:lang w:val="es-ES"/>
        </w:rPr>
        <w:t>Universidade</w:t>
      </w:r>
      <w:proofErr w:type="spellEnd"/>
      <w:r w:rsidRPr="00F250D7">
        <w:rPr>
          <w:rFonts w:ascii="Calibri" w:hAnsi="Calibri" w:cs="Calibri"/>
          <w:sz w:val="22"/>
          <w:szCs w:val="22"/>
          <w:lang w:val="es-ES"/>
        </w:rPr>
        <w:t xml:space="preserve"> de São Paulo (USP), que cae al segundo lugar</w:t>
      </w:r>
      <w:r w:rsidRPr="00F250D7" w:rsidR="003F63D6">
        <w:rPr>
          <w:rFonts w:ascii="Calibri" w:hAnsi="Calibri" w:cs="Calibri"/>
          <w:sz w:val="22"/>
          <w:szCs w:val="22"/>
          <w:lang w:val="es-ES"/>
        </w:rPr>
        <w:t xml:space="preserve">, seguida de la </w:t>
      </w:r>
      <w:proofErr w:type="spellStart"/>
      <w:r w:rsidRPr="00F250D7" w:rsidR="003F63D6">
        <w:rPr>
          <w:rFonts w:ascii="Calibri" w:hAnsi="Calibri" w:cs="Calibri"/>
          <w:sz w:val="22"/>
          <w:szCs w:val="22"/>
          <w:lang w:val="es-ES"/>
        </w:rPr>
        <w:t>Universidade</w:t>
      </w:r>
      <w:proofErr w:type="spellEnd"/>
      <w:r w:rsidRPr="00F250D7" w:rsidR="003F63D6">
        <w:rPr>
          <w:rFonts w:ascii="Calibri" w:hAnsi="Calibri" w:cs="Calibri"/>
          <w:sz w:val="22"/>
          <w:szCs w:val="22"/>
          <w:lang w:val="es-ES"/>
        </w:rPr>
        <w:t xml:space="preserve"> Estadual de Campinas (</w:t>
      </w:r>
      <w:proofErr w:type="spellStart"/>
      <w:r w:rsidRPr="00F250D7" w:rsidR="003F63D6">
        <w:rPr>
          <w:rFonts w:ascii="Calibri" w:hAnsi="Calibri" w:cs="Calibri"/>
          <w:sz w:val="22"/>
          <w:szCs w:val="22"/>
          <w:lang w:val="es-ES"/>
        </w:rPr>
        <w:t>Unicamp</w:t>
      </w:r>
      <w:proofErr w:type="spellEnd"/>
      <w:r w:rsidRPr="00F250D7" w:rsidR="003F63D6">
        <w:rPr>
          <w:rFonts w:ascii="Calibri" w:hAnsi="Calibri" w:cs="Calibri"/>
          <w:sz w:val="22"/>
          <w:szCs w:val="22"/>
          <w:lang w:val="es-ES"/>
        </w:rPr>
        <w:t>) en tercer lugar.</w:t>
      </w:r>
    </w:p>
    <w:p w:rsidRPr="00007B2C" w:rsidR="00976CE1" w:rsidP="002B720E" w:rsidRDefault="00976CE1" w14:paraId="1F42DDCB" w14:textId="4B1DC022">
      <w:pPr>
        <w:spacing w:line="360" w:lineRule="auto"/>
        <w:rPr>
          <w:rFonts w:ascii="Calibri" w:hAnsi="Calibri" w:cs="Calibri"/>
          <w:sz w:val="22"/>
          <w:szCs w:val="22"/>
          <w:lang w:val="es-ES"/>
        </w:rPr>
      </w:pPr>
      <w:r w:rsidRPr="00F250D7">
        <w:rPr>
          <w:rFonts w:ascii="Calibri" w:hAnsi="Calibri" w:cs="Calibri"/>
          <w:sz w:val="22"/>
          <w:szCs w:val="22"/>
          <w:lang w:val="es-ES"/>
        </w:rPr>
        <w:t xml:space="preserve">Junto a Brasil y Chile, las universidades mejor clasificadas </w:t>
      </w:r>
      <w:r w:rsidRPr="00F250D7" w:rsidR="54CAA188">
        <w:rPr>
          <w:rFonts w:ascii="Calibri" w:hAnsi="Calibri" w:cs="Calibri"/>
          <w:sz w:val="22"/>
          <w:szCs w:val="22"/>
          <w:lang w:val="es-ES"/>
        </w:rPr>
        <w:t>de</w:t>
      </w:r>
      <w:r w:rsidRPr="00F250D7">
        <w:rPr>
          <w:rFonts w:ascii="Calibri" w:hAnsi="Calibri" w:cs="Calibri"/>
          <w:sz w:val="22"/>
          <w:szCs w:val="22"/>
          <w:lang w:val="es-ES"/>
        </w:rPr>
        <w:t xml:space="preserve"> México, Colombia y </w:t>
      </w:r>
      <w:r w:rsidRPr="00F250D7" w:rsidR="54CAA188">
        <w:rPr>
          <w:rFonts w:ascii="Calibri" w:hAnsi="Calibri" w:cs="Calibri"/>
          <w:sz w:val="22"/>
          <w:szCs w:val="22"/>
          <w:lang w:val="es-ES"/>
        </w:rPr>
        <w:t xml:space="preserve">Argentina </w:t>
      </w:r>
      <w:r w:rsidRPr="00F250D7">
        <w:rPr>
          <w:rFonts w:ascii="Calibri" w:hAnsi="Calibri" w:cs="Calibri"/>
          <w:sz w:val="22"/>
          <w:szCs w:val="22"/>
          <w:lang w:val="es-ES"/>
        </w:rPr>
        <w:t xml:space="preserve">también figuran entre las 10 mejores de la región, con el Tecnológico de Monterrey en cuarto lugar, la </w:t>
      </w:r>
      <w:r w:rsidRPr="00F250D7">
        <w:rPr>
          <w:rFonts w:ascii="Calibri" w:hAnsi="Calibri" w:cs="Calibri"/>
          <w:sz w:val="22"/>
          <w:szCs w:val="22"/>
          <w:lang w:val="es-ES"/>
        </w:rPr>
        <w:t>Universidad de los Andes en octavo y la Universidad de Buenos Aires (UBA) en</w:t>
      </w:r>
      <w:r w:rsidR="00007B2C">
        <w:rPr>
          <w:rFonts w:ascii="Calibri" w:hAnsi="Calibri" w:cs="Calibri"/>
          <w:sz w:val="22"/>
          <w:szCs w:val="22"/>
          <w:lang w:val="es-ES"/>
        </w:rPr>
        <w:t xml:space="preserve"> décimo</w:t>
      </w:r>
      <w:r w:rsidRPr="00F250D7">
        <w:rPr>
          <w:rFonts w:ascii="Calibri" w:hAnsi="Calibri" w:cs="Calibri"/>
          <w:sz w:val="22"/>
          <w:szCs w:val="22"/>
          <w:lang w:val="es-ES"/>
        </w:rPr>
        <w:t xml:space="preserve">. </w:t>
      </w:r>
      <w:r w:rsidRPr="00007B2C">
        <w:rPr>
          <w:rFonts w:ascii="Calibri" w:hAnsi="Calibri" w:cs="Calibri"/>
          <w:sz w:val="22"/>
          <w:szCs w:val="22"/>
          <w:lang w:val="es-ES"/>
        </w:rPr>
        <w:t>No hay nuevas entradas entre las 10 primeras.</w:t>
      </w:r>
    </w:p>
    <w:tbl>
      <w:tblPr>
        <w:tblW w:w="8500" w:type="dxa"/>
        <w:jc w:val="center"/>
        <w:tblLook w:val="04A0" w:firstRow="1" w:lastRow="0" w:firstColumn="1" w:lastColumn="0" w:noHBand="0" w:noVBand="1"/>
      </w:tblPr>
      <w:tblGrid>
        <w:gridCol w:w="1271"/>
        <w:gridCol w:w="1276"/>
        <w:gridCol w:w="4678"/>
        <w:gridCol w:w="1275"/>
      </w:tblGrid>
      <w:tr w:rsidRPr="00D8539A" w:rsidR="00D8539A" w:rsidTr="238D8AFF" w14:paraId="43E88031" w14:textId="77777777">
        <w:trPr>
          <w:trHeight w:val="300"/>
          <w:jc w:val="center"/>
        </w:trPr>
        <w:tc>
          <w:tcPr>
            <w:tcW w:w="8500" w:type="dxa"/>
            <w:gridSpan w:val="4"/>
            <w:tcBorders>
              <w:top w:val="single" w:color="auto" w:sz="4" w:space="0"/>
              <w:left w:val="single" w:color="auto" w:sz="4" w:space="0"/>
              <w:bottom w:val="single" w:color="auto" w:sz="4" w:space="0"/>
              <w:right w:val="single" w:color="auto" w:sz="4" w:space="0"/>
            </w:tcBorders>
            <w:noWrap/>
            <w:vAlign w:val="bottom"/>
            <w:hideMark/>
          </w:tcPr>
          <w:p w:rsidRPr="00D8539A" w:rsidR="00D8539A" w:rsidP="00D8539A" w:rsidRDefault="00D8539A" w14:paraId="1A4AD560" w14:textId="4ADD5C44">
            <w:pPr>
              <w:spacing w:after="0" w:line="240" w:lineRule="auto"/>
              <w:jc w:val="center"/>
              <w:rPr>
                <w:rFonts w:ascii="Calibri" w:hAnsi="Calibri" w:eastAsia="Times New Roman" w:cs="Calibri"/>
                <w:b/>
                <w:bCs/>
                <w:kern w:val="0"/>
                <w:sz w:val="20"/>
                <w:szCs w:val="20"/>
                <w:lang w:eastAsia="en-GB"/>
                <w14:ligatures w14:val="none"/>
              </w:rPr>
            </w:pPr>
            <w:r w:rsidRPr="00D8539A">
              <w:rPr>
                <w:rFonts w:ascii="Calibri" w:hAnsi="Calibri" w:eastAsia="Times New Roman" w:cs="Calibri"/>
                <w:b/>
                <w:bCs/>
                <w:kern w:val="0"/>
                <w:sz w:val="20"/>
                <w:szCs w:val="20"/>
                <w:lang w:eastAsia="en-GB"/>
                <w14:ligatures w14:val="none"/>
              </w:rPr>
              <w:t xml:space="preserve">QS World University Rankings 2026: </w:t>
            </w:r>
            <w:proofErr w:type="spellStart"/>
            <w:r w:rsidR="00007B2C">
              <w:rPr>
                <w:rFonts w:ascii="Calibri" w:hAnsi="Calibri" w:eastAsia="Times New Roman" w:cs="Calibri"/>
                <w:b/>
                <w:bCs/>
                <w:kern w:val="0"/>
                <w:sz w:val="20"/>
                <w:szCs w:val="20"/>
                <w:lang w:eastAsia="en-GB"/>
                <w14:ligatures w14:val="none"/>
              </w:rPr>
              <w:t>Latinoamérica</w:t>
            </w:r>
            <w:proofErr w:type="spellEnd"/>
            <w:r w:rsidRPr="00D8539A">
              <w:rPr>
                <w:rFonts w:ascii="Calibri" w:hAnsi="Calibri" w:eastAsia="Times New Roman" w:cs="Calibri"/>
                <w:b/>
                <w:bCs/>
                <w:kern w:val="0"/>
                <w:sz w:val="20"/>
                <w:szCs w:val="20"/>
                <w:lang w:eastAsia="en-GB"/>
                <w14:ligatures w14:val="none"/>
              </w:rPr>
              <w:t xml:space="preserve"> y </w:t>
            </w:r>
            <w:proofErr w:type="spellStart"/>
            <w:r w:rsidRPr="00D8539A">
              <w:rPr>
                <w:rFonts w:ascii="Calibri" w:hAnsi="Calibri" w:eastAsia="Times New Roman" w:cs="Calibri"/>
                <w:b/>
                <w:bCs/>
                <w:kern w:val="0"/>
                <w:sz w:val="20"/>
                <w:szCs w:val="20"/>
                <w:lang w:eastAsia="en-GB"/>
                <w14:ligatures w14:val="none"/>
              </w:rPr>
              <w:t>el</w:t>
            </w:r>
            <w:proofErr w:type="spellEnd"/>
            <w:r w:rsidRPr="00D8539A">
              <w:rPr>
                <w:rFonts w:ascii="Calibri" w:hAnsi="Calibri" w:eastAsia="Times New Roman" w:cs="Calibri"/>
                <w:b/>
                <w:bCs/>
                <w:kern w:val="0"/>
                <w:sz w:val="20"/>
                <w:szCs w:val="20"/>
                <w:lang w:eastAsia="en-GB"/>
                <w14:ligatures w14:val="none"/>
              </w:rPr>
              <w:t xml:space="preserve"> Caribe - Top 20</w:t>
            </w:r>
          </w:p>
        </w:tc>
      </w:tr>
      <w:tr w:rsidRPr="00D8539A" w:rsidR="00D8539A" w:rsidTr="238D8AFF" w14:paraId="4B876249"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498ABA1B" w14:textId="77777777">
            <w:pPr>
              <w:spacing w:after="0" w:line="240" w:lineRule="auto"/>
              <w:jc w:val="center"/>
              <w:rPr>
                <w:rFonts w:ascii="Calibri" w:hAnsi="Calibri" w:eastAsia="Times New Roman" w:cs="Calibri"/>
                <w:b/>
                <w:bCs/>
                <w:kern w:val="0"/>
                <w:sz w:val="20"/>
                <w:szCs w:val="20"/>
                <w:lang w:eastAsia="en-GB"/>
                <w14:ligatures w14:val="none"/>
              </w:rPr>
            </w:pPr>
            <w:r w:rsidRPr="00D8539A">
              <w:rPr>
                <w:rFonts w:ascii="Calibri" w:hAnsi="Calibri" w:eastAsia="Times New Roman" w:cs="Calibri"/>
                <w:b/>
                <w:bCs/>
                <w:kern w:val="0"/>
                <w:sz w:val="20"/>
                <w:szCs w:val="20"/>
                <w:lang w:eastAsia="en-GB"/>
                <w14:ligatures w14:val="none"/>
              </w:rPr>
              <w:t>Clasificación 2026</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6A1283A2" w14:textId="77777777">
            <w:pPr>
              <w:spacing w:after="0" w:line="240" w:lineRule="auto"/>
              <w:jc w:val="center"/>
              <w:rPr>
                <w:rFonts w:ascii="Calibri" w:hAnsi="Calibri" w:eastAsia="Times New Roman" w:cs="Calibri"/>
                <w:b/>
                <w:bCs/>
                <w:kern w:val="0"/>
                <w:sz w:val="20"/>
                <w:szCs w:val="20"/>
                <w:lang w:eastAsia="en-GB"/>
                <w14:ligatures w14:val="none"/>
              </w:rPr>
            </w:pPr>
            <w:r w:rsidRPr="00D8539A">
              <w:rPr>
                <w:rFonts w:ascii="Calibri" w:hAnsi="Calibri" w:eastAsia="Times New Roman" w:cs="Calibri"/>
                <w:b/>
                <w:bCs/>
                <w:kern w:val="0"/>
                <w:sz w:val="20"/>
                <w:szCs w:val="20"/>
                <w:lang w:eastAsia="en-GB"/>
                <w14:ligatures w14:val="none"/>
              </w:rPr>
              <w:t>Clasificación 2025</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6350D848" w14:textId="77777777">
            <w:pPr>
              <w:spacing w:after="0" w:line="240" w:lineRule="auto"/>
              <w:rPr>
                <w:rFonts w:ascii="Calibri" w:hAnsi="Calibri" w:eastAsia="Times New Roman" w:cs="Calibri"/>
                <w:b/>
                <w:bCs/>
                <w:kern w:val="0"/>
                <w:sz w:val="20"/>
                <w:szCs w:val="20"/>
                <w:lang w:eastAsia="en-GB"/>
                <w14:ligatures w14:val="none"/>
              </w:rPr>
            </w:pPr>
            <w:r w:rsidRPr="00D8539A">
              <w:rPr>
                <w:rFonts w:ascii="Calibri" w:hAnsi="Calibri" w:eastAsia="Times New Roman" w:cs="Calibri"/>
                <w:b/>
                <w:bCs/>
                <w:kern w:val="0"/>
                <w:sz w:val="20"/>
                <w:szCs w:val="20"/>
                <w:lang w:eastAsia="en-GB"/>
                <w14:ligatures w14:val="none"/>
              </w:rPr>
              <w:t>Institución</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2F863AB8" w14:textId="77777777">
            <w:pPr>
              <w:spacing w:after="0" w:line="240" w:lineRule="auto"/>
              <w:rPr>
                <w:rFonts w:ascii="Calibri" w:hAnsi="Calibri" w:eastAsia="Times New Roman" w:cs="Calibri"/>
                <w:b/>
                <w:bCs/>
                <w:kern w:val="0"/>
                <w:sz w:val="20"/>
                <w:szCs w:val="20"/>
                <w:lang w:eastAsia="en-GB"/>
                <w14:ligatures w14:val="none"/>
              </w:rPr>
            </w:pPr>
            <w:r w:rsidRPr="00D8539A">
              <w:rPr>
                <w:rFonts w:ascii="Calibri" w:hAnsi="Calibri" w:eastAsia="Times New Roman" w:cs="Calibri"/>
                <w:b/>
                <w:bCs/>
                <w:kern w:val="0"/>
                <w:sz w:val="20"/>
                <w:szCs w:val="20"/>
                <w:lang w:eastAsia="en-GB"/>
                <w14:ligatures w14:val="none"/>
              </w:rPr>
              <w:t>País</w:t>
            </w:r>
          </w:p>
        </w:tc>
      </w:tr>
      <w:tr w:rsidRPr="00D8539A" w:rsidR="00D8539A" w:rsidTr="238D8AFF" w14:paraId="2561B37A"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23D26243"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591072B7"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2</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670DB02B" w14:textId="77777777">
            <w:pPr>
              <w:spacing w:after="0" w:line="240" w:lineRule="auto"/>
              <w:rPr>
                <w:rFonts w:ascii="Calibri" w:hAnsi="Calibri" w:eastAsia="Times New Roman" w:cs="Calibri"/>
                <w:kern w:val="0"/>
                <w:sz w:val="20"/>
                <w:szCs w:val="20"/>
                <w:lang w:val="it-IT" w:eastAsia="en-GB"/>
                <w14:ligatures w14:val="none"/>
              </w:rPr>
            </w:pPr>
            <w:r w:rsidRPr="00D8539A">
              <w:rPr>
                <w:rFonts w:ascii="Calibri" w:hAnsi="Calibri" w:eastAsia="Times New Roman" w:cs="Calibri"/>
                <w:kern w:val="0"/>
                <w:sz w:val="20"/>
                <w:szCs w:val="20"/>
                <w:lang w:val="it-IT" w:eastAsia="en-GB"/>
                <w14:ligatures w14:val="none"/>
              </w:rPr>
              <w:t>Pontificia Universidad Católica de Chile (UC)</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132C4BB9"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Chile</w:t>
            </w:r>
          </w:p>
        </w:tc>
      </w:tr>
      <w:tr w:rsidRPr="00D8539A" w:rsidR="00D8539A" w:rsidTr="238D8AFF" w14:paraId="3C59985D"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302F1CCC"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2</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1A7090E8"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6B73E31A"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Universidad de São Paulo</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57DC5FF1"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Brasil</w:t>
            </w:r>
          </w:p>
        </w:tc>
      </w:tr>
      <w:tr w:rsidRPr="00D8539A" w:rsidR="00D8539A" w:rsidTr="238D8AFF" w14:paraId="25D43E29"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5436EC45"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3</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5A12EDA7"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3</w:t>
            </w:r>
          </w:p>
        </w:tc>
        <w:tc>
          <w:tcPr>
            <w:tcW w:w="4678" w:type="dxa"/>
            <w:tcBorders>
              <w:top w:val="nil"/>
              <w:left w:val="nil"/>
              <w:bottom w:val="single" w:color="auto" w:sz="4" w:space="0"/>
              <w:right w:val="single" w:color="auto" w:sz="4" w:space="0"/>
            </w:tcBorders>
            <w:noWrap/>
            <w:vAlign w:val="bottom"/>
            <w:hideMark/>
          </w:tcPr>
          <w:p w:rsidRPr="00F250D7" w:rsidR="00D8539A" w:rsidP="00D8539A" w:rsidRDefault="00D8539A" w14:paraId="233410A9"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Estatal de Campinas (</w:t>
            </w:r>
            <w:proofErr w:type="spellStart"/>
            <w:r w:rsidRPr="00F250D7">
              <w:rPr>
                <w:rFonts w:ascii="Calibri" w:hAnsi="Calibri" w:eastAsia="Times New Roman" w:cs="Calibri"/>
                <w:kern w:val="0"/>
                <w:sz w:val="20"/>
                <w:szCs w:val="20"/>
                <w:lang w:val="es-ES" w:eastAsia="en-GB"/>
                <w14:ligatures w14:val="none"/>
              </w:rPr>
              <w:t>Unicamp</w:t>
            </w:r>
            <w:proofErr w:type="spellEnd"/>
            <w:r w:rsidRPr="00F250D7">
              <w:rPr>
                <w:rFonts w:ascii="Calibri" w:hAnsi="Calibri" w:eastAsia="Times New Roman" w:cs="Calibri"/>
                <w:kern w:val="0"/>
                <w:sz w:val="20"/>
                <w:szCs w:val="20"/>
                <w:lang w:val="es-ES" w:eastAsia="en-GB"/>
                <w14:ligatures w14:val="none"/>
              </w:rPr>
              <w:t>)</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1F6FF9F0" w14:textId="77777777">
            <w:pPr>
              <w:spacing w:after="0" w:line="240" w:lineRule="auto"/>
              <w:rPr>
                <w:rFonts w:ascii="Calibri" w:hAnsi="Calibri" w:eastAsia="Times New Roman" w:cs="Calibri"/>
                <w:kern w:val="0"/>
                <w:sz w:val="20"/>
                <w:szCs w:val="20"/>
                <w:lang w:eastAsia="en-GB"/>
                <w14:ligatures w14:val="none"/>
              </w:rPr>
            </w:pPr>
            <w:proofErr w:type="spellStart"/>
            <w:r w:rsidRPr="00D8539A">
              <w:rPr>
                <w:rFonts w:ascii="Calibri" w:hAnsi="Calibri" w:eastAsia="Times New Roman" w:cs="Calibri"/>
                <w:kern w:val="0"/>
                <w:sz w:val="20"/>
                <w:szCs w:val="20"/>
                <w:lang w:eastAsia="en-GB"/>
                <w14:ligatures w14:val="none"/>
              </w:rPr>
              <w:t>Brasil</w:t>
            </w:r>
            <w:proofErr w:type="spellEnd"/>
          </w:p>
        </w:tc>
      </w:tr>
      <w:tr w:rsidRPr="00D8539A" w:rsidR="00D8539A" w:rsidTr="238D8AFF" w14:paraId="741E7C4E"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5A6179CB"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4</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688A44D9"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4</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1B802C73"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Tecnológico de Monterrey</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1F35F5AC"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México</w:t>
            </w:r>
          </w:p>
        </w:tc>
      </w:tr>
      <w:tr w:rsidRPr="00D8539A" w:rsidR="00D8539A" w:rsidTr="238D8AFF" w14:paraId="60452710"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5093BEB6"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5</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4F08280E"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5</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06F5760F"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Universidad Federal de Río de Janeiro</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11BED02E"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Brasil</w:t>
            </w:r>
          </w:p>
        </w:tc>
      </w:tr>
      <w:tr w:rsidRPr="00D8539A" w:rsidR="00D8539A" w:rsidTr="238D8AFF" w14:paraId="098A5DCB"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57F86D0C"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=6</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707C5633"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8</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6D03D17E"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UNESP</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4688CF6D"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Brasil</w:t>
            </w:r>
          </w:p>
        </w:tc>
      </w:tr>
      <w:tr w:rsidRPr="00D8539A" w:rsidR="00D8539A" w:rsidTr="238D8AFF" w14:paraId="221F227F"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1C3CFC61"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=6</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6AAAE197"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6</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389D3B38"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Universidad de Chile</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02F59343"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Chile</w:t>
            </w:r>
          </w:p>
        </w:tc>
      </w:tr>
      <w:tr w:rsidRPr="00D8539A" w:rsidR="00D8539A" w:rsidTr="238D8AFF" w14:paraId="1A6A9AA5"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1F7B1B9D"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8</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50DF065D"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7</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1703FDB2"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Universidad de los Andes</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0F285C53"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Colombia</w:t>
            </w:r>
          </w:p>
        </w:tc>
      </w:tr>
      <w:tr w:rsidRPr="00D8539A" w:rsidR="00D8539A" w:rsidTr="238D8AFF" w14:paraId="26A39474"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06BB7227"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9</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6016FD36"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9</w:t>
            </w:r>
          </w:p>
        </w:tc>
        <w:tc>
          <w:tcPr>
            <w:tcW w:w="4678" w:type="dxa"/>
            <w:tcBorders>
              <w:top w:val="nil"/>
              <w:left w:val="nil"/>
              <w:bottom w:val="single" w:color="auto" w:sz="4" w:space="0"/>
              <w:right w:val="single" w:color="auto" w:sz="4" w:space="0"/>
            </w:tcBorders>
            <w:noWrap/>
            <w:vAlign w:val="bottom"/>
            <w:hideMark/>
          </w:tcPr>
          <w:p w:rsidRPr="00F250D7" w:rsidR="00D8539A" w:rsidP="00D8539A" w:rsidRDefault="00D8539A" w14:paraId="6CFCDF8D"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Nacional Autónoma de México (UNAM)</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3C190362"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México</w:t>
            </w:r>
          </w:p>
        </w:tc>
      </w:tr>
      <w:tr w:rsidRPr="00D8539A" w:rsidR="00D8539A" w:rsidTr="238D8AFF" w14:paraId="38D7F259"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6C82F56A"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10</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770DC416"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10</w:t>
            </w:r>
          </w:p>
        </w:tc>
        <w:tc>
          <w:tcPr>
            <w:tcW w:w="4678" w:type="dxa"/>
            <w:tcBorders>
              <w:top w:val="nil"/>
              <w:left w:val="nil"/>
              <w:bottom w:val="single" w:color="auto" w:sz="4" w:space="0"/>
              <w:right w:val="single" w:color="auto" w:sz="4" w:space="0"/>
            </w:tcBorders>
            <w:noWrap/>
            <w:vAlign w:val="bottom"/>
            <w:hideMark/>
          </w:tcPr>
          <w:p w:rsidRPr="00F250D7" w:rsidR="00D8539A" w:rsidP="00D8539A" w:rsidRDefault="00D8539A" w14:paraId="66288570"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de Buenos Aires (UBA)</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3B9406DC"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Argentina</w:t>
            </w:r>
          </w:p>
        </w:tc>
      </w:tr>
      <w:tr w:rsidRPr="00D8539A" w:rsidR="00D8539A" w:rsidTr="238D8AFF" w14:paraId="57330826"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4F7924A9"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11</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7580498C"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11</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55927E1D"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Universidad de Concepción</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6FFCFAEB"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Chile</w:t>
            </w:r>
          </w:p>
        </w:tc>
      </w:tr>
      <w:tr w:rsidRPr="00D8539A" w:rsidR="00D8539A" w:rsidTr="238D8AFF" w14:paraId="07F6CEE0"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5BCC8088"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12</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4F6BBC5E"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12</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73264F9E"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Universidad Nacional de Colombia</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1FC948B3"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Colombia</w:t>
            </w:r>
          </w:p>
        </w:tc>
      </w:tr>
      <w:tr w:rsidRPr="00D8539A" w:rsidR="00D8539A" w:rsidTr="238D8AFF" w14:paraId="6E212603"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226B24AB"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13</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036A7DEE"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14</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276DC3B7" w14:textId="77777777">
            <w:pPr>
              <w:spacing w:after="0" w:line="240" w:lineRule="auto"/>
              <w:rPr>
                <w:rFonts w:ascii="Calibri" w:hAnsi="Calibri" w:eastAsia="Times New Roman" w:cs="Calibri"/>
                <w:kern w:val="0"/>
                <w:sz w:val="20"/>
                <w:szCs w:val="20"/>
                <w:lang w:val="it-IT" w:eastAsia="en-GB"/>
                <w14:ligatures w14:val="none"/>
              </w:rPr>
            </w:pPr>
            <w:r w:rsidRPr="00D8539A">
              <w:rPr>
                <w:rFonts w:ascii="Calibri" w:hAnsi="Calibri" w:eastAsia="Times New Roman" w:cs="Calibri"/>
                <w:kern w:val="0"/>
                <w:sz w:val="20"/>
                <w:szCs w:val="20"/>
                <w:lang w:val="it-IT" w:eastAsia="en-GB"/>
                <w14:ligatures w14:val="none"/>
              </w:rPr>
              <w:t>Pontificia Universidad Católica de Río de Janeiro</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38FA1C6C"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Brasil</w:t>
            </w:r>
          </w:p>
        </w:tc>
      </w:tr>
      <w:tr w:rsidRPr="00D8539A" w:rsidR="00D8539A" w:rsidTr="238D8AFF" w14:paraId="45FFD3AD"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08BC2593"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14</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34FA1BD8"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13</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7A0B0415"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Universidad Federal de Minas Gerais (UFMG)</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13A898EF"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Brasil</w:t>
            </w:r>
          </w:p>
        </w:tc>
      </w:tr>
      <w:tr w:rsidRPr="00D8539A" w:rsidR="00D8539A" w:rsidTr="238D8AFF" w14:paraId="42D2B744"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02687F4D"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15</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7DE84C37"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15</w:t>
            </w:r>
          </w:p>
        </w:tc>
        <w:tc>
          <w:tcPr>
            <w:tcW w:w="4678" w:type="dxa"/>
            <w:tcBorders>
              <w:top w:val="nil"/>
              <w:left w:val="nil"/>
              <w:bottom w:val="single" w:color="auto" w:sz="4" w:space="0"/>
              <w:right w:val="single" w:color="auto" w:sz="4" w:space="0"/>
            </w:tcBorders>
            <w:noWrap/>
            <w:vAlign w:val="bottom"/>
            <w:hideMark/>
          </w:tcPr>
          <w:p w:rsidRPr="00F250D7" w:rsidR="00D8539A" w:rsidP="00D8539A" w:rsidRDefault="00D8539A" w14:paraId="53C0D05E"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Pontificia Universidad Católica del Perú (PUCP)</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270696C4"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Perú</w:t>
            </w:r>
          </w:p>
        </w:tc>
      </w:tr>
      <w:tr w:rsidRPr="00D8539A" w:rsidR="00D8539A" w:rsidTr="238D8AFF" w14:paraId="068B26C8"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28CD9248"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16</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7171A12E"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16</w:t>
            </w:r>
          </w:p>
        </w:tc>
        <w:tc>
          <w:tcPr>
            <w:tcW w:w="4678" w:type="dxa"/>
            <w:tcBorders>
              <w:top w:val="nil"/>
              <w:left w:val="nil"/>
              <w:bottom w:val="single" w:color="auto" w:sz="4" w:space="0"/>
              <w:right w:val="single" w:color="auto" w:sz="4" w:space="0"/>
            </w:tcBorders>
            <w:noWrap/>
            <w:vAlign w:val="bottom"/>
            <w:hideMark/>
          </w:tcPr>
          <w:p w:rsidRPr="00F250D7" w:rsidR="00D8539A" w:rsidP="00D8539A" w:rsidRDefault="00D8539A" w14:paraId="2F41576D" w14:textId="77777777">
            <w:pPr>
              <w:spacing w:after="0" w:line="240" w:lineRule="auto"/>
              <w:rPr>
                <w:rFonts w:ascii="Calibri" w:hAnsi="Calibri" w:eastAsia="Times New Roman" w:cs="Calibri"/>
                <w:kern w:val="0"/>
                <w:sz w:val="20"/>
                <w:szCs w:val="20"/>
                <w:lang w:val="pt-PT" w:eastAsia="en-GB"/>
                <w14:ligatures w14:val="none"/>
              </w:rPr>
            </w:pPr>
            <w:proofErr w:type="spellStart"/>
            <w:r w:rsidRPr="00F250D7">
              <w:rPr>
                <w:rFonts w:ascii="Calibri" w:hAnsi="Calibri" w:eastAsia="Times New Roman" w:cs="Calibri"/>
                <w:kern w:val="0"/>
                <w:sz w:val="20"/>
                <w:szCs w:val="20"/>
                <w:lang w:val="pt-PT" w:eastAsia="en-GB"/>
                <w14:ligatures w14:val="none"/>
              </w:rPr>
              <w:t>Universidad</w:t>
            </w:r>
            <w:proofErr w:type="spellEnd"/>
            <w:r w:rsidRPr="00F250D7">
              <w:rPr>
                <w:rFonts w:ascii="Calibri" w:hAnsi="Calibri" w:eastAsia="Times New Roman" w:cs="Calibri"/>
                <w:kern w:val="0"/>
                <w:sz w:val="20"/>
                <w:szCs w:val="20"/>
                <w:lang w:val="pt-PT" w:eastAsia="en-GB"/>
                <w14:ligatures w14:val="none"/>
              </w:rPr>
              <w:t xml:space="preserve"> Federal de Rio Grande do Sul</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78C3B1DB" w14:textId="77777777">
            <w:pPr>
              <w:spacing w:after="0" w:line="240" w:lineRule="auto"/>
              <w:rPr>
                <w:rFonts w:ascii="Calibri" w:hAnsi="Calibri" w:eastAsia="Times New Roman" w:cs="Calibri"/>
                <w:kern w:val="0"/>
                <w:sz w:val="20"/>
                <w:szCs w:val="20"/>
                <w:lang w:eastAsia="en-GB"/>
                <w14:ligatures w14:val="none"/>
              </w:rPr>
            </w:pPr>
            <w:proofErr w:type="spellStart"/>
            <w:r w:rsidRPr="00D8539A">
              <w:rPr>
                <w:rFonts w:ascii="Calibri" w:hAnsi="Calibri" w:eastAsia="Times New Roman" w:cs="Calibri"/>
                <w:kern w:val="0"/>
                <w:sz w:val="20"/>
                <w:szCs w:val="20"/>
                <w:lang w:eastAsia="en-GB"/>
                <w14:ligatures w14:val="none"/>
              </w:rPr>
              <w:t>Brasil</w:t>
            </w:r>
            <w:proofErr w:type="spellEnd"/>
          </w:p>
        </w:tc>
      </w:tr>
      <w:tr w:rsidRPr="00D8539A" w:rsidR="00D8539A" w:rsidTr="238D8AFF" w14:paraId="52484942"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235B82D3"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17</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08B6AD06"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17</w:t>
            </w:r>
          </w:p>
        </w:tc>
        <w:tc>
          <w:tcPr>
            <w:tcW w:w="4678" w:type="dxa"/>
            <w:tcBorders>
              <w:top w:val="nil"/>
              <w:left w:val="nil"/>
              <w:bottom w:val="single" w:color="auto" w:sz="4" w:space="0"/>
              <w:right w:val="single" w:color="auto" w:sz="4" w:space="0"/>
            </w:tcBorders>
            <w:noWrap/>
            <w:vAlign w:val="bottom"/>
            <w:hideMark/>
          </w:tcPr>
          <w:p w:rsidRPr="00F250D7" w:rsidR="00D8539A" w:rsidP="00D8539A" w:rsidRDefault="00D8539A" w14:paraId="631886E2"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de Santiago de Chile (USACH)</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3EFB85C9"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Chile</w:t>
            </w:r>
          </w:p>
        </w:tc>
      </w:tr>
      <w:tr w:rsidRPr="00D8539A" w:rsidR="00D8539A" w:rsidTr="238D8AFF" w14:paraId="6CDBCE6C"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3A2F4FA1"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18</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440EA77C"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18</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013C0B47"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Pontificia Universidad Javeriana</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7789645A"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Colombia</w:t>
            </w:r>
          </w:p>
        </w:tc>
      </w:tr>
      <w:tr w:rsidRPr="00D8539A" w:rsidR="00D8539A" w:rsidTr="238D8AFF" w14:paraId="1F78810D"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478B0908"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19</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3BE6653A"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20</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10C63C70"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Universidad de Costa Rica</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20094A6A"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Costa Rica</w:t>
            </w:r>
          </w:p>
        </w:tc>
      </w:tr>
      <w:tr w:rsidRPr="002B720E" w:rsidR="002B720E" w:rsidTr="238D8AFF" w14:paraId="162A8CC4" w14:textId="77777777">
        <w:trPr>
          <w:trHeight w:val="300"/>
          <w:jc w:val="center"/>
        </w:trPr>
        <w:tc>
          <w:tcPr>
            <w:tcW w:w="1271" w:type="dxa"/>
            <w:tcBorders>
              <w:top w:val="nil"/>
              <w:left w:val="single" w:color="auto" w:sz="4" w:space="0"/>
              <w:bottom w:val="single" w:color="auto" w:sz="4" w:space="0"/>
              <w:right w:val="single" w:color="auto" w:sz="4" w:space="0"/>
            </w:tcBorders>
            <w:noWrap/>
            <w:vAlign w:val="bottom"/>
            <w:hideMark/>
          </w:tcPr>
          <w:p w:rsidRPr="00D8539A" w:rsidR="00D8539A" w:rsidP="00D8539A" w:rsidRDefault="00D8539A" w14:paraId="6CFBA091"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20</w:t>
            </w:r>
          </w:p>
        </w:tc>
        <w:tc>
          <w:tcPr>
            <w:tcW w:w="1276" w:type="dxa"/>
            <w:tcBorders>
              <w:top w:val="nil"/>
              <w:left w:val="nil"/>
              <w:bottom w:val="single" w:color="auto" w:sz="4" w:space="0"/>
              <w:right w:val="single" w:color="auto" w:sz="4" w:space="0"/>
            </w:tcBorders>
            <w:noWrap/>
            <w:vAlign w:val="bottom"/>
            <w:hideMark/>
          </w:tcPr>
          <w:p w:rsidRPr="00D8539A" w:rsidR="00D8539A" w:rsidP="00D8539A" w:rsidRDefault="00D8539A" w14:paraId="0C4BDA82" w14:textId="77777777">
            <w:pPr>
              <w:spacing w:after="0" w:line="240" w:lineRule="auto"/>
              <w:jc w:val="center"/>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19</w:t>
            </w:r>
          </w:p>
        </w:tc>
        <w:tc>
          <w:tcPr>
            <w:tcW w:w="4678" w:type="dxa"/>
            <w:tcBorders>
              <w:top w:val="nil"/>
              <w:left w:val="nil"/>
              <w:bottom w:val="single" w:color="auto" w:sz="4" w:space="0"/>
              <w:right w:val="single" w:color="auto" w:sz="4" w:space="0"/>
            </w:tcBorders>
            <w:noWrap/>
            <w:vAlign w:val="bottom"/>
            <w:hideMark/>
          </w:tcPr>
          <w:p w:rsidRPr="00D8539A" w:rsidR="00D8539A" w:rsidP="00D8539A" w:rsidRDefault="00D8539A" w14:paraId="550A5C35"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Universidad de Antioquia</w:t>
            </w:r>
          </w:p>
        </w:tc>
        <w:tc>
          <w:tcPr>
            <w:tcW w:w="1275" w:type="dxa"/>
            <w:tcBorders>
              <w:top w:val="nil"/>
              <w:left w:val="nil"/>
              <w:bottom w:val="single" w:color="auto" w:sz="4" w:space="0"/>
              <w:right w:val="single" w:color="auto" w:sz="4" w:space="0"/>
            </w:tcBorders>
            <w:noWrap/>
            <w:vAlign w:val="bottom"/>
            <w:hideMark/>
          </w:tcPr>
          <w:p w:rsidRPr="00D8539A" w:rsidR="00D8539A" w:rsidP="00D8539A" w:rsidRDefault="00D8539A" w14:paraId="098032D3" w14:textId="77777777">
            <w:pPr>
              <w:spacing w:after="0" w:line="240" w:lineRule="auto"/>
              <w:rPr>
                <w:rFonts w:ascii="Calibri" w:hAnsi="Calibri" w:eastAsia="Times New Roman" w:cs="Calibri"/>
                <w:kern w:val="0"/>
                <w:sz w:val="20"/>
                <w:szCs w:val="20"/>
                <w:lang w:eastAsia="en-GB"/>
                <w14:ligatures w14:val="none"/>
              </w:rPr>
            </w:pPr>
            <w:r w:rsidRPr="00D8539A">
              <w:rPr>
                <w:rFonts w:ascii="Calibri" w:hAnsi="Calibri" w:eastAsia="Times New Roman" w:cs="Calibri"/>
                <w:kern w:val="0"/>
                <w:sz w:val="20"/>
                <w:szCs w:val="20"/>
                <w:lang w:eastAsia="en-GB"/>
                <w14:ligatures w14:val="none"/>
              </w:rPr>
              <w:t>Colombia</w:t>
            </w:r>
          </w:p>
        </w:tc>
      </w:tr>
    </w:tbl>
    <w:p w:rsidRPr="002B720E" w:rsidR="00D8539A" w:rsidP="00E40BF5" w:rsidRDefault="00D8539A" w14:paraId="51F0E8CD" w14:textId="77777777">
      <w:pPr>
        <w:rPr>
          <w:rFonts w:ascii="Calibri" w:hAnsi="Calibri" w:cs="Calibri"/>
          <w:sz w:val="22"/>
          <w:szCs w:val="22"/>
        </w:rPr>
      </w:pPr>
    </w:p>
    <w:p w:rsidRPr="00F250D7" w:rsidR="003F63D6" w:rsidP="002B720E" w:rsidRDefault="76ED59B8" w14:paraId="428A7839" w14:textId="292981C8">
      <w:pPr>
        <w:spacing w:line="360" w:lineRule="auto"/>
        <w:rPr>
          <w:rFonts w:ascii="Calibri" w:hAnsi="Calibri" w:cs="Calibri"/>
          <w:sz w:val="22"/>
          <w:szCs w:val="22"/>
          <w:lang w:val="es-ES"/>
        </w:rPr>
      </w:pPr>
      <w:hyperlink r:id="rId9">
        <w:r w:rsidRPr="00F250D7">
          <w:rPr>
            <w:rStyle w:val="Hyperlink"/>
            <w:rFonts w:ascii="Calibri" w:hAnsi="Calibri" w:cs="Calibri"/>
            <w:sz w:val="22"/>
            <w:szCs w:val="22"/>
            <w:lang w:val="es-ES"/>
          </w:rPr>
          <w:t xml:space="preserve">QS </w:t>
        </w:r>
        <w:proofErr w:type="spellStart"/>
        <w:r w:rsidRPr="00F250D7">
          <w:rPr>
            <w:rStyle w:val="Hyperlink"/>
            <w:rFonts w:ascii="Calibri" w:hAnsi="Calibri" w:cs="Calibri"/>
            <w:sz w:val="22"/>
            <w:szCs w:val="22"/>
            <w:lang w:val="es-ES"/>
          </w:rPr>
          <w:t>World</w:t>
        </w:r>
        <w:proofErr w:type="spellEnd"/>
        <w:r w:rsidRPr="00F250D7">
          <w:rPr>
            <w:rStyle w:val="Hyperlink"/>
            <w:rFonts w:ascii="Calibri" w:hAnsi="Calibri" w:cs="Calibri"/>
            <w:sz w:val="22"/>
            <w:szCs w:val="22"/>
            <w:lang w:val="es-ES"/>
          </w:rPr>
          <w:t xml:space="preserve"> University Rankings 2026: Latinoamérica y el Caribe</w:t>
        </w:r>
      </w:hyperlink>
      <w:r w:rsidRPr="00F250D7" w:rsidR="00D8539A">
        <w:rPr>
          <w:rFonts w:ascii="Calibri" w:hAnsi="Calibri" w:cs="Calibri"/>
          <w:sz w:val="22"/>
          <w:szCs w:val="22"/>
          <w:lang w:val="es-ES"/>
        </w:rPr>
        <w:t xml:space="preserve"> incluye</w:t>
      </w:r>
      <w:r w:rsidRPr="00F250D7" w:rsidR="00DB171C">
        <w:rPr>
          <w:rFonts w:ascii="Calibri" w:hAnsi="Calibri" w:cs="Calibri"/>
          <w:sz w:val="22"/>
          <w:szCs w:val="22"/>
          <w:lang w:val="es-ES"/>
        </w:rPr>
        <w:t xml:space="preserve"> 491 universidades de 26 países. </w:t>
      </w:r>
      <w:r w:rsidRPr="00F250D7" w:rsidR="003F63D6">
        <w:rPr>
          <w:rFonts w:ascii="Calibri" w:hAnsi="Calibri" w:cs="Calibri"/>
          <w:sz w:val="22"/>
          <w:szCs w:val="22"/>
          <w:lang w:val="es-ES"/>
        </w:rPr>
        <w:t xml:space="preserve">Brasil es el país más representado </w:t>
      </w:r>
      <w:r w:rsidRPr="00F250D7" w:rsidR="00976CE1">
        <w:rPr>
          <w:rFonts w:ascii="Calibri" w:hAnsi="Calibri" w:cs="Calibri"/>
          <w:sz w:val="22"/>
          <w:szCs w:val="22"/>
          <w:lang w:val="es-ES"/>
        </w:rPr>
        <w:t xml:space="preserve">en la clasificación </w:t>
      </w:r>
      <w:r w:rsidRPr="00F250D7" w:rsidR="003F63D6">
        <w:rPr>
          <w:rFonts w:ascii="Calibri" w:hAnsi="Calibri" w:cs="Calibri"/>
          <w:sz w:val="22"/>
          <w:szCs w:val="22"/>
          <w:lang w:val="es-ES"/>
        </w:rPr>
        <w:t>por un margen significativo, con 130 instituciones clasificadas</w:t>
      </w:r>
      <w:r w:rsidRPr="00F250D7" w:rsidR="0027674F">
        <w:rPr>
          <w:rFonts w:ascii="Calibri" w:hAnsi="Calibri" w:cs="Calibri"/>
          <w:sz w:val="22"/>
          <w:szCs w:val="22"/>
          <w:lang w:val="es-ES"/>
        </w:rPr>
        <w:t xml:space="preserve">, </w:t>
      </w:r>
      <w:r w:rsidRPr="00F250D7" w:rsidR="00D8539A">
        <w:rPr>
          <w:rFonts w:ascii="Calibri" w:hAnsi="Calibri" w:cs="Calibri"/>
          <w:sz w:val="22"/>
          <w:szCs w:val="22"/>
          <w:lang w:val="es-ES"/>
        </w:rPr>
        <w:t xml:space="preserve">lo que supone un impresionante aumento de 34 universidades en la clasificación de este año y </w:t>
      </w:r>
      <w:r w:rsidRPr="00F250D7" w:rsidR="003F63D6">
        <w:rPr>
          <w:rFonts w:ascii="Calibri" w:hAnsi="Calibri" w:cs="Calibri"/>
          <w:sz w:val="22"/>
          <w:szCs w:val="22"/>
          <w:lang w:val="es-ES"/>
        </w:rPr>
        <w:t xml:space="preserve">casi </w:t>
      </w:r>
      <w:r w:rsidRPr="00F250D7" w:rsidR="00D8539A">
        <w:rPr>
          <w:rFonts w:ascii="Calibri" w:hAnsi="Calibri" w:cs="Calibri"/>
          <w:sz w:val="22"/>
          <w:szCs w:val="22"/>
          <w:lang w:val="es-ES"/>
        </w:rPr>
        <w:t xml:space="preserve">el doble </w:t>
      </w:r>
      <w:r w:rsidRPr="00F250D7" w:rsidR="003F63D6">
        <w:rPr>
          <w:rFonts w:ascii="Calibri" w:hAnsi="Calibri" w:cs="Calibri"/>
          <w:sz w:val="22"/>
          <w:szCs w:val="22"/>
          <w:lang w:val="es-ES"/>
        </w:rPr>
        <w:t xml:space="preserve">del </w:t>
      </w:r>
      <w:r w:rsidRPr="00F250D7" w:rsidR="08F0F4F2">
        <w:rPr>
          <w:rFonts w:ascii="Calibri" w:hAnsi="Calibri" w:cs="Calibri"/>
          <w:sz w:val="22"/>
          <w:szCs w:val="22"/>
          <w:lang w:val="es-ES"/>
        </w:rPr>
        <w:t>número</w:t>
      </w:r>
      <w:r w:rsidRPr="00F250D7" w:rsidR="00D8539A">
        <w:rPr>
          <w:rFonts w:ascii="Calibri" w:hAnsi="Calibri" w:cs="Calibri"/>
          <w:sz w:val="22"/>
          <w:szCs w:val="22"/>
          <w:lang w:val="es-ES"/>
        </w:rPr>
        <w:t xml:space="preserve"> total de los </w:t>
      </w:r>
      <w:r w:rsidRPr="00F250D7" w:rsidR="003F63D6">
        <w:rPr>
          <w:rFonts w:ascii="Calibri" w:hAnsi="Calibri" w:cs="Calibri"/>
          <w:sz w:val="22"/>
          <w:szCs w:val="22"/>
          <w:lang w:val="es-ES"/>
        </w:rPr>
        <w:t>siguientes países más representados, México y Colombia, con 67 cada uno.</w:t>
      </w:r>
    </w:p>
    <w:tbl>
      <w:tblPr>
        <w:tblW w:w="8464" w:type="dxa"/>
        <w:jc w:val="center"/>
        <w:tblLook w:val="04A0" w:firstRow="1" w:lastRow="0" w:firstColumn="1" w:lastColumn="0" w:noHBand="0" w:noVBand="1"/>
      </w:tblPr>
      <w:tblGrid>
        <w:gridCol w:w="1162"/>
        <w:gridCol w:w="1069"/>
        <w:gridCol w:w="954"/>
        <w:gridCol w:w="944"/>
        <w:gridCol w:w="985"/>
        <w:gridCol w:w="825"/>
        <w:gridCol w:w="548"/>
        <w:gridCol w:w="577"/>
        <w:gridCol w:w="651"/>
        <w:gridCol w:w="636"/>
        <w:gridCol w:w="665"/>
      </w:tblGrid>
      <w:tr w:rsidRPr="004975DB" w:rsidR="003F5061" w:rsidTr="238D8AFF" w14:paraId="2666EAF4" w14:textId="77777777">
        <w:trPr>
          <w:trHeight w:val="300"/>
          <w:jc w:val="center"/>
        </w:trPr>
        <w:tc>
          <w:tcPr>
            <w:tcW w:w="8464" w:type="dxa"/>
            <w:gridSpan w:val="11"/>
            <w:tcBorders>
              <w:top w:val="single" w:color="auto" w:sz="4" w:space="0"/>
              <w:left w:val="single" w:color="auto" w:sz="4" w:space="0"/>
              <w:bottom w:val="single" w:color="auto" w:sz="4" w:space="0"/>
              <w:right w:val="single" w:color="auto" w:sz="4" w:space="0"/>
            </w:tcBorders>
            <w:noWrap/>
            <w:vAlign w:val="bottom"/>
            <w:hideMark/>
          </w:tcPr>
          <w:p w:rsidRPr="00F250D7" w:rsidR="003F5061" w:rsidP="003F5061" w:rsidRDefault="003F5061" w14:paraId="16B12F0E" w14:textId="77777777">
            <w:pPr>
              <w:spacing w:after="0" w:line="240" w:lineRule="auto"/>
              <w:jc w:val="center"/>
              <w:rPr>
                <w:rFonts w:ascii="Calibri" w:hAnsi="Calibri" w:eastAsia="Times New Roman" w:cs="Calibri"/>
                <w:b/>
                <w:bCs/>
                <w:color w:val="1D1D1B"/>
                <w:kern w:val="0"/>
                <w:sz w:val="20"/>
                <w:szCs w:val="20"/>
                <w:lang w:val="es-ES" w:eastAsia="en-GB"/>
                <w14:ligatures w14:val="none"/>
              </w:rPr>
            </w:pPr>
            <w:r w:rsidRPr="00F250D7">
              <w:rPr>
                <w:rFonts w:ascii="Calibri" w:hAnsi="Calibri" w:eastAsia="Times New Roman" w:cs="Calibri"/>
                <w:b/>
                <w:bCs/>
                <w:color w:val="1D1D1B"/>
                <w:kern w:val="0"/>
                <w:sz w:val="20"/>
                <w:szCs w:val="20"/>
                <w:lang w:val="es-ES" w:eastAsia="en-GB"/>
                <w14:ligatures w14:val="none"/>
              </w:rPr>
              <w:t>Los 10 países con más universidades clasificadas</w:t>
            </w:r>
          </w:p>
        </w:tc>
      </w:tr>
      <w:tr w:rsidRPr="002B720E" w:rsidR="002B720E" w:rsidTr="238D8AFF" w14:paraId="7FF29532" w14:textId="77777777">
        <w:trPr>
          <w:trHeight w:val="300"/>
          <w:jc w:val="center"/>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55505553" w14:textId="77777777">
            <w:pPr>
              <w:spacing w:after="0" w:line="240" w:lineRule="auto"/>
              <w:rPr>
                <w:rFonts w:ascii="Calibri" w:hAnsi="Calibri" w:eastAsia="Times New Roman" w:cs="Calibri"/>
                <w:b/>
                <w:bCs/>
                <w:kern w:val="0"/>
                <w:sz w:val="20"/>
                <w:szCs w:val="20"/>
                <w:lang w:eastAsia="en-GB"/>
                <w14:ligatures w14:val="none"/>
              </w:rPr>
            </w:pPr>
            <w:r w:rsidRPr="003F5061">
              <w:rPr>
                <w:rFonts w:ascii="Calibri" w:hAnsi="Calibri" w:eastAsia="Times New Roman" w:cs="Calibri"/>
                <w:b/>
                <w:bCs/>
                <w:kern w:val="0"/>
                <w:sz w:val="20"/>
                <w:szCs w:val="20"/>
                <w:lang w:eastAsia="en-GB"/>
                <w14:ligatures w14:val="none"/>
              </w:rPr>
              <w:t>País</w:t>
            </w:r>
          </w:p>
        </w:tc>
        <w:tc>
          <w:tcPr>
            <w:tcW w:w="87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5E64452" w14:textId="7D9F9268">
            <w:pPr>
              <w:spacing w:after="0" w:line="240" w:lineRule="auto"/>
              <w:jc w:val="center"/>
              <w:rPr>
                <w:rFonts w:ascii="Calibri" w:hAnsi="Calibri" w:eastAsia="Times New Roman" w:cs="Calibri"/>
                <w:b/>
                <w:bCs/>
                <w:kern w:val="0"/>
                <w:sz w:val="20"/>
                <w:szCs w:val="20"/>
                <w:lang w:eastAsia="en-GB"/>
                <w14:ligatures w14:val="none"/>
              </w:rPr>
            </w:pPr>
            <w:r w:rsidRPr="003F5061">
              <w:rPr>
                <w:rFonts w:ascii="Calibri" w:hAnsi="Calibri" w:eastAsia="Times New Roman" w:cs="Calibri"/>
                <w:b/>
                <w:bCs/>
                <w:kern w:val="0"/>
                <w:sz w:val="20"/>
                <w:szCs w:val="20"/>
                <w:lang w:eastAsia="en-GB"/>
                <w14:ligatures w14:val="none"/>
              </w:rPr>
              <w:t xml:space="preserve">Total </w:t>
            </w:r>
            <w:r w:rsidRPr="003F5061" w:rsidR="5709F221">
              <w:rPr>
                <w:rFonts w:ascii="Calibri" w:hAnsi="Calibri" w:eastAsia="Times New Roman" w:cs="Calibri"/>
                <w:b/>
                <w:bCs/>
                <w:kern w:val="0"/>
                <w:sz w:val="20"/>
                <w:szCs w:val="20"/>
                <w:lang w:eastAsia="en-GB"/>
                <w14:ligatures w14:val="none"/>
              </w:rPr>
              <w:t>clasificado</w:t>
            </w:r>
          </w:p>
        </w:tc>
        <w:tc>
          <w:tcPr>
            <w:tcW w:w="72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DD7B83B"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 de aumento</w:t>
            </w:r>
          </w:p>
        </w:tc>
        <w:tc>
          <w:tcPr>
            <w:tcW w:w="9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7C3A35A"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 Igual</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775E672B"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 Descenso</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7BA8D4A7" w14:textId="77777777">
            <w:pPr>
              <w:spacing w:after="0" w:line="240" w:lineRule="auto"/>
              <w:jc w:val="center"/>
              <w:rPr>
                <w:rFonts w:ascii="Calibri" w:hAnsi="Calibri" w:eastAsia="Times New Roman" w:cs="Calibri"/>
                <w:b/>
                <w:bCs/>
                <w:color w:val="0070C0"/>
                <w:kern w:val="0"/>
                <w:sz w:val="20"/>
                <w:szCs w:val="20"/>
                <w:lang w:eastAsia="en-GB"/>
                <w14:ligatures w14:val="none"/>
              </w:rPr>
            </w:pPr>
            <w:r w:rsidRPr="003F5061">
              <w:rPr>
                <w:rFonts w:ascii="Calibri" w:hAnsi="Calibri" w:eastAsia="Times New Roman" w:cs="Calibri"/>
                <w:b/>
                <w:bCs/>
                <w:color w:val="0070C0"/>
                <w:kern w:val="0"/>
                <w:sz w:val="20"/>
                <w:szCs w:val="20"/>
                <w:lang w:eastAsia="en-GB"/>
                <w14:ligatures w14:val="none"/>
              </w:rPr>
              <w:t>Nuevos</w:t>
            </w:r>
          </w:p>
        </w:tc>
        <w:tc>
          <w:tcPr>
            <w:tcW w:w="55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16F30A93" w14:textId="77777777">
            <w:pPr>
              <w:spacing w:after="0" w:line="240" w:lineRule="auto"/>
              <w:jc w:val="center"/>
              <w:rPr>
                <w:rFonts w:ascii="Calibri" w:hAnsi="Calibri" w:eastAsia="Times New Roman" w:cs="Calibri"/>
                <w:b/>
                <w:bCs/>
                <w:kern w:val="0"/>
                <w:sz w:val="20"/>
                <w:szCs w:val="20"/>
                <w:lang w:eastAsia="en-GB"/>
                <w14:ligatures w14:val="none"/>
              </w:rPr>
            </w:pPr>
            <w:r w:rsidRPr="003F5061">
              <w:rPr>
                <w:rFonts w:ascii="Calibri" w:hAnsi="Calibri" w:eastAsia="Times New Roman" w:cs="Calibri"/>
                <w:b/>
                <w:bCs/>
                <w:kern w:val="0"/>
                <w:sz w:val="20"/>
                <w:szCs w:val="20"/>
                <w:lang w:eastAsia="en-GB"/>
                <w14:ligatures w14:val="none"/>
              </w:rPr>
              <w:t>Top 10</w:t>
            </w:r>
          </w:p>
        </w:tc>
        <w:tc>
          <w:tcPr>
            <w:tcW w:w="58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4E95F48" w14:textId="77777777">
            <w:pPr>
              <w:spacing w:after="0" w:line="240" w:lineRule="auto"/>
              <w:jc w:val="center"/>
              <w:rPr>
                <w:rFonts w:ascii="Calibri" w:hAnsi="Calibri" w:eastAsia="Times New Roman" w:cs="Calibri"/>
                <w:b/>
                <w:bCs/>
                <w:kern w:val="0"/>
                <w:sz w:val="20"/>
                <w:szCs w:val="20"/>
                <w:lang w:eastAsia="en-GB"/>
                <w14:ligatures w14:val="none"/>
              </w:rPr>
            </w:pPr>
            <w:r w:rsidRPr="003F5061">
              <w:rPr>
                <w:rFonts w:ascii="Calibri" w:hAnsi="Calibri" w:eastAsia="Times New Roman" w:cs="Calibri"/>
                <w:b/>
                <w:bCs/>
                <w:kern w:val="0"/>
                <w:sz w:val="20"/>
                <w:szCs w:val="20"/>
                <w:lang w:eastAsia="en-GB"/>
                <w14:ligatures w14:val="none"/>
              </w:rPr>
              <w:t>Top 20</w:t>
            </w:r>
          </w:p>
        </w:tc>
        <w:tc>
          <w:tcPr>
            <w:tcW w:w="6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7F8F147" w14:textId="77777777">
            <w:pPr>
              <w:spacing w:after="0" w:line="240" w:lineRule="auto"/>
              <w:jc w:val="center"/>
              <w:rPr>
                <w:rFonts w:ascii="Calibri" w:hAnsi="Calibri" w:eastAsia="Times New Roman" w:cs="Calibri"/>
                <w:b/>
                <w:bCs/>
                <w:kern w:val="0"/>
                <w:sz w:val="20"/>
                <w:szCs w:val="20"/>
                <w:lang w:eastAsia="en-GB"/>
                <w14:ligatures w14:val="none"/>
              </w:rPr>
            </w:pPr>
            <w:r w:rsidRPr="003F5061">
              <w:rPr>
                <w:rFonts w:ascii="Calibri" w:hAnsi="Calibri" w:eastAsia="Times New Roman" w:cs="Calibri"/>
                <w:b/>
                <w:bCs/>
                <w:kern w:val="0"/>
                <w:sz w:val="20"/>
                <w:szCs w:val="20"/>
                <w:lang w:eastAsia="en-GB"/>
                <w14:ligatures w14:val="none"/>
              </w:rPr>
              <w:t>Top 50</w:t>
            </w:r>
          </w:p>
        </w:tc>
        <w:tc>
          <w:tcPr>
            <w:tcW w:w="64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744CD308" w14:textId="77777777">
            <w:pPr>
              <w:spacing w:after="0" w:line="240" w:lineRule="auto"/>
              <w:jc w:val="center"/>
              <w:rPr>
                <w:rFonts w:ascii="Calibri" w:hAnsi="Calibri" w:eastAsia="Times New Roman" w:cs="Calibri"/>
                <w:b/>
                <w:bCs/>
                <w:kern w:val="0"/>
                <w:sz w:val="20"/>
                <w:szCs w:val="20"/>
                <w:lang w:eastAsia="en-GB"/>
                <w14:ligatures w14:val="none"/>
              </w:rPr>
            </w:pPr>
            <w:r w:rsidRPr="003F5061">
              <w:rPr>
                <w:rFonts w:ascii="Calibri" w:hAnsi="Calibri" w:eastAsia="Times New Roman" w:cs="Calibri"/>
                <w:b/>
                <w:bCs/>
                <w:kern w:val="0"/>
                <w:sz w:val="20"/>
                <w:szCs w:val="20"/>
                <w:lang w:eastAsia="en-GB"/>
                <w14:ligatures w14:val="none"/>
              </w:rPr>
              <w:t>Top 100</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4248DA7C" w14:textId="77777777">
            <w:pPr>
              <w:spacing w:after="0" w:line="240" w:lineRule="auto"/>
              <w:jc w:val="center"/>
              <w:rPr>
                <w:rFonts w:ascii="Calibri" w:hAnsi="Calibri" w:eastAsia="Times New Roman" w:cs="Calibri"/>
                <w:b/>
                <w:bCs/>
                <w:kern w:val="0"/>
                <w:sz w:val="20"/>
                <w:szCs w:val="20"/>
                <w:lang w:eastAsia="en-GB"/>
                <w14:ligatures w14:val="none"/>
              </w:rPr>
            </w:pPr>
            <w:r w:rsidRPr="003F5061">
              <w:rPr>
                <w:rFonts w:ascii="Calibri" w:hAnsi="Calibri" w:eastAsia="Times New Roman" w:cs="Calibri"/>
                <w:b/>
                <w:bCs/>
                <w:kern w:val="0"/>
                <w:sz w:val="20"/>
                <w:szCs w:val="20"/>
                <w:lang w:eastAsia="en-GB"/>
                <w14:ligatures w14:val="none"/>
              </w:rPr>
              <w:t>Top 200</w:t>
            </w:r>
          </w:p>
        </w:tc>
      </w:tr>
      <w:tr w:rsidRPr="002B720E" w:rsidR="002B720E" w:rsidTr="238D8AFF" w14:paraId="1DD825CD" w14:textId="77777777">
        <w:trPr>
          <w:trHeight w:val="300"/>
          <w:jc w:val="center"/>
        </w:trPr>
        <w:tc>
          <w:tcPr>
            <w:tcW w:w="112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8528A50" w14:textId="77777777">
            <w:pPr>
              <w:spacing w:after="0" w:line="240" w:lineRule="auto"/>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Brasil</w:t>
            </w:r>
          </w:p>
        </w:tc>
        <w:tc>
          <w:tcPr>
            <w:tcW w:w="87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3190EF50"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130</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20399825"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29</w:t>
            </w:r>
          </w:p>
        </w:tc>
        <w:tc>
          <w:tcPr>
            <w:tcW w:w="9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5C8E933D"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30</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64B37628"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41</w:t>
            </w:r>
          </w:p>
        </w:tc>
        <w:tc>
          <w:tcPr>
            <w:tcW w:w="6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53C8C50E" w14:textId="77777777">
            <w:pPr>
              <w:spacing w:after="0" w:line="240" w:lineRule="auto"/>
              <w:jc w:val="center"/>
              <w:rPr>
                <w:rFonts w:ascii="Calibri" w:hAnsi="Calibri" w:eastAsia="Times New Roman" w:cs="Calibri"/>
                <w:b/>
                <w:bCs/>
                <w:color w:val="0070C0"/>
                <w:kern w:val="0"/>
                <w:sz w:val="20"/>
                <w:szCs w:val="20"/>
                <w:lang w:eastAsia="en-GB"/>
                <w14:ligatures w14:val="none"/>
              </w:rPr>
            </w:pPr>
            <w:r w:rsidRPr="003F5061">
              <w:rPr>
                <w:rFonts w:ascii="Calibri" w:hAnsi="Calibri" w:eastAsia="Times New Roman" w:cs="Calibri"/>
                <w:b/>
                <w:bCs/>
                <w:color w:val="0070C0"/>
                <w:kern w:val="0"/>
                <w:sz w:val="20"/>
                <w:szCs w:val="20"/>
                <w:lang w:eastAsia="en-GB"/>
                <w14:ligatures w14:val="none"/>
              </w:rPr>
              <w:t>34</w:t>
            </w:r>
          </w:p>
        </w:tc>
        <w:tc>
          <w:tcPr>
            <w:tcW w:w="55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583C92D6"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4</w:t>
            </w:r>
          </w:p>
        </w:tc>
        <w:tc>
          <w:tcPr>
            <w:tcW w:w="58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26D9F309"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7</w:t>
            </w:r>
          </w:p>
        </w:tc>
        <w:tc>
          <w:tcPr>
            <w:tcW w:w="6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24D6B33"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12</w:t>
            </w:r>
          </w:p>
        </w:tc>
        <w:tc>
          <w:tcPr>
            <w:tcW w:w="64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3F164F94"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26</w:t>
            </w:r>
          </w:p>
        </w:tc>
        <w:tc>
          <w:tcPr>
            <w:tcW w:w="6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55F7C89D"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59</w:t>
            </w:r>
          </w:p>
        </w:tc>
      </w:tr>
      <w:tr w:rsidRPr="002B720E" w:rsidR="002B720E" w:rsidTr="238D8AFF" w14:paraId="73CE155E" w14:textId="77777777">
        <w:trPr>
          <w:trHeight w:val="300"/>
          <w:jc w:val="center"/>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82ED921" w14:textId="77777777">
            <w:pPr>
              <w:spacing w:after="0" w:line="240" w:lineRule="auto"/>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Colombia</w:t>
            </w:r>
          </w:p>
        </w:tc>
        <w:tc>
          <w:tcPr>
            <w:tcW w:w="87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84C8E8C"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67</w:t>
            </w:r>
          </w:p>
        </w:tc>
        <w:tc>
          <w:tcPr>
            <w:tcW w:w="72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7C05563D"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8</w:t>
            </w:r>
          </w:p>
        </w:tc>
        <w:tc>
          <w:tcPr>
            <w:tcW w:w="9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73CA6A01"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54</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37518E57"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38</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4ECE81B0" w14:textId="77777777">
            <w:pPr>
              <w:spacing w:after="0" w:line="240" w:lineRule="auto"/>
              <w:jc w:val="center"/>
              <w:rPr>
                <w:rFonts w:ascii="Calibri" w:hAnsi="Calibri" w:eastAsia="Times New Roman" w:cs="Calibri"/>
                <w:b/>
                <w:bCs/>
                <w:color w:val="0070C0"/>
                <w:kern w:val="0"/>
                <w:sz w:val="20"/>
                <w:szCs w:val="20"/>
                <w:lang w:eastAsia="en-GB"/>
                <w14:ligatures w14:val="none"/>
              </w:rPr>
            </w:pPr>
            <w:r w:rsidRPr="003F5061">
              <w:rPr>
                <w:rFonts w:ascii="Calibri" w:hAnsi="Calibri" w:eastAsia="Times New Roman" w:cs="Calibri"/>
                <w:b/>
                <w:bCs/>
                <w:color w:val="0070C0"/>
                <w:kern w:val="0"/>
                <w:sz w:val="20"/>
                <w:szCs w:val="20"/>
                <w:lang w:eastAsia="en-GB"/>
                <w14:ligatures w14:val="none"/>
              </w:rPr>
              <w:t>6</w:t>
            </w:r>
          </w:p>
        </w:tc>
        <w:tc>
          <w:tcPr>
            <w:tcW w:w="55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3520DDC"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w:t>
            </w:r>
          </w:p>
        </w:tc>
        <w:tc>
          <w:tcPr>
            <w:tcW w:w="58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5DEA915A"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4</w:t>
            </w:r>
          </w:p>
        </w:tc>
        <w:tc>
          <w:tcPr>
            <w:tcW w:w="6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AD72122"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6</w:t>
            </w:r>
          </w:p>
        </w:tc>
        <w:tc>
          <w:tcPr>
            <w:tcW w:w="64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7A1EDD5B"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12</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D1EDB41"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15</w:t>
            </w:r>
          </w:p>
        </w:tc>
      </w:tr>
      <w:tr w:rsidRPr="002B720E" w:rsidR="002B720E" w:rsidTr="238D8AFF" w14:paraId="535D2CBB" w14:textId="77777777">
        <w:trPr>
          <w:trHeight w:val="300"/>
          <w:jc w:val="center"/>
        </w:trPr>
        <w:tc>
          <w:tcPr>
            <w:tcW w:w="112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44169F4D" w14:textId="77777777">
            <w:pPr>
              <w:spacing w:after="0" w:line="240" w:lineRule="auto"/>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México</w:t>
            </w:r>
          </w:p>
        </w:tc>
        <w:tc>
          <w:tcPr>
            <w:tcW w:w="87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32EA1308"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67</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58E8ED60"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17</w:t>
            </w:r>
          </w:p>
        </w:tc>
        <w:tc>
          <w:tcPr>
            <w:tcW w:w="9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7AE7630C"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40</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9CFC823"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43</w:t>
            </w:r>
          </w:p>
        </w:tc>
        <w:tc>
          <w:tcPr>
            <w:tcW w:w="6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533D9518" w14:textId="77777777">
            <w:pPr>
              <w:spacing w:after="0" w:line="240" w:lineRule="auto"/>
              <w:jc w:val="center"/>
              <w:rPr>
                <w:rFonts w:ascii="Calibri" w:hAnsi="Calibri" w:eastAsia="Times New Roman" w:cs="Calibri"/>
                <w:b/>
                <w:bCs/>
                <w:color w:val="0070C0"/>
                <w:kern w:val="0"/>
                <w:sz w:val="20"/>
                <w:szCs w:val="20"/>
                <w:lang w:eastAsia="en-GB"/>
                <w14:ligatures w14:val="none"/>
              </w:rPr>
            </w:pPr>
            <w:r w:rsidRPr="003F5061">
              <w:rPr>
                <w:rFonts w:ascii="Calibri" w:hAnsi="Calibri" w:eastAsia="Times New Roman" w:cs="Calibri"/>
                <w:b/>
                <w:bCs/>
                <w:color w:val="0070C0"/>
                <w:kern w:val="0"/>
                <w:sz w:val="20"/>
                <w:szCs w:val="20"/>
                <w:lang w:eastAsia="en-GB"/>
                <w14:ligatures w14:val="none"/>
              </w:rPr>
              <w:t>4</w:t>
            </w:r>
          </w:p>
        </w:tc>
        <w:tc>
          <w:tcPr>
            <w:tcW w:w="55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7C8DA443"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w:t>
            </w:r>
          </w:p>
        </w:tc>
        <w:tc>
          <w:tcPr>
            <w:tcW w:w="58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60E3A9C8"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w:t>
            </w:r>
          </w:p>
        </w:tc>
        <w:tc>
          <w:tcPr>
            <w:tcW w:w="6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8F538D9"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6</w:t>
            </w:r>
          </w:p>
        </w:tc>
        <w:tc>
          <w:tcPr>
            <w:tcW w:w="64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292927C"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14</w:t>
            </w:r>
          </w:p>
        </w:tc>
        <w:tc>
          <w:tcPr>
            <w:tcW w:w="6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C0A54A0"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25</w:t>
            </w:r>
          </w:p>
        </w:tc>
      </w:tr>
      <w:tr w:rsidRPr="002B720E" w:rsidR="002B720E" w:rsidTr="238D8AFF" w14:paraId="5713FBF3" w14:textId="77777777">
        <w:trPr>
          <w:trHeight w:val="300"/>
          <w:jc w:val="center"/>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3889DB06" w14:textId="77777777">
            <w:pPr>
              <w:spacing w:after="0" w:line="240" w:lineRule="auto"/>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Argentina</w:t>
            </w:r>
          </w:p>
        </w:tc>
        <w:tc>
          <w:tcPr>
            <w:tcW w:w="87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1BA44DE6"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45</w:t>
            </w:r>
          </w:p>
        </w:tc>
        <w:tc>
          <w:tcPr>
            <w:tcW w:w="72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94D266F"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27</w:t>
            </w:r>
          </w:p>
        </w:tc>
        <w:tc>
          <w:tcPr>
            <w:tcW w:w="9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FC81470"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29</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9C4FBA7"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44</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44F73652" w14:textId="77777777">
            <w:pPr>
              <w:spacing w:after="0" w:line="240" w:lineRule="auto"/>
              <w:jc w:val="center"/>
              <w:rPr>
                <w:rFonts w:ascii="Calibri" w:hAnsi="Calibri" w:eastAsia="Times New Roman" w:cs="Calibri"/>
                <w:b/>
                <w:bCs/>
                <w:color w:val="0070C0"/>
                <w:kern w:val="0"/>
                <w:sz w:val="20"/>
                <w:szCs w:val="20"/>
                <w:lang w:eastAsia="en-GB"/>
                <w14:ligatures w14:val="none"/>
              </w:rPr>
            </w:pPr>
          </w:p>
        </w:tc>
        <w:tc>
          <w:tcPr>
            <w:tcW w:w="55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5AEBBCE8"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w:t>
            </w:r>
          </w:p>
        </w:tc>
        <w:tc>
          <w:tcPr>
            <w:tcW w:w="58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20BAF74F"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w:t>
            </w:r>
          </w:p>
        </w:tc>
        <w:tc>
          <w:tcPr>
            <w:tcW w:w="6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3FAE622C"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6</w:t>
            </w:r>
          </w:p>
        </w:tc>
        <w:tc>
          <w:tcPr>
            <w:tcW w:w="64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1FF90EF9"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12</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30C029E5"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23</w:t>
            </w:r>
          </w:p>
        </w:tc>
      </w:tr>
      <w:tr w:rsidRPr="002B720E" w:rsidR="002B720E" w:rsidTr="238D8AFF" w14:paraId="30840923" w14:textId="77777777">
        <w:trPr>
          <w:trHeight w:val="300"/>
          <w:jc w:val="center"/>
        </w:trPr>
        <w:tc>
          <w:tcPr>
            <w:tcW w:w="112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34B5773D" w14:textId="77777777">
            <w:pPr>
              <w:spacing w:after="0" w:line="240" w:lineRule="auto"/>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Chile</w:t>
            </w:r>
          </w:p>
        </w:tc>
        <w:tc>
          <w:tcPr>
            <w:tcW w:w="87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30AC3075"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41</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58CBD56A"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41</w:t>
            </w:r>
          </w:p>
        </w:tc>
        <w:tc>
          <w:tcPr>
            <w:tcW w:w="9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EC72657"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37</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5916A17C"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22</w:t>
            </w:r>
          </w:p>
        </w:tc>
        <w:tc>
          <w:tcPr>
            <w:tcW w:w="6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543DEFA2" w14:textId="77777777">
            <w:pPr>
              <w:spacing w:after="0" w:line="240" w:lineRule="auto"/>
              <w:jc w:val="center"/>
              <w:rPr>
                <w:rFonts w:ascii="Calibri" w:hAnsi="Calibri" w:eastAsia="Times New Roman" w:cs="Calibri"/>
                <w:b/>
                <w:bCs/>
                <w:color w:val="0070C0"/>
                <w:kern w:val="0"/>
                <w:sz w:val="20"/>
                <w:szCs w:val="20"/>
                <w:lang w:eastAsia="en-GB"/>
                <w14:ligatures w14:val="none"/>
              </w:rPr>
            </w:pPr>
          </w:p>
        </w:tc>
        <w:tc>
          <w:tcPr>
            <w:tcW w:w="55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671EEEAB"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w:t>
            </w:r>
          </w:p>
        </w:tc>
        <w:tc>
          <w:tcPr>
            <w:tcW w:w="58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28B707A4"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4</w:t>
            </w:r>
          </w:p>
        </w:tc>
        <w:tc>
          <w:tcPr>
            <w:tcW w:w="6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0ACD92D"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11</w:t>
            </w:r>
          </w:p>
        </w:tc>
        <w:tc>
          <w:tcPr>
            <w:tcW w:w="64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52144879"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16</w:t>
            </w:r>
          </w:p>
        </w:tc>
        <w:tc>
          <w:tcPr>
            <w:tcW w:w="6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6F2D1B7A"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28</w:t>
            </w:r>
          </w:p>
        </w:tc>
      </w:tr>
      <w:tr w:rsidRPr="002B720E" w:rsidR="002B720E" w:rsidTr="238D8AFF" w14:paraId="2ED833AA" w14:textId="77777777">
        <w:trPr>
          <w:trHeight w:val="300"/>
          <w:jc w:val="center"/>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545F5A42" w14:textId="77777777">
            <w:pPr>
              <w:spacing w:after="0" w:line="240" w:lineRule="auto"/>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Ecuador</w:t>
            </w:r>
          </w:p>
        </w:tc>
        <w:tc>
          <w:tcPr>
            <w:tcW w:w="87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91667F2"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26</w:t>
            </w:r>
          </w:p>
        </w:tc>
        <w:tc>
          <w:tcPr>
            <w:tcW w:w="72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1B9EA42E"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57</w:t>
            </w:r>
          </w:p>
        </w:tc>
        <w:tc>
          <w:tcPr>
            <w:tcW w:w="9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300D3674"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35</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5EECD65"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9</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354A5995" w14:textId="77777777">
            <w:pPr>
              <w:spacing w:after="0" w:line="240" w:lineRule="auto"/>
              <w:jc w:val="center"/>
              <w:rPr>
                <w:rFonts w:ascii="Calibri" w:hAnsi="Calibri" w:eastAsia="Times New Roman" w:cs="Calibri"/>
                <w:b/>
                <w:bCs/>
                <w:color w:val="0070C0"/>
                <w:kern w:val="0"/>
                <w:sz w:val="20"/>
                <w:szCs w:val="20"/>
                <w:lang w:eastAsia="en-GB"/>
                <w14:ligatures w14:val="none"/>
              </w:rPr>
            </w:pPr>
            <w:r w:rsidRPr="003F5061">
              <w:rPr>
                <w:rFonts w:ascii="Calibri" w:hAnsi="Calibri" w:eastAsia="Times New Roman" w:cs="Calibri"/>
                <w:b/>
                <w:bCs/>
                <w:color w:val="0070C0"/>
                <w:kern w:val="0"/>
                <w:sz w:val="20"/>
                <w:szCs w:val="20"/>
                <w:lang w:eastAsia="en-GB"/>
                <w14:ligatures w14:val="none"/>
              </w:rPr>
              <w:t>3</w:t>
            </w:r>
          </w:p>
        </w:tc>
        <w:tc>
          <w:tcPr>
            <w:tcW w:w="55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05B8452" w14:textId="77777777">
            <w:pPr>
              <w:spacing w:after="0" w:line="240" w:lineRule="auto"/>
              <w:jc w:val="center"/>
              <w:rPr>
                <w:rFonts w:ascii="Calibri" w:hAnsi="Calibri" w:eastAsia="Times New Roman" w:cs="Calibri"/>
                <w:kern w:val="0"/>
                <w:sz w:val="20"/>
                <w:szCs w:val="20"/>
                <w:lang w:eastAsia="en-GB"/>
                <w14:ligatures w14:val="none"/>
              </w:rPr>
            </w:pPr>
          </w:p>
        </w:tc>
        <w:tc>
          <w:tcPr>
            <w:tcW w:w="58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51EFF370" w14:textId="77777777">
            <w:pPr>
              <w:spacing w:after="0" w:line="240" w:lineRule="auto"/>
              <w:jc w:val="center"/>
              <w:rPr>
                <w:rFonts w:ascii="Calibri" w:hAnsi="Calibri" w:eastAsia="Times New Roman" w:cs="Calibri"/>
                <w:kern w:val="0"/>
                <w:sz w:val="20"/>
                <w:szCs w:val="20"/>
                <w:lang w:eastAsia="en-GB"/>
                <w14:ligatures w14:val="none"/>
              </w:rPr>
            </w:pPr>
          </w:p>
        </w:tc>
        <w:tc>
          <w:tcPr>
            <w:tcW w:w="6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7D5AEB9F"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w:t>
            </w:r>
          </w:p>
        </w:tc>
        <w:tc>
          <w:tcPr>
            <w:tcW w:w="64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240E3C7B"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4</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51330F21"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12</w:t>
            </w:r>
          </w:p>
        </w:tc>
      </w:tr>
      <w:tr w:rsidRPr="002B720E" w:rsidR="002B720E" w:rsidTr="238D8AFF" w14:paraId="63B41B8D" w14:textId="77777777">
        <w:trPr>
          <w:trHeight w:val="300"/>
          <w:jc w:val="center"/>
        </w:trPr>
        <w:tc>
          <w:tcPr>
            <w:tcW w:w="112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3742CFF5" w14:textId="77777777">
            <w:pPr>
              <w:spacing w:after="0" w:line="240" w:lineRule="auto"/>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Perú</w:t>
            </w:r>
          </w:p>
        </w:tc>
        <w:tc>
          <w:tcPr>
            <w:tcW w:w="87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930C39F"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25</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7ECD6786"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23</w:t>
            </w:r>
          </w:p>
        </w:tc>
        <w:tc>
          <w:tcPr>
            <w:tcW w:w="9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29098BCC"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64</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6E44DE5C"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14</w:t>
            </w:r>
          </w:p>
        </w:tc>
        <w:tc>
          <w:tcPr>
            <w:tcW w:w="6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631353AD" w14:textId="77777777">
            <w:pPr>
              <w:spacing w:after="0" w:line="240" w:lineRule="auto"/>
              <w:jc w:val="center"/>
              <w:rPr>
                <w:rFonts w:ascii="Calibri" w:hAnsi="Calibri" w:eastAsia="Times New Roman" w:cs="Calibri"/>
                <w:b/>
                <w:bCs/>
                <w:color w:val="0070C0"/>
                <w:kern w:val="0"/>
                <w:sz w:val="20"/>
                <w:szCs w:val="20"/>
                <w:lang w:eastAsia="en-GB"/>
                <w14:ligatures w14:val="none"/>
              </w:rPr>
            </w:pPr>
            <w:r w:rsidRPr="003F5061">
              <w:rPr>
                <w:rFonts w:ascii="Calibri" w:hAnsi="Calibri" w:eastAsia="Times New Roman" w:cs="Calibri"/>
                <w:b/>
                <w:bCs/>
                <w:color w:val="0070C0"/>
                <w:kern w:val="0"/>
                <w:sz w:val="20"/>
                <w:szCs w:val="20"/>
                <w:lang w:eastAsia="en-GB"/>
                <w14:ligatures w14:val="none"/>
              </w:rPr>
              <w:t>3</w:t>
            </w:r>
          </w:p>
        </w:tc>
        <w:tc>
          <w:tcPr>
            <w:tcW w:w="55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777DEF2F" w14:textId="77777777">
            <w:pPr>
              <w:spacing w:after="0" w:line="240" w:lineRule="auto"/>
              <w:jc w:val="center"/>
              <w:rPr>
                <w:rFonts w:ascii="Calibri" w:hAnsi="Calibri" w:eastAsia="Times New Roman" w:cs="Calibri"/>
                <w:kern w:val="0"/>
                <w:sz w:val="20"/>
                <w:szCs w:val="20"/>
                <w:lang w:eastAsia="en-GB"/>
                <w14:ligatures w14:val="none"/>
              </w:rPr>
            </w:pPr>
          </w:p>
        </w:tc>
        <w:tc>
          <w:tcPr>
            <w:tcW w:w="58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354DC806"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w:t>
            </w:r>
          </w:p>
        </w:tc>
        <w:tc>
          <w:tcPr>
            <w:tcW w:w="6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03FF6207"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w:t>
            </w:r>
          </w:p>
        </w:tc>
        <w:tc>
          <w:tcPr>
            <w:tcW w:w="64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776063D5"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4</w:t>
            </w:r>
          </w:p>
        </w:tc>
        <w:tc>
          <w:tcPr>
            <w:tcW w:w="6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47E2D28C"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9</w:t>
            </w:r>
          </w:p>
        </w:tc>
      </w:tr>
      <w:tr w:rsidRPr="002B720E" w:rsidR="002B720E" w:rsidTr="238D8AFF" w14:paraId="36263283" w14:textId="77777777">
        <w:trPr>
          <w:trHeight w:val="525"/>
          <w:jc w:val="center"/>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0F91D022" w14:textId="77777777">
            <w:pPr>
              <w:spacing w:after="0" w:line="240" w:lineRule="auto"/>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República Dominicana</w:t>
            </w:r>
          </w:p>
        </w:tc>
        <w:tc>
          <w:tcPr>
            <w:tcW w:w="87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7EA6F02"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12</w:t>
            </w:r>
          </w:p>
        </w:tc>
        <w:tc>
          <w:tcPr>
            <w:tcW w:w="72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27B18495"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20</w:t>
            </w:r>
          </w:p>
        </w:tc>
        <w:tc>
          <w:tcPr>
            <w:tcW w:w="9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0380E56"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70</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18ADAA6"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10</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26F2F13E" w14:textId="77777777">
            <w:pPr>
              <w:spacing w:after="0" w:line="240" w:lineRule="auto"/>
              <w:jc w:val="center"/>
              <w:rPr>
                <w:rFonts w:ascii="Calibri" w:hAnsi="Calibri" w:eastAsia="Times New Roman" w:cs="Calibri"/>
                <w:b/>
                <w:bCs/>
                <w:color w:val="0070C0"/>
                <w:kern w:val="0"/>
                <w:sz w:val="20"/>
                <w:szCs w:val="20"/>
                <w:lang w:eastAsia="en-GB"/>
                <w14:ligatures w14:val="none"/>
              </w:rPr>
            </w:pPr>
            <w:r w:rsidRPr="003F5061">
              <w:rPr>
                <w:rFonts w:ascii="Calibri" w:hAnsi="Calibri" w:eastAsia="Times New Roman" w:cs="Calibri"/>
                <w:b/>
                <w:bCs/>
                <w:color w:val="0070C0"/>
                <w:kern w:val="0"/>
                <w:sz w:val="20"/>
                <w:szCs w:val="20"/>
                <w:lang w:eastAsia="en-GB"/>
                <w14:ligatures w14:val="none"/>
              </w:rPr>
              <w:t>2</w:t>
            </w:r>
          </w:p>
        </w:tc>
        <w:tc>
          <w:tcPr>
            <w:tcW w:w="55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511D9052" w14:textId="77777777">
            <w:pPr>
              <w:spacing w:after="0" w:line="240" w:lineRule="auto"/>
              <w:jc w:val="center"/>
              <w:rPr>
                <w:rFonts w:ascii="Calibri" w:hAnsi="Calibri" w:eastAsia="Times New Roman" w:cs="Calibri"/>
                <w:kern w:val="0"/>
                <w:sz w:val="20"/>
                <w:szCs w:val="20"/>
                <w:lang w:eastAsia="en-GB"/>
                <w14:ligatures w14:val="none"/>
              </w:rPr>
            </w:pPr>
          </w:p>
        </w:tc>
        <w:tc>
          <w:tcPr>
            <w:tcW w:w="58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7636677D" w14:textId="77777777">
            <w:pPr>
              <w:spacing w:after="0" w:line="240" w:lineRule="auto"/>
              <w:jc w:val="center"/>
              <w:rPr>
                <w:rFonts w:ascii="Calibri" w:hAnsi="Calibri" w:eastAsia="Times New Roman" w:cs="Calibri"/>
                <w:kern w:val="0"/>
                <w:sz w:val="20"/>
                <w:szCs w:val="20"/>
                <w:lang w:eastAsia="en-GB"/>
                <w14:ligatures w14:val="none"/>
              </w:rPr>
            </w:pPr>
          </w:p>
        </w:tc>
        <w:tc>
          <w:tcPr>
            <w:tcW w:w="6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202D0E1D" w14:textId="77777777">
            <w:pPr>
              <w:spacing w:after="0" w:line="240" w:lineRule="auto"/>
              <w:jc w:val="center"/>
              <w:rPr>
                <w:rFonts w:ascii="Calibri" w:hAnsi="Calibri" w:eastAsia="Times New Roman" w:cs="Calibri"/>
                <w:kern w:val="0"/>
                <w:sz w:val="20"/>
                <w:szCs w:val="20"/>
                <w:lang w:eastAsia="en-GB"/>
                <w14:ligatures w14:val="none"/>
              </w:rPr>
            </w:pPr>
          </w:p>
        </w:tc>
        <w:tc>
          <w:tcPr>
            <w:tcW w:w="64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7B8330FE" w14:textId="77777777">
            <w:pPr>
              <w:spacing w:after="0" w:line="240" w:lineRule="auto"/>
              <w:jc w:val="center"/>
              <w:rPr>
                <w:rFonts w:ascii="Calibri" w:hAnsi="Calibri" w:eastAsia="Times New Roman" w:cs="Calibri"/>
                <w:kern w:val="0"/>
                <w:sz w:val="20"/>
                <w:szCs w:val="20"/>
                <w:lang w:eastAsia="en-GB"/>
                <w14:ligatures w14:val="none"/>
              </w:rPr>
            </w:pP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72FB84E5"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2</w:t>
            </w:r>
          </w:p>
        </w:tc>
      </w:tr>
      <w:tr w:rsidRPr="002B720E" w:rsidR="002B720E" w:rsidTr="238D8AFF" w14:paraId="5BB1A22F" w14:textId="77777777">
        <w:trPr>
          <w:trHeight w:val="300"/>
          <w:jc w:val="center"/>
        </w:trPr>
        <w:tc>
          <w:tcPr>
            <w:tcW w:w="112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726CA607" w14:textId="77777777">
            <w:pPr>
              <w:spacing w:after="0" w:line="240" w:lineRule="auto"/>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Bolivia</w:t>
            </w:r>
          </w:p>
        </w:tc>
        <w:tc>
          <w:tcPr>
            <w:tcW w:w="87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4D2A3D99"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11</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6889F584"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0 %</w:t>
            </w:r>
          </w:p>
        </w:tc>
        <w:tc>
          <w:tcPr>
            <w:tcW w:w="9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0F9CA81E"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63</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07EA2E3D"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38</w:t>
            </w:r>
          </w:p>
        </w:tc>
        <w:tc>
          <w:tcPr>
            <w:tcW w:w="6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3DFC9B80" w14:textId="77777777">
            <w:pPr>
              <w:spacing w:after="0" w:line="240" w:lineRule="auto"/>
              <w:jc w:val="center"/>
              <w:rPr>
                <w:rFonts w:ascii="Calibri" w:hAnsi="Calibri" w:eastAsia="Times New Roman" w:cs="Calibri"/>
                <w:b/>
                <w:bCs/>
                <w:color w:val="0070C0"/>
                <w:kern w:val="0"/>
                <w:sz w:val="20"/>
                <w:szCs w:val="20"/>
                <w:lang w:eastAsia="en-GB"/>
                <w14:ligatures w14:val="none"/>
              </w:rPr>
            </w:pPr>
            <w:r w:rsidRPr="003F5061">
              <w:rPr>
                <w:rFonts w:ascii="Calibri" w:hAnsi="Calibri" w:eastAsia="Times New Roman" w:cs="Calibri"/>
                <w:b/>
                <w:bCs/>
                <w:color w:val="0070C0"/>
                <w:kern w:val="0"/>
                <w:sz w:val="20"/>
                <w:szCs w:val="20"/>
                <w:lang w:eastAsia="en-GB"/>
                <w14:ligatures w14:val="none"/>
              </w:rPr>
              <w:t>3</w:t>
            </w:r>
          </w:p>
        </w:tc>
        <w:tc>
          <w:tcPr>
            <w:tcW w:w="55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EE63FF7" w14:textId="77777777">
            <w:pPr>
              <w:spacing w:after="0" w:line="240" w:lineRule="auto"/>
              <w:jc w:val="center"/>
              <w:rPr>
                <w:rFonts w:ascii="Calibri" w:hAnsi="Calibri" w:eastAsia="Times New Roman" w:cs="Calibri"/>
                <w:kern w:val="0"/>
                <w:sz w:val="20"/>
                <w:szCs w:val="20"/>
                <w:lang w:eastAsia="en-GB"/>
                <w14:ligatures w14:val="none"/>
              </w:rPr>
            </w:pPr>
          </w:p>
        </w:tc>
        <w:tc>
          <w:tcPr>
            <w:tcW w:w="58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02309EA2" w14:textId="77777777">
            <w:pPr>
              <w:spacing w:after="0" w:line="240" w:lineRule="auto"/>
              <w:jc w:val="center"/>
              <w:rPr>
                <w:rFonts w:ascii="Calibri" w:hAnsi="Calibri" w:eastAsia="Times New Roman" w:cs="Calibri"/>
                <w:kern w:val="0"/>
                <w:sz w:val="20"/>
                <w:szCs w:val="20"/>
                <w:lang w:eastAsia="en-GB"/>
                <w14:ligatures w14:val="none"/>
              </w:rPr>
            </w:pPr>
          </w:p>
        </w:tc>
        <w:tc>
          <w:tcPr>
            <w:tcW w:w="6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1E424D4C" w14:textId="77777777">
            <w:pPr>
              <w:spacing w:after="0" w:line="240" w:lineRule="auto"/>
              <w:jc w:val="center"/>
              <w:rPr>
                <w:rFonts w:ascii="Calibri" w:hAnsi="Calibri" w:eastAsia="Times New Roman" w:cs="Calibri"/>
                <w:kern w:val="0"/>
                <w:sz w:val="20"/>
                <w:szCs w:val="20"/>
                <w:lang w:eastAsia="en-GB"/>
                <w14:ligatures w14:val="none"/>
              </w:rPr>
            </w:pPr>
          </w:p>
        </w:tc>
        <w:tc>
          <w:tcPr>
            <w:tcW w:w="64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709C2909" w14:textId="77777777">
            <w:pPr>
              <w:spacing w:after="0" w:line="240" w:lineRule="auto"/>
              <w:jc w:val="center"/>
              <w:rPr>
                <w:rFonts w:ascii="Calibri" w:hAnsi="Calibri" w:eastAsia="Times New Roman" w:cs="Calibri"/>
                <w:kern w:val="0"/>
                <w:sz w:val="20"/>
                <w:szCs w:val="20"/>
                <w:lang w:eastAsia="en-GB"/>
                <w14:ligatures w14:val="none"/>
              </w:rPr>
            </w:pPr>
          </w:p>
        </w:tc>
        <w:tc>
          <w:tcPr>
            <w:tcW w:w="6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3F5061" w:rsidR="003F5061" w:rsidP="003F5061" w:rsidRDefault="003F5061" w14:paraId="31DF399A"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w:t>
            </w:r>
          </w:p>
        </w:tc>
      </w:tr>
      <w:tr w:rsidRPr="002B720E" w:rsidR="002B720E" w:rsidTr="238D8AFF" w14:paraId="7CF68AA0" w14:textId="77777777">
        <w:trPr>
          <w:trHeight w:val="300"/>
          <w:jc w:val="center"/>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48A7CBBA" w14:textId="336570CD">
            <w:pPr>
              <w:spacing w:after="0" w:line="240" w:lineRule="auto"/>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Venezuela</w:t>
            </w:r>
          </w:p>
        </w:tc>
        <w:tc>
          <w:tcPr>
            <w:tcW w:w="87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83F7290"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9</w:t>
            </w:r>
          </w:p>
        </w:tc>
        <w:tc>
          <w:tcPr>
            <w:tcW w:w="72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51AEFE7" w14:textId="77777777">
            <w:pPr>
              <w:spacing w:after="0" w:line="240" w:lineRule="auto"/>
              <w:jc w:val="center"/>
              <w:rPr>
                <w:rFonts w:ascii="Calibri" w:hAnsi="Calibri" w:eastAsia="Times New Roman" w:cs="Calibri"/>
                <w:b/>
                <w:bCs/>
                <w:color w:val="00B050"/>
                <w:kern w:val="0"/>
                <w:sz w:val="20"/>
                <w:szCs w:val="20"/>
                <w:lang w:eastAsia="en-GB"/>
                <w14:ligatures w14:val="none"/>
              </w:rPr>
            </w:pPr>
            <w:r w:rsidRPr="003F5061">
              <w:rPr>
                <w:rFonts w:ascii="Calibri" w:hAnsi="Calibri" w:eastAsia="Times New Roman" w:cs="Calibri"/>
                <w:b/>
                <w:bCs/>
                <w:color w:val="00B050"/>
                <w:kern w:val="0"/>
                <w:sz w:val="20"/>
                <w:szCs w:val="20"/>
                <w:lang w:eastAsia="en-GB"/>
                <w14:ligatures w14:val="none"/>
              </w:rPr>
              <w:t>11 %</w:t>
            </w:r>
          </w:p>
        </w:tc>
        <w:tc>
          <w:tcPr>
            <w:tcW w:w="9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557258D8" w14:textId="77777777">
            <w:pPr>
              <w:spacing w:after="0" w:line="240" w:lineRule="auto"/>
              <w:jc w:val="center"/>
              <w:rPr>
                <w:rFonts w:ascii="Calibri" w:hAnsi="Calibri" w:eastAsia="Times New Roman" w:cs="Calibri"/>
                <w:b/>
                <w:bCs/>
                <w:color w:val="FFC000"/>
                <w:kern w:val="0"/>
                <w:sz w:val="20"/>
                <w:szCs w:val="20"/>
                <w:lang w:eastAsia="en-GB"/>
                <w14:ligatures w14:val="none"/>
              </w:rPr>
            </w:pPr>
            <w:r w:rsidRPr="003F5061">
              <w:rPr>
                <w:rFonts w:ascii="Calibri" w:hAnsi="Calibri" w:eastAsia="Times New Roman" w:cs="Calibri"/>
                <w:b/>
                <w:bCs/>
                <w:color w:val="FFC000"/>
                <w:kern w:val="0"/>
                <w:sz w:val="20"/>
                <w:szCs w:val="20"/>
                <w:lang w:eastAsia="en-GB"/>
                <w14:ligatures w14:val="none"/>
              </w:rPr>
              <w:t>11 %</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1EC72DD6" w14:textId="77777777">
            <w:pPr>
              <w:spacing w:after="0" w:line="240" w:lineRule="auto"/>
              <w:jc w:val="center"/>
              <w:rPr>
                <w:rFonts w:ascii="Calibri" w:hAnsi="Calibri" w:eastAsia="Times New Roman" w:cs="Calibri"/>
                <w:b/>
                <w:bCs/>
                <w:color w:val="EE0000"/>
                <w:kern w:val="0"/>
                <w:sz w:val="20"/>
                <w:szCs w:val="20"/>
                <w:lang w:eastAsia="en-GB"/>
                <w14:ligatures w14:val="none"/>
              </w:rPr>
            </w:pPr>
            <w:r w:rsidRPr="003F5061">
              <w:rPr>
                <w:rFonts w:ascii="Calibri" w:hAnsi="Calibri" w:eastAsia="Times New Roman" w:cs="Calibri"/>
                <w:b/>
                <w:bCs/>
                <w:color w:val="EE0000"/>
                <w:kern w:val="0"/>
                <w:sz w:val="20"/>
                <w:szCs w:val="20"/>
                <w:lang w:eastAsia="en-GB"/>
                <w14:ligatures w14:val="none"/>
              </w:rPr>
              <w:t>78</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5A363CA3" w14:textId="77777777">
            <w:pPr>
              <w:spacing w:after="0" w:line="240" w:lineRule="auto"/>
              <w:jc w:val="center"/>
              <w:rPr>
                <w:rFonts w:ascii="Calibri" w:hAnsi="Calibri" w:eastAsia="Times New Roman" w:cs="Calibri"/>
                <w:b/>
                <w:bCs/>
                <w:color w:val="0070C0"/>
                <w:kern w:val="0"/>
                <w:sz w:val="20"/>
                <w:szCs w:val="20"/>
                <w:lang w:eastAsia="en-GB"/>
                <w14:ligatures w14:val="none"/>
              </w:rPr>
            </w:pPr>
          </w:p>
        </w:tc>
        <w:tc>
          <w:tcPr>
            <w:tcW w:w="55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6DC12782" w14:textId="77777777">
            <w:pPr>
              <w:spacing w:after="0" w:line="240" w:lineRule="auto"/>
              <w:jc w:val="center"/>
              <w:rPr>
                <w:rFonts w:ascii="Calibri" w:hAnsi="Calibri" w:eastAsia="Times New Roman" w:cs="Calibri"/>
                <w:kern w:val="0"/>
                <w:sz w:val="20"/>
                <w:szCs w:val="20"/>
                <w:lang w:eastAsia="en-GB"/>
                <w14:ligatures w14:val="none"/>
              </w:rPr>
            </w:pPr>
          </w:p>
        </w:tc>
        <w:tc>
          <w:tcPr>
            <w:tcW w:w="58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26158E74" w14:textId="77777777">
            <w:pPr>
              <w:spacing w:after="0" w:line="240" w:lineRule="auto"/>
              <w:jc w:val="center"/>
              <w:rPr>
                <w:rFonts w:ascii="Calibri" w:hAnsi="Calibri" w:eastAsia="Times New Roman" w:cs="Calibri"/>
                <w:kern w:val="0"/>
                <w:sz w:val="20"/>
                <w:szCs w:val="20"/>
                <w:lang w:eastAsia="en-GB"/>
                <w14:ligatures w14:val="none"/>
              </w:rPr>
            </w:pPr>
          </w:p>
        </w:tc>
        <w:tc>
          <w:tcPr>
            <w:tcW w:w="660"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2406C518"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1</w:t>
            </w:r>
          </w:p>
        </w:tc>
        <w:tc>
          <w:tcPr>
            <w:tcW w:w="64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32C3F21A"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4</w:t>
            </w:r>
          </w:p>
        </w:tc>
        <w:tc>
          <w:tcPr>
            <w:tcW w:w="675" w:type="dxa"/>
            <w:tcBorders>
              <w:top w:val="single" w:color="auto" w:sz="4" w:space="0"/>
              <w:left w:val="single" w:color="auto" w:sz="4" w:space="0"/>
              <w:bottom w:val="single" w:color="auto" w:sz="4" w:space="0"/>
              <w:right w:val="single" w:color="auto" w:sz="4" w:space="0"/>
            </w:tcBorders>
            <w:noWrap/>
            <w:vAlign w:val="bottom"/>
            <w:hideMark/>
          </w:tcPr>
          <w:p w:rsidRPr="003F5061" w:rsidR="003F5061" w:rsidP="003F5061" w:rsidRDefault="003F5061" w14:paraId="222B94C2" w14:textId="77777777">
            <w:pPr>
              <w:spacing w:after="0" w:line="240" w:lineRule="auto"/>
              <w:jc w:val="center"/>
              <w:rPr>
                <w:rFonts w:ascii="Calibri" w:hAnsi="Calibri" w:eastAsia="Times New Roman" w:cs="Calibri"/>
                <w:kern w:val="0"/>
                <w:sz w:val="20"/>
                <w:szCs w:val="20"/>
                <w:lang w:eastAsia="en-GB"/>
                <w14:ligatures w14:val="none"/>
              </w:rPr>
            </w:pPr>
            <w:r w:rsidRPr="003F5061">
              <w:rPr>
                <w:rFonts w:ascii="Calibri" w:hAnsi="Calibri" w:eastAsia="Times New Roman" w:cs="Calibri"/>
                <w:kern w:val="0"/>
                <w:sz w:val="20"/>
                <w:szCs w:val="20"/>
                <w:lang w:eastAsia="en-GB"/>
                <w14:ligatures w14:val="none"/>
              </w:rPr>
              <w:t>6</w:t>
            </w:r>
          </w:p>
        </w:tc>
      </w:tr>
    </w:tbl>
    <w:p w:rsidR="19F338CC" w:rsidP="19F338CC" w:rsidRDefault="19F338CC" w14:paraId="15FE49AD" w14:textId="2CA4D4C5">
      <w:pPr>
        <w:rPr>
          <w:rFonts w:ascii="Calibri" w:hAnsi="Calibri" w:cs="Calibri"/>
          <w:b/>
          <w:bCs/>
          <w:sz w:val="22"/>
          <w:szCs w:val="22"/>
          <w:u w:val="single"/>
        </w:rPr>
      </w:pPr>
    </w:p>
    <w:p w:rsidRPr="00F250D7" w:rsidR="00FE2C1B" w:rsidP="1ED4A9AF" w:rsidRDefault="69911250" w14:paraId="6D08C62D" w14:textId="1C954285">
      <w:pPr>
        <w:spacing w:line="360" w:lineRule="auto"/>
        <w:rPr>
          <w:rFonts w:ascii="Calibri" w:hAnsi="Calibri" w:eastAsia="Calibri" w:cs="Calibri"/>
          <w:i/>
          <w:iCs/>
          <w:sz w:val="22"/>
          <w:szCs w:val="22"/>
          <w:lang w:val="es-ES"/>
        </w:rPr>
      </w:pPr>
      <w:r w:rsidRPr="00F250D7">
        <w:rPr>
          <w:rFonts w:ascii="Calibri" w:hAnsi="Calibri" w:cs="Calibri"/>
          <w:sz w:val="22"/>
          <w:szCs w:val="22"/>
          <w:lang w:val="es-ES"/>
        </w:rPr>
        <w:t xml:space="preserve">El </w:t>
      </w:r>
      <w:proofErr w:type="gramStart"/>
      <w:r w:rsidR="00007B2C">
        <w:rPr>
          <w:rFonts w:ascii="Calibri" w:hAnsi="Calibri" w:cs="Calibri"/>
          <w:sz w:val="22"/>
          <w:szCs w:val="22"/>
          <w:lang w:val="es-ES"/>
        </w:rPr>
        <w:t>V</w:t>
      </w:r>
      <w:r w:rsidRPr="00F250D7">
        <w:rPr>
          <w:rFonts w:ascii="Calibri" w:hAnsi="Calibri" w:cs="Calibri"/>
          <w:sz w:val="22"/>
          <w:szCs w:val="22"/>
          <w:lang w:val="es-ES"/>
        </w:rPr>
        <w:t>icepresidente</w:t>
      </w:r>
      <w:proofErr w:type="gramEnd"/>
      <w:r w:rsidRPr="00F250D7">
        <w:rPr>
          <w:rFonts w:ascii="Calibri" w:hAnsi="Calibri" w:cs="Calibri"/>
          <w:sz w:val="22"/>
          <w:szCs w:val="22"/>
          <w:lang w:val="es-ES"/>
        </w:rPr>
        <w:t xml:space="preserve"> </w:t>
      </w:r>
      <w:r w:rsidR="00007B2C">
        <w:rPr>
          <w:rFonts w:ascii="Calibri" w:hAnsi="Calibri" w:cs="Calibri"/>
          <w:sz w:val="22"/>
          <w:szCs w:val="22"/>
          <w:lang w:val="es-ES"/>
        </w:rPr>
        <w:t>S</w:t>
      </w:r>
      <w:r w:rsidRPr="00F250D7">
        <w:rPr>
          <w:rFonts w:ascii="Calibri" w:hAnsi="Calibri" w:cs="Calibri"/>
          <w:sz w:val="22"/>
          <w:szCs w:val="22"/>
          <w:lang w:val="es-ES"/>
        </w:rPr>
        <w:t xml:space="preserve">enior de QS, Ben </w:t>
      </w:r>
      <w:proofErr w:type="spellStart"/>
      <w:r w:rsidRPr="00F250D7">
        <w:rPr>
          <w:rFonts w:ascii="Calibri" w:hAnsi="Calibri" w:cs="Calibri"/>
          <w:sz w:val="22"/>
          <w:szCs w:val="22"/>
          <w:lang w:val="es-ES"/>
        </w:rPr>
        <w:t>Sowter</w:t>
      </w:r>
      <w:proofErr w:type="spellEnd"/>
      <w:r w:rsidRPr="00F250D7">
        <w:rPr>
          <w:rFonts w:ascii="Calibri" w:hAnsi="Calibri" w:cs="Calibri"/>
          <w:sz w:val="22"/>
          <w:szCs w:val="22"/>
          <w:lang w:val="es-ES"/>
        </w:rPr>
        <w:t xml:space="preserve">, afirmó: </w:t>
      </w:r>
      <w:r w:rsidRPr="00F250D7" w:rsidR="6ED8B170">
        <w:rPr>
          <w:rFonts w:ascii="Calibri" w:hAnsi="Calibri" w:eastAsia="Calibri" w:cs="Calibri"/>
          <w:i/>
          <w:iCs/>
          <w:sz w:val="22"/>
          <w:szCs w:val="22"/>
          <w:lang w:val="es-ES"/>
        </w:rPr>
        <w:t>«</w:t>
      </w:r>
      <w:r w:rsidR="004975DB">
        <w:rPr>
          <w:rFonts w:ascii="Calibri" w:hAnsi="Calibri" w:eastAsia="Calibri" w:cs="Calibri"/>
          <w:i/>
          <w:iCs/>
          <w:sz w:val="22"/>
          <w:szCs w:val="22"/>
          <w:lang w:val="es-ES"/>
        </w:rPr>
        <w:t xml:space="preserve">El </w:t>
      </w:r>
      <w:r w:rsidRPr="00F250D7" w:rsidR="6ED8B170">
        <w:rPr>
          <w:rFonts w:ascii="Calibri" w:hAnsi="Calibri" w:eastAsia="Calibri" w:cs="Calibri"/>
          <w:i/>
          <w:iCs/>
          <w:sz w:val="22"/>
          <w:szCs w:val="22"/>
          <w:lang w:val="es-ES"/>
        </w:rPr>
        <w:t>últim</w:t>
      </w:r>
      <w:r w:rsidR="004975DB">
        <w:rPr>
          <w:rFonts w:ascii="Calibri" w:hAnsi="Calibri" w:eastAsia="Calibri" w:cs="Calibri"/>
          <w:i/>
          <w:iCs/>
          <w:sz w:val="22"/>
          <w:szCs w:val="22"/>
          <w:lang w:val="es-ES"/>
        </w:rPr>
        <w:t>o</w:t>
      </w:r>
      <w:r w:rsidRPr="00F250D7" w:rsidR="6ED8B170">
        <w:rPr>
          <w:rFonts w:ascii="Calibri" w:hAnsi="Calibri" w:eastAsia="Calibri" w:cs="Calibri"/>
          <w:i/>
          <w:iCs/>
          <w:sz w:val="22"/>
          <w:szCs w:val="22"/>
          <w:lang w:val="es-ES"/>
        </w:rPr>
        <w:t xml:space="preserve"> </w:t>
      </w:r>
      <w:r w:rsidR="004975DB">
        <w:rPr>
          <w:rFonts w:ascii="Calibri" w:hAnsi="Calibri" w:eastAsia="Calibri" w:cs="Calibri"/>
          <w:i/>
          <w:iCs/>
          <w:sz w:val="22"/>
          <w:szCs w:val="22"/>
          <w:lang w:val="es-ES"/>
        </w:rPr>
        <w:t xml:space="preserve">ranking de universidades de </w:t>
      </w:r>
      <w:r w:rsidR="004975DB">
        <w:rPr>
          <w:rFonts w:ascii="Calibri" w:hAnsi="Calibri" w:eastAsia="Calibri" w:cs="Calibri"/>
          <w:sz w:val="22"/>
          <w:szCs w:val="22"/>
          <w:lang w:val="es-ES"/>
        </w:rPr>
        <w:t>Latinoamérica</w:t>
      </w:r>
      <w:r w:rsidR="004975DB">
        <w:rPr>
          <w:rFonts w:ascii="Calibri" w:hAnsi="Calibri" w:eastAsia="Calibri" w:cs="Calibri"/>
          <w:sz w:val="22"/>
          <w:szCs w:val="22"/>
          <w:lang w:val="es-ES"/>
        </w:rPr>
        <w:t xml:space="preserve"> y el Caribe de QS</w:t>
      </w:r>
      <w:r w:rsidRPr="00F250D7" w:rsidR="6ED8B170">
        <w:rPr>
          <w:rFonts w:ascii="Calibri" w:hAnsi="Calibri" w:eastAsia="Calibri" w:cs="Calibri"/>
          <w:i/>
          <w:iCs/>
          <w:sz w:val="22"/>
          <w:szCs w:val="22"/>
          <w:lang w:val="es-ES"/>
        </w:rPr>
        <w:t xml:space="preserve"> confirma una jerarquía estable, sin nuevas incorporaciones entre las 20, las 10 o las tres primeras posiciones. </w:t>
      </w:r>
      <w:r w:rsidRPr="00F250D7" w:rsidR="07150F71">
        <w:rPr>
          <w:rFonts w:ascii="Calibri" w:hAnsi="Calibri" w:eastAsia="Calibri" w:cs="Calibri"/>
          <w:i/>
          <w:iCs/>
          <w:sz w:val="22"/>
          <w:szCs w:val="22"/>
          <w:lang w:val="es-ES"/>
        </w:rPr>
        <w:t xml:space="preserve">El surgimiento de Chile como potencia regional continúa tras importantes retos históricos, </w:t>
      </w:r>
      <w:r w:rsidRPr="00F250D7" w:rsidR="6ED8B170">
        <w:rPr>
          <w:rFonts w:ascii="Calibri" w:hAnsi="Calibri" w:eastAsia="Calibri" w:cs="Calibri"/>
          <w:i/>
          <w:iCs/>
          <w:sz w:val="22"/>
          <w:szCs w:val="22"/>
          <w:lang w:val="es-ES"/>
        </w:rPr>
        <w:t xml:space="preserve">con la UC a la cabeza de la tabla y el país logrando una de las mayores concentraciones de universidades de primer nivel de la </w:t>
      </w:r>
      <w:r w:rsidRPr="00F250D7" w:rsidR="102C1CEF">
        <w:rPr>
          <w:rFonts w:ascii="Calibri" w:hAnsi="Calibri" w:eastAsia="Calibri" w:cs="Calibri"/>
          <w:i/>
          <w:iCs/>
          <w:sz w:val="22"/>
          <w:szCs w:val="22"/>
          <w:lang w:val="es-ES"/>
        </w:rPr>
        <w:t>región».</w:t>
      </w:r>
    </w:p>
    <w:p w:rsidRPr="00F250D7" w:rsidR="00FE2C1B" w:rsidP="238D8AFF" w:rsidRDefault="79C05483" w14:paraId="600BFA5C" w14:textId="06EAD15E">
      <w:pPr>
        <w:spacing w:line="360" w:lineRule="auto"/>
        <w:rPr>
          <w:rFonts w:ascii="Calibri" w:hAnsi="Calibri" w:eastAsia="Calibri" w:cs="Calibri"/>
          <w:sz w:val="22"/>
          <w:szCs w:val="22"/>
          <w:lang w:val="es-ES"/>
        </w:rPr>
      </w:pPr>
      <w:proofErr w:type="spellStart"/>
      <w:r w:rsidRPr="00F250D7">
        <w:rPr>
          <w:rFonts w:ascii="Calibri" w:hAnsi="Calibri" w:eastAsia="Calibri" w:cs="Calibri"/>
          <w:i/>
          <w:iCs/>
          <w:sz w:val="22"/>
          <w:szCs w:val="22"/>
          <w:lang w:val="es-ES"/>
        </w:rPr>
        <w:t>Sowter</w:t>
      </w:r>
      <w:proofErr w:type="spellEnd"/>
      <w:r w:rsidRPr="00F250D7">
        <w:rPr>
          <w:rFonts w:ascii="Calibri" w:hAnsi="Calibri" w:eastAsia="Calibri" w:cs="Calibri"/>
          <w:i/>
          <w:iCs/>
          <w:sz w:val="22"/>
          <w:szCs w:val="22"/>
          <w:lang w:val="es-ES"/>
        </w:rPr>
        <w:t xml:space="preserve"> </w:t>
      </w:r>
      <w:r w:rsidRPr="00F250D7" w:rsidR="102C1CEF">
        <w:rPr>
          <w:rFonts w:ascii="Calibri" w:hAnsi="Calibri" w:eastAsia="Calibri" w:cs="Calibri"/>
          <w:i/>
          <w:iCs/>
          <w:sz w:val="22"/>
          <w:szCs w:val="22"/>
          <w:lang w:val="es-ES"/>
        </w:rPr>
        <w:t xml:space="preserve">añadió: </w:t>
      </w:r>
      <w:r w:rsidRPr="00F250D7" w:rsidR="14AE413A">
        <w:rPr>
          <w:rFonts w:ascii="Calibri" w:hAnsi="Calibri" w:eastAsia="Calibri" w:cs="Calibri"/>
          <w:i/>
          <w:iCs/>
          <w:sz w:val="22"/>
          <w:szCs w:val="22"/>
          <w:lang w:val="es-ES"/>
        </w:rPr>
        <w:t>«Sin embargo</w:t>
      </w:r>
      <w:r w:rsidRPr="00F250D7" w:rsidR="102C1CEF">
        <w:rPr>
          <w:rFonts w:ascii="Calibri" w:hAnsi="Calibri" w:eastAsia="Calibri" w:cs="Calibri"/>
          <w:i/>
          <w:iCs/>
          <w:sz w:val="22"/>
          <w:szCs w:val="22"/>
          <w:lang w:val="es-ES"/>
        </w:rPr>
        <w:t>,</w:t>
      </w:r>
      <w:r w:rsidRPr="00F250D7" w:rsidR="14AE413A">
        <w:rPr>
          <w:rFonts w:ascii="Calibri" w:hAnsi="Calibri" w:eastAsia="Calibri" w:cs="Calibri"/>
          <w:i/>
          <w:iCs/>
          <w:sz w:val="22"/>
          <w:szCs w:val="22"/>
          <w:lang w:val="es-ES"/>
        </w:rPr>
        <w:t xml:space="preserve"> persisten importantes retos: la falta crónica de inversión, los modestos resultados e influencia de la investigación y la desigualdad de la infraestructura digital siguen limitando la competitividad global de la región. Aunque el acceso y la colaboración se han ampliado, las universidades deben ahora dirigir sus recursos hacia la innovación, la investigación y el desarrollo, las asociaciones con la industria y el espíritu empresarial para impulsar los resultados de los graduados. Al mismo tiempo, necesitan planes de estudio ágiles y una mayor adopción de la tecnología para dotar a los graduados de las habilidades necesarias para tener éxito en un entorno profesional cada vez más dinámico y cambiante</w:t>
      </w:r>
      <w:r w:rsidRPr="00F250D7" w:rsidR="14AE413A">
        <w:rPr>
          <w:rFonts w:ascii="Calibri" w:hAnsi="Calibri" w:eastAsia="Calibri" w:cs="Calibri"/>
          <w:sz w:val="22"/>
          <w:szCs w:val="22"/>
          <w:lang w:val="es-ES"/>
        </w:rPr>
        <w:t>».</w:t>
      </w:r>
    </w:p>
    <w:p w:rsidRPr="002B720E" w:rsidR="00FE2C1B" w:rsidP="238D8AFF" w:rsidRDefault="00007B2C" w14:paraId="2114E1D6" w14:textId="0500629A">
      <w:pPr>
        <w:spacing w:line="360" w:lineRule="auto"/>
        <w:rPr>
          <w:rFonts w:ascii="Calibri" w:hAnsi="Calibri" w:cs="Calibri"/>
          <w:b/>
          <w:bCs/>
          <w:sz w:val="22"/>
          <w:szCs w:val="22"/>
          <w:u w:val="single"/>
        </w:rPr>
      </w:pPr>
      <w:proofErr w:type="spellStart"/>
      <w:r>
        <w:rPr>
          <w:rFonts w:ascii="Calibri" w:hAnsi="Calibri" w:cs="Calibri"/>
          <w:b/>
          <w:bCs/>
          <w:sz w:val="22"/>
          <w:szCs w:val="22"/>
          <w:u w:val="single"/>
        </w:rPr>
        <w:t>Latinoamérica</w:t>
      </w:r>
      <w:proofErr w:type="spellEnd"/>
      <w:r w:rsidRPr="238D8AFF" w:rsidR="00FE2C1B">
        <w:rPr>
          <w:rFonts w:ascii="Calibri" w:hAnsi="Calibri" w:cs="Calibri"/>
          <w:b/>
          <w:bCs/>
          <w:sz w:val="22"/>
          <w:szCs w:val="22"/>
          <w:u w:val="single"/>
        </w:rPr>
        <w:t xml:space="preserve">: </w:t>
      </w:r>
      <w:proofErr w:type="spellStart"/>
      <w:r w:rsidRPr="238D8AFF" w:rsidR="00FE2C1B">
        <w:rPr>
          <w:rFonts w:ascii="Calibri" w:hAnsi="Calibri" w:cs="Calibri"/>
          <w:b/>
          <w:bCs/>
          <w:sz w:val="22"/>
          <w:szCs w:val="22"/>
          <w:u w:val="single"/>
        </w:rPr>
        <w:t>visión</w:t>
      </w:r>
      <w:proofErr w:type="spellEnd"/>
      <w:r w:rsidRPr="238D8AFF" w:rsidR="00FE2C1B">
        <w:rPr>
          <w:rFonts w:ascii="Calibri" w:hAnsi="Calibri" w:cs="Calibri"/>
          <w:b/>
          <w:bCs/>
          <w:sz w:val="22"/>
          <w:szCs w:val="22"/>
          <w:u w:val="single"/>
        </w:rPr>
        <w:t xml:space="preserve"> general</w:t>
      </w:r>
    </w:p>
    <w:p w:rsidRPr="00F250D7" w:rsidR="00221FEB" w:rsidP="238D8AFF" w:rsidRDefault="00FE2C1B" w14:paraId="39402D06" w14:textId="1518528C">
      <w:pPr>
        <w:pStyle w:val="ListParagraph"/>
        <w:numPr>
          <w:ilvl w:val="0"/>
          <w:numId w:val="2"/>
        </w:numPr>
        <w:spacing w:line="360" w:lineRule="auto"/>
        <w:ind w:left="714" w:hanging="357"/>
        <w:rPr>
          <w:rFonts w:ascii="Calibri" w:hAnsi="Calibri" w:cs="Calibri"/>
          <w:sz w:val="22"/>
          <w:szCs w:val="22"/>
          <w:lang w:val="es-ES"/>
        </w:rPr>
      </w:pPr>
      <w:r w:rsidRPr="00F250D7">
        <w:rPr>
          <w:rFonts w:ascii="Calibri" w:hAnsi="Calibri" w:cs="Calibri"/>
          <w:sz w:val="22"/>
          <w:szCs w:val="22"/>
          <w:lang w:val="es-ES"/>
        </w:rPr>
        <w:t>La principal universidad de Argentina, la UBA, mantiene la décima posición en esta clasificación, mostrándose resistente ante los retos de financiación. Es una de las universidades más reconocidas de</w:t>
      </w:r>
      <w:r w:rsidRPr="00F250D7" w:rsidR="004C3D1E">
        <w:rPr>
          <w:rFonts w:ascii="Calibri" w:hAnsi="Calibri" w:cs="Calibri"/>
          <w:sz w:val="22"/>
          <w:szCs w:val="22"/>
          <w:lang w:val="es-ES"/>
        </w:rPr>
        <w:t xml:space="preserve"> </w:t>
      </w:r>
      <w:proofErr w:type="spellStart"/>
      <w:r w:rsidR="00007B2C">
        <w:rPr>
          <w:rFonts w:ascii="Calibri" w:hAnsi="Calibri" w:cs="Calibri"/>
          <w:sz w:val="22"/>
          <w:szCs w:val="22"/>
          <w:lang w:val="es-ES"/>
        </w:rPr>
        <w:t>Latinoamércia</w:t>
      </w:r>
      <w:proofErr w:type="spellEnd"/>
      <w:r w:rsidRPr="00F250D7" w:rsidR="004C3D1E">
        <w:rPr>
          <w:rFonts w:ascii="Calibri" w:hAnsi="Calibri" w:cs="Calibri"/>
          <w:sz w:val="22"/>
          <w:szCs w:val="22"/>
          <w:lang w:val="es-ES"/>
        </w:rPr>
        <w:t xml:space="preserve"> </w:t>
      </w:r>
      <w:r w:rsidRPr="00F250D7" w:rsidR="48BBC13D">
        <w:rPr>
          <w:rFonts w:ascii="Calibri" w:hAnsi="Calibri" w:cs="Calibri"/>
          <w:sz w:val="22"/>
          <w:szCs w:val="22"/>
          <w:lang w:val="es-ES"/>
        </w:rPr>
        <w:t xml:space="preserve">y el </w:t>
      </w:r>
      <w:r w:rsidRPr="00F250D7" w:rsidR="004C3D1E">
        <w:rPr>
          <w:rFonts w:ascii="Calibri" w:hAnsi="Calibri" w:cs="Calibri"/>
          <w:sz w:val="22"/>
          <w:szCs w:val="22"/>
          <w:lang w:val="es-ES"/>
        </w:rPr>
        <w:t xml:space="preserve">Caribe </w:t>
      </w:r>
      <w:r w:rsidRPr="00F250D7">
        <w:rPr>
          <w:rFonts w:ascii="Calibri" w:hAnsi="Calibri" w:cs="Calibri"/>
          <w:sz w:val="22"/>
          <w:szCs w:val="22"/>
          <w:lang w:val="es-ES"/>
        </w:rPr>
        <w:t xml:space="preserve">entre los académicos y empleadores internacionales, ocupando el segundo lugar en los indicadores de reputación académica y entre los empleadores. </w:t>
      </w:r>
      <w:r w:rsidRPr="00F250D7" w:rsidR="00221FEB">
        <w:rPr>
          <w:rFonts w:ascii="Calibri" w:hAnsi="Calibri" w:cs="Calibri"/>
          <w:sz w:val="22"/>
          <w:szCs w:val="22"/>
          <w:lang w:val="es-ES"/>
        </w:rPr>
        <w:t xml:space="preserve">Los resultados </w:t>
      </w:r>
      <w:r w:rsidR="007855FD">
        <w:rPr>
          <w:rFonts w:ascii="Calibri" w:hAnsi="Calibri" w:cs="Calibri"/>
          <w:sz w:val="22"/>
          <w:szCs w:val="22"/>
          <w:lang w:val="es-ES"/>
        </w:rPr>
        <w:t>en</w:t>
      </w:r>
      <w:r w:rsidRPr="00F250D7" w:rsidR="00221FEB">
        <w:rPr>
          <w:rFonts w:ascii="Calibri" w:hAnsi="Calibri" w:cs="Calibri"/>
          <w:sz w:val="22"/>
          <w:szCs w:val="22"/>
          <w:lang w:val="es-ES"/>
        </w:rPr>
        <w:t xml:space="preserve"> investigación, </w:t>
      </w:r>
      <w:r w:rsidRPr="00F250D7" w:rsidR="00050260">
        <w:rPr>
          <w:rFonts w:ascii="Calibri" w:hAnsi="Calibri" w:cs="Calibri"/>
          <w:sz w:val="22"/>
          <w:szCs w:val="22"/>
          <w:lang w:val="es-ES"/>
        </w:rPr>
        <w:t xml:space="preserve">medidos </w:t>
      </w:r>
      <w:r w:rsidRPr="00F250D7" w:rsidR="00221FEB">
        <w:rPr>
          <w:rFonts w:ascii="Calibri" w:hAnsi="Calibri" w:cs="Calibri"/>
          <w:sz w:val="22"/>
          <w:szCs w:val="22"/>
          <w:lang w:val="es-ES"/>
        </w:rPr>
        <w:t xml:space="preserve">por el número de artículos por profesor, suponen un reto particular para las universidades argentinas, ya que ninguna de ellas se encuentra entre las 50 primeras en este indicador. Por otra parte, los recursos docentes, medidos por la ratio de profesores por alumno, siguen siendo un punto fuerte del país, que alcanza la puntuación media más alta </w:t>
      </w:r>
      <w:r w:rsidRPr="00F250D7" w:rsidR="75CA1426">
        <w:rPr>
          <w:rFonts w:ascii="Calibri" w:hAnsi="Calibri" w:cs="Calibri"/>
          <w:sz w:val="22"/>
          <w:szCs w:val="22"/>
          <w:lang w:val="es-ES"/>
        </w:rPr>
        <w:t xml:space="preserve">de la región </w:t>
      </w:r>
      <w:r w:rsidRPr="00F250D7" w:rsidR="00221FEB">
        <w:rPr>
          <w:rFonts w:ascii="Calibri" w:hAnsi="Calibri" w:cs="Calibri"/>
          <w:sz w:val="22"/>
          <w:szCs w:val="22"/>
          <w:lang w:val="es-ES"/>
        </w:rPr>
        <w:t xml:space="preserve">en este indicador entre los países con 10 o más instituciones clasificadas y supera significativamente la media regional. </w:t>
      </w:r>
      <w:r w:rsidRPr="00F250D7" w:rsidR="00590CBF">
        <w:rPr>
          <w:rFonts w:ascii="Calibri" w:hAnsi="Calibri" w:cs="Calibri"/>
          <w:sz w:val="22"/>
          <w:szCs w:val="22"/>
          <w:lang w:val="es-ES"/>
        </w:rPr>
        <w:t xml:space="preserve">Cinco universidades se sitúan entre las 20 primeras en esta </w:t>
      </w:r>
      <w:r w:rsidRPr="00F250D7" w:rsidR="00635CD6">
        <w:rPr>
          <w:rFonts w:ascii="Calibri" w:hAnsi="Calibri" w:cs="Calibri"/>
          <w:sz w:val="22"/>
          <w:szCs w:val="22"/>
          <w:lang w:val="es-ES"/>
        </w:rPr>
        <w:t xml:space="preserve">métrica, </w:t>
      </w:r>
      <w:r w:rsidRPr="00F250D7" w:rsidR="00590CBF">
        <w:rPr>
          <w:rFonts w:ascii="Calibri" w:hAnsi="Calibri" w:cs="Calibri"/>
          <w:sz w:val="22"/>
          <w:szCs w:val="22"/>
          <w:lang w:val="es-ES"/>
        </w:rPr>
        <w:t xml:space="preserve">y la mejor clasificada, la Pontificia Universidad Católica Argentina, ocupa el quinto lugar. </w:t>
      </w:r>
    </w:p>
    <w:p w:rsidRPr="00F250D7" w:rsidR="00221FEB" w:rsidP="238D8AFF" w:rsidRDefault="00AB4B5D" w14:paraId="540DE794" w14:textId="73D4ABF3">
      <w:pPr>
        <w:pStyle w:val="ListParagraph"/>
        <w:numPr>
          <w:ilvl w:val="0"/>
          <w:numId w:val="2"/>
        </w:numPr>
        <w:spacing w:line="360" w:lineRule="auto"/>
        <w:ind w:left="714" w:hanging="357"/>
        <w:rPr>
          <w:rFonts w:ascii="Calibri" w:hAnsi="Calibri" w:cs="Calibri"/>
          <w:sz w:val="22"/>
          <w:szCs w:val="22"/>
          <w:lang w:val="es-ES"/>
        </w:rPr>
      </w:pPr>
      <w:r w:rsidRPr="00F250D7">
        <w:rPr>
          <w:rFonts w:ascii="Calibri" w:hAnsi="Calibri" w:cs="Calibri"/>
          <w:sz w:val="22"/>
          <w:szCs w:val="22"/>
          <w:lang w:val="es-ES"/>
        </w:rPr>
        <w:t xml:space="preserve">Con dos universidades entre las 10 primeras, México cuenta con algunas de las universidades más sólidas de la región. </w:t>
      </w:r>
      <w:r w:rsidRPr="00F250D7" w:rsidR="00590CBF">
        <w:rPr>
          <w:rFonts w:ascii="Calibri" w:hAnsi="Calibri" w:cs="Calibri"/>
          <w:sz w:val="22"/>
          <w:szCs w:val="22"/>
          <w:lang w:val="es-ES"/>
        </w:rPr>
        <w:t xml:space="preserve">La UNAM es la universidad más respetada de </w:t>
      </w:r>
      <w:proofErr w:type="spellStart"/>
      <w:r w:rsidR="007855FD">
        <w:rPr>
          <w:rFonts w:ascii="Calibri" w:hAnsi="Calibri" w:cs="Calibri"/>
          <w:sz w:val="22"/>
          <w:szCs w:val="22"/>
          <w:lang w:val="es-ES"/>
        </w:rPr>
        <w:t>Latinoamér</w:t>
      </w:r>
      <w:proofErr w:type="spellEnd"/>
      <w:r w:rsidRPr="00F250D7" w:rsidR="00590CBF">
        <w:rPr>
          <w:rFonts w:ascii="Calibri" w:hAnsi="Calibri" w:cs="Calibri"/>
          <w:sz w:val="22"/>
          <w:szCs w:val="22"/>
          <w:lang w:val="es-ES"/>
        </w:rPr>
        <w:t xml:space="preserve"> </w:t>
      </w:r>
      <w:r w:rsidRPr="00F250D7" w:rsidR="33A48BAA">
        <w:rPr>
          <w:rFonts w:ascii="Calibri" w:hAnsi="Calibri" w:cs="Calibri"/>
          <w:sz w:val="22"/>
          <w:szCs w:val="22"/>
          <w:lang w:val="es-ES"/>
        </w:rPr>
        <w:t xml:space="preserve">y el </w:t>
      </w:r>
      <w:r w:rsidRPr="00F250D7" w:rsidR="00590CBF">
        <w:rPr>
          <w:rFonts w:ascii="Calibri" w:hAnsi="Calibri" w:cs="Calibri"/>
          <w:sz w:val="22"/>
          <w:szCs w:val="22"/>
          <w:lang w:val="es-ES"/>
        </w:rPr>
        <w:t>Caribe entre los académicos internacionales y ocupa el tercer lugar entre los empleadores</w:t>
      </w:r>
      <w:r w:rsidRPr="00F250D7">
        <w:rPr>
          <w:rFonts w:ascii="Calibri" w:hAnsi="Calibri" w:cs="Calibri"/>
          <w:sz w:val="22"/>
          <w:szCs w:val="22"/>
          <w:lang w:val="es-ES"/>
        </w:rPr>
        <w:t xml:space="preserve">, lo que </w:t>
      </w:r>
      <w:r w:rsidRPr="00F250D7">
        <w:rPr>
          <w:rFonts w:ascii="Calibri" w:hAnsi="Calibri" w:cs="Calibri"/>
          <w:sz w:val="22"/>
          <w:szCs w:val="22"/>
          <w:lang w:val="es-ES"/>
        </w:rPr>
        <w:t xml:space="preserve">refleja su agenda de investigación altamente colaborativa, que la sitúa en segundo lugar en </w:t>
      </w:r>
      <w:r w:rsidRPr="00F250D7">
        <w:rPr>
          <w:rFonts w:ascii="Calibri" w:hAnsi="Calibri" w:cs="Calibri"/>
          <w:i/>
          <w:iCs/>
          <w:sz w:val="22"/>
          <w:szCs w:val="22"/>
          <w:lang w:val="es-ES"/>
        </w:rPr>
        <w:t xml:space="preserve">la Red Internacional de Investigación </w:t>
      </w:r>
      <w:r w:rsidRPr="00F250D7" w:rsidR="00920F95">
        <w:rPr>
          <w:rFonts w:ascii="Calibri" w:hAnsi="Calibri" w:cs="Calibri"/>
          <w:i/>
          <w:iCs/>
          <w:sz w:val="22"/>
          <w:szCs w:val="22"/>
          <w:lang w:val="es-ES"/>
        </w:rPr>
        <w:t>(IRN</w:t>
      </w:r>
      <w:r w:rsidR="007855FD">
        <w:rPr>
          <w:rFonts w:ascii="Calibri" w:hAnsi="Calibri" w:cs="Calibri"/>
          <w:i/>
          <w:iCs/>
          <w:sz w:val="22"/>
          <w:szCs w:val="22"/>
          <w:lang w:val="es-ES"/>
        </w:rPr>
        <w:t xml:space="preserve"> - </w:t>
      </w:r>
      <w:r w:rsidRPr="007855FD" w:rsidR="007855FD">
        <w:rPr>
          <w:rFonts w:ascii="Calibri" w:hAnsi="Calibri" w:cs="Calibri"/>
          <w:i/>
          <w:iCs/>
          <w:sz w:val="22"/>
          <w:szCs w:val="22"/>
          <w:lang w:val="es-ES"/>
        </w:rPr>
        <w:t xml:space="preserve">International </w:t>
      </w:r>
      <w:proofErr w:type="spellStart"/>
      <w:r w:rsidRPr="007855FD" w:rsidR="007855FD">
        <w:rPr>
          <w:rFonts w:ascii="Calibri" w:hAnsi="Calibri" w:cs="Calibri"/>
          <w:i/>
          <w:iCs/>
          <w:sz w:val="22"/>
          <w:szCs w:val="22"/>
          <w:lang w:val="es-ES"/>
        </w:rPr>
        <w:t>Research</w:t>
      </w:r>
      <w:proofErr w:type="spellEnd"/>
      <w:r w:rsidRPr="007855FD" w:rsidR="007855FD">
        <w:rPr>
          <w:rFonts w:ascii="Calibri" w:hAnsi="Calibri" w:cs="Calibri"/>
          <w:i/>
          <w:iCs/>
          <w:sz w:val="22"/>
          <w:szCs w:val="22"/>
          <w:lang w:val="es-ES"/>
        </w:rPr>
        <w:t xml:space="preserve"> Network</w:t>
      </w:r>
      <w:r w:rsidRPr="00F250D7" w:rsidR="00920F95">
        <w:rPr>
          <w:rFonts w:ascii="Calibri" w:hAnsi="Calibri" w:cs="Calibri"/>
          <w:i/>
          <w:iCs/>
          <w:sz w:val="22"/>
          <w:szCs w:val="22"/>
          <w:lang w:val="es-ES"/>
        </w:rPr>
        <w:t>)</w:t>
      </w:r>
      <w:r w:rsidRPr="00F250D7" w:rsidR="00590CBF">
        <w:rPr>
          <w:rFonts w:ascii="Calibri" w:hAnsi="Calibri" w:cs="Calibri"/>
          <w:sz w:val="22"/>
          <w:szCs w:val="22"/>
          <w:lang w:val="es-ES"/>
        </w:rPr>
        <w:t xml:space="preserve">. </w:t>
      </w:r>
      <w:r w:rsidRPr="00F250D7">
        <w:rPr>
          <w:rFonts w:ascii="Calibri" w:hAnsi="Calibri" w:cs="Calibri"/>
          <w:sz w:val="22"/>
          <w:szCs w:val="22"/>
          <w:lang w:val="es-ES"/>
        </w:rPr>
        <w:t>El Tecnológico de Monterrey produce la investigación más impactante del país</w:t>
      </w:r>
      <w:r w:rsidRPr="00F250D7" w:rsidR="00796833">
        <w:rPr>
          <w:rFonts w:ascii="Calibri" w:hAnsi="Calibri" w:cs="Calibri"/>
          <w:sz w:val="22"/>
          <w:szCs w:val="22"/>
          <w:lang w:val="es-ES"/>
        </w:rPr>
        <w:t xml:space="preserve">, ocupando el noveno lugar a nivel regional en citas por artículo. Sin embargo, se ve algo perjudicado por su volumen de investigación, en el que se encuentra fuera de las 100 mejores de la región. Esto podría sugerir un énfasis en la calidad sobre la cantidad. </w:t>
      </w:r>
      <w:r w:rsidRPr="00F250D7" w:rsidR="00590CBF">
        <w:rPr>
          <w:rFonts w:ascii="Calibri" w:hAnsi="Calibri" w:cs="Calibri"/>
          <w:sz w:val="22"/>
          <w:szCs w:val="22"/>
          <w:lang w:val="es-ES"/>
        </w:rPr>
        <w:t>Por su parte, El Colegio de México, A.C. cuenta con los mayores recursos docentes de la región, según el número de profesores por estudiante, lo que sugiere una experiencia de aprendizaje excepcional.</w:t>
      </w:r>
    </w:p>
    <w:p w:rsidRPr="00F250D7" w:rsidR="002F022A" w:rsidP="238D8AFF" w:rsidRDefault="00A65A26" w14:paraId="43020496" w14:textId="5790273A">
      <w:pPr>
        <w:pStyle w:val="ListParagraph"/>
        <w:numPr>
          <w:ilvl w:val="0"/>
          <w:numId w:val="2"/>
        </w:numPr>
        <w:spacing w:line="360" w:lineRule="auto"/>
        <w:ind w:left="714" w:hanging="357"/>
        <w:rPr>
          <w:rFonts w:ascii="Calibri" w:hAnsi="Calibri" w:cs="Calibri"/>
          <w:sz w:val="22"/>
          <w:szCs w:val="22"/>
          <w:lang w:val="es-ES"/>
        </w:rPr>
      </w:pPr>
      <w:r w:rsidRPr="00F250D7">
        <w:rPr>
          <w:rFonts w:ascii="Calibri" w:hAnsi="Calibri" w:cs="Calibri"/>
          <w:sz w:val="22"/>
          <w:szCs w:val="22"/>
          <w:lang w:val="es-ES"/>
        </w:rPr>
        <w:t xml:space="preserve">Cincuenta y ocho universidades de </w:t>
      </w:r>
      <w:r w:rsidR="00DD2869">
        <w:rPr>
          <w:rFonts w:ascii="Calibri" w:hAnsi="Calibri" w:cs="Calibri"/>
          <w:sz w:val="22"/>
          <w:szCs w:val="22"/>
          <w:lang w:val="es-ES"/>
        </w:rPr>
        <w:t>Latinoamérica</w:t>
      </w:r>
      <w:r w:rsidRPr="00F250D7">
        <w:rPr>
          <w:rFonts w:ascii="Calibri" w:hAnsi="Calibri" w:cs="Calibri"/>
          <w:sz w:val="22"/>
          <w:szCs w:val="22"/>
          <w:lang w:val="es-ES"/>
        </w:rPr>
        <w:t xml:space="preserve"> </w:t>
      </w:r>
      <w:r w:rsidRPr="00F250D7" w:rsidR="1B6D404E">
        <w:rPr>
          <w:rFonts w:ascii="Calibri" w:hAnsi="Calibri" w:cs="Calibri"/>
          <w:sz w:val="22"/>
          <w:szCs w:val="22"/>
          <w:lang w:val="es-ES"/>
        </w:rPr>
        <w:t xml:space="preserve">y el Caribe </w:t>
      </w:r>
      <w:r w:rsidRPr="00F250D7">
        <w:rPr>
          <w:rFonts w:ascii="Calibri" w:hAnsi="Calibri" w:cs="Calibri"/>
          <w:sz w:val="22"/>
          <w:szCs w:val="22"/>
          <w:lang w:val="es-ES"/>
        </w:rPr>
        <w:t>aparecen por primera vez en la clasificación, siendo la mejor clasificada la Universidad de las Indias Occidentales en St. Augustine</w:t>
      </w:r>
      <w:r w:rsidRPr="00F250D7" w:rsidR="008459A7">
        <w:rPr>
          <w:rFonts w:ascii="Calibri" w:hAnsi="Calibri" w:cs="Calibri"/>
          <w:sz w:val="22"/>
          <w:szCs w:val="22"/>
          <w:lang w:val="es-ES"/>
        </w:rPr>
        <w:t>, Trinidad y Tobago</w:t>
      </w:r>
      <w:r w:rsidRPr="00F250D7">
        <w:rPr>
          <w:rFonts w:ascii="Calibri" w:hAnsi="Calibri" w:cs="Calibri"/>
          <w:sz w:val="22"/>
          <w:szCs w:val="22"/>
          <w:vertAlign w:val="superscript"/>
          <w:lang w:val="es-ES"/>
        </w:rPr>
        <w:t>,</w:t>
      </w:r>
      <w:r w:rsidRPr="00F250D7">
        <w:rPr>
          <w:rFonts w:ascii="Calibri" w:hAnsi="Calibri" w:cs="Calibri"/>
          <w:sz w:val="22"/>
          <w:szCs w:val="22"/>
          <w:lang w:val="es-ES"/>
        </w:rPr>
        <w:t xml:space="preserve"> en</w:t>
      </w:r>
      <w:r w:rsidR="00DD2869">
        <w:rPr>
          <w:rFonts w:ascii="Calibri" w:hAnsi="Calibri" w:cs="Calibri"/>
          <w:sz w:val="22"/>
          <w:szCs w:val="22"/>
          <w:lang w:val="es-ES"/>
        </w:rPr>
        <w:t xml:space="preserve"> el puesto 12</w:t>
      </w:r>
      <w:r w:rsidRPr="00F250D7">
        <w:rPr>
          <w:rFonts w:ascii="Calibri" w:hAnsi="Calibri" w:cs="Calibri"/>
          <w:sz w:val="22"/>
          <w:szCs w:val="22"/>
          <w:lang w:val="es-ES"/>
        </w:rPr>
        <w:t xml:space="preserve">7. Le sigue la Universidad </w:t>
      </w:r>
      <w:proofErr w:type="spellStart"/>
      <w:r w:rsidRPr="00F250D7">
        <w:rPr>
          <w:rFonts w:ascii="Calibri" w:hAnsi="Calibri" w:cs="Calibri"/>
          <w:sz w:val="22"/>
          <w:szCs w:val="22"/>
          <w:lang w:val="es-ES"/>
        </w:rPr>
        <w:t>Yachay</w:t>
      </w:r>
      <w:proofErr w:type="spellEnd"/>
      <w:r w:rsidRPr="00F250D7">
        <w:rPr>
          <w:rFonts w:ascii="Calibri" w:hAnsi="Calibri" w:cs="Calibri"/>
          <w:sz w:val="22"/>
          <w:szCs w:val="22"/>
          <w:lang w:val="es-ES"/>
        </w:rPr>
        <w:t xml:space="preserve"> </w:t>
      </w:r>
      <w:proofErr w:type="spellStart"/>
      <w:r w:rsidRPr="00F250D7">
        <w:rPr>
          <w:rFonts w:ascii="Calibri" w:hAnsi="Calibri" w:cs="Calibri"/>
          <w:sz w:val="22"/>
          <w:szCs w:val="22"/>
          <w:lang w:val="es-ES"/>
        </w:rPr>
        <w:t>Tech</w:t>
      </w:r>
      <w:proofErr w:type="spellEnd"/>
      <w:r w:rsidRPr="00F250D7">
        <w:rPr>
          <w:rFonts w:ascii="Calibri" w:hAnsi="Calibri" w:cs="Calibri"/>
          <w:sz w:val="22"/>
          <w:szCs w:val="22"/>
          <w:lang w:val="es-ES"/>
        </w:rPr>
        <w:t xml:space="preserve"> de Ecuador</w:t>
      </w:r>
      <w:r w:rsidRPr="00F250D7" w:rsidR="00082D31">
        <w:rPr>
          <w:rFonts w:ascii="Calibri" w:hAnsi="Calibri" w:cs="Calibri"/>
          <w:sz w:val="22"/>
          <w:szCs w:val="22"/>
          <w:lang w:val="es-ES"/>
        </w:rPr>
        <w:t>, en</w:t>
      </w:r>
      <w:r w:rsidR="00DD2869">
        <w:rPr>
          <w:rFonts w:ascii="Calibri" w:hAnsi="Calibri" w:cs="Calibri"/>
          <w:sz w:val="22"/>
          <w:szCs w:val="22"/>
          <w:lang w:val="es-ES"/>
        </w:rPr>
        <w:t xml:space="preserve"> el puesto</w:t>
      </w:r>
      <w:r w:rsidRPr="00F250D7" w:rsidR="00082D31">
        <w:rPr>
          <w:rFonts w:ascii="Calibri" w:hAnsi="Calibri" w:cs="Calibri"/>
          <w:sz w:val="22"/>
          <w:szCs w:val="22"/>
          <w:lang w:val="es-ES"/>
        </w:rPr>
        <w:t xml:space="preserve"> 136. </w:t>
      </w:r>
      <w:r w:rsidRPr="00F250D7" w:rsidR="00984C28">
        <w:rPr>
          <w:rFonts w:ascii="Calibri" w:hAnsi="Calibri" w:cs="Calibri"/>
          <w:sz w:val="22"/>
          <w:szCs w:val="22"/>
          <w:lang w:val="es-ES"/>
        </w:rPr>
        <w:t xml:space="preserve">Tanto Trinidad y Tobago como Belice aparecen </w:t>
      </w:r>
      <w:r w:rsidRPr="00F250D7" w:rsidR="4A65A16D">
        <w:rPr>
          <w:rFonts w:ascii="Calibri" w:hAnsi="Calibri" w:cs="Calibri"/>
          <w:sz w:val="22"/>
          <w:szCs w:val="22"/>
          <w:lang w:val="es-ES"/>
        </w:rPr>
        <w:t xml:space="preserve">representados </w:t>
      </w:r>
      <w:r w:rsidRPr="00F250D7" w:rsidR="00984C28">
        <w:rPr>
          <w:rFonts w:ascii="Calibri" w:hAnsi="Calibri" w:cs="Calibri"/>
          <w:sz w:val="22"/>
          <w:szCs w:val="22"/>
          <w:lang w:val="es-ES"/>
        </w:rPr>
        <w:t>por primera vez.</w:t>
      </w:r>
    </w:p>
    <w:p w:rsidRPr="00F250D7" w:rsidR="00796833" w:rsidP="238D8AFF" w:rsidRDefault="00984C28" w14:paraId="00BB2D58" w14:textId="6E185B87">
      <w:pPr>
        <w:pStyle w:val="ListParagraph"/>
        <w:numPr>
          <w:ilvl w:val="0"/>
          <w:numId w:val="2"/>
        </w:numPr>
        <w:spacing w:line="360" w:lineRule="auto"/>
        <w:ind w:left="714" w:hanging="357"/>
        <w:rPr>
          <w:rFonts w:ascii="Calibri" w:hAnsi="Calibri" w:cs="Calibri"/>
          <w:sz w:val="22"/>
          <w:szCs w:val="22"/>
          <w:lang w:val="es-ES"/>
        </w:rPr>
      </w:pPr>
      <w:r w:rsidRPr="00F250D7">
        <w:rPr>
          <w:rFonts w:ascii="Calibri" w:hAnsi="Calibri" w:cs="Calibri"/>
          <w:sz w:val="22"/>
          <w:szCs w:val="22"/>
          <w:lang w:val="es-ES"/>
        </w:rPr>
        <w:t xml:space="preserve">Entre los países con universidades que ya figuraban en la clasificación, seis han experimentado una mejora general: Ecuador, Guatemala, Uruguay, Chile, República Dominicana y Perú. </w:t>
      </w:r>
      <w:r w:rsidRPr="00F250D7" w:rsidR="00082D31">
        <w:rPr>
          <w:rFonts w:ascii="Calibri" w:hAnsi="Calibri" w:cs="Calibri"/>
          <w:sz w:val="22"/>
          <w:szCs w:val="22"/>
          <w:lang w:val="es-ES"/>
        </w:rPr>
        <w:t>Ecuador es el país que más ha mejorado en la clasificación de este año</w:t>
      </w:r>
      <w:r w:rsidRPr="00F250D7" w:rsidR="002F022A">
        <w:rPr>
          <w:rFonts w:ascii="Calibri" w:hAnsi="Calibri" w:cs="Calibri"/>
          <w:sz w:val="22"/>
          <w:szCs w:val="22"/>
          <w:lang w:val="es-ES"/>
        </w:rPr>
        <w:t>, con 13 universidades que han subido en la tabla y solo dos que han bajado, mientras que ocho se mantienen estables, lo que le da una tasa de mejora del 48 %. Dos universidades ecuatorianas se encuentran entre las 50 mejores de la región, con la Escuela Superior Politécnica del Litoral (ESPOL) en el puesto</w:t>
      </w:r>
      <w:r w:rsidR="00DD2869">
        <w:rPr>
          <w:rFonts w:ascii="Calibri" w:hAnsi="Calibri" w:cs="Calibri"/>
          <w:sz w:val="22"/>
          <w:szCs w:val="22"/>
          <w:lang w:val="es-ES"/>
        </w:rPr>
        <w:t xml:space="preserve"> 36, </w:t>
      </w:r>
      <w:r w:rsidRPr="00F250D7" w:rsidR="0728A4C7">
        <w:rPr>
          <w:rFonts w:ascii="Calibri" w:hAnsi="Calibri" w:cs="Calibri"/>
          <w:sz w:val="22"/>
          <w:szCs w:val="22"/>
          <w:lang w:val="es-ES"/>
        </w:rPr>
        <w:t xml:space="preserve">desplazando a la líder nacional del año pasado, </w:t>
      </w:r>
      <w:r w:rsidRPr="00F250D7" w:rsidR="002F022A">
        <w:rPr>
          <w:rFonts w:ascii="Calibri" w:hAnsi="Calibri" w:cs="Calibri"/>
          <w:sz w:val="22"/>
          <w:szCs w:val="22"/>
          <w:lang w:val="es-ES"/>
        </w:rPr>
        <w:t>la Universidad San Francisco de Quito (USF</w:t>
      </w:r>
      <w:r w:rsidR="00DD2869">
        <w:rPr>
          <w:rFonts w:ascii="Calibri" w:hAnsi="Calibri" w:cs="Calibri"/>
          <w:sz w:val="22"/>
          <w:szCs w:val="22"/>
          <w:lang w:val="es-ES"/>
        </w:rPr>
        <w:t xml:space="preserve">Q) </w:t>
      </w:r>
      <w:r w:rsidRPr="00F250D7" w:rsidR="1AA9BA5F">
        <w:rPr>
          <w:rFonts w:ascii="Calibri" w:hAnsi="Calibri" w:cs="Calibri"/>
          <w:sz w:val="22"/>
          <w:szCs w:val="22"/>
          <w:lang w:val="es-ES"/>
        </w:rPr>
        <w:t>que</w:t>
      </w:r>
      <w:r w:rsidR="00DD2869">
        <w:rPr>
          <w:rFonts w:ascii="Calibri" w:hAnsi="Calibri" w:cs="Calibri"/>
          <w:sz w:val="22"/>
          <w:szCs w:val="22"/>
          <w:lang w:val="es-ES"/>
        </w:rPr>
        <w:t xml:space="preserve"> ocupa el puesto</w:t>
      </w:r>
      <w:r w:rsidRPr="00F250D7" w:rsidR="002F022A">
        <w:rPr>
          <w:rFonts w:ascii="Calibri" w:hAnsi="Calibri" w:cs="Calibri"/>
          <w:sz w:val="22"/>
          <w:szCs w:val="22"/>
          <w:lang w:val="es-ES"/>
        </w:rPr>
        <w:t xml:space="preserve"> 38</w:t>
      </w:r>
      <w:r w:rsidR="00DD2869">
        <w:rPr>
          <w:rFonts w:ascii="Calibri" w:hAnsi="Calibri" w:cs="Calibri"/>
          <w:sz w:val="22"/>
          <w:szCs w:val="22"/>
          <w:lang w:val="es-ES"/>
        </w:rPr>
        <w:t>.</w:t>
      </w:r>
    </w:p>
    <w:p w:rsidRPr="00F250D7" w:rsidR="002F022A" w:rsidP="238D8AFF" w:rsidRDefault="681F8860" w14:paraId="0E27238C" w14:textId="662811F7">
      <w:pPr>
        <w:pStyle w:val="ListParagraph"/>
        <w:numPr>
          <w:ilvl w:val="0"/>
          <w:numId w:val="2"/>
        </w:numPr>
        <w:spacing w:line="360" w:lineRule="auto"/>
        <w:ind w:left="714" w:hanging="357"/>
        <w:rPr>
          <w:rFonts w:ascii="Calibri" w:hAnsi="Calibri" w:cs="Calibri"/>
          <w:sz w:val="22"/>
          <w:szCs w:val="22"/>
          <w:lang w:val="es-ES"/>
        </w:rPr>
      </w:pPr>
      <w:r w:rsidRPr="00F250D7">
        <w:rPr>
          <w:rFonts w:ascii="Calibri" w:hAnsi="Calibri" w:cs="Calibri"/>
          <w:sz w:val="22"/>
          <w:szCs w:val="22"/>
          <w:lang w:val="es-ES"/>
        </w:rPr>
        <w:t>Bras</w:t>
      </w:r>
      <w:r w:rsidRPr="00F250D7" w:rsidR="00050260">
        <w:rPr>
          <w:rFonts w:ascii="Calibri" w:hAnsi="Calibri" w:cs="Calibri"/>
          <w:sz w:val="22"/>
          <w:szCs w:val="22"/>
          <w:lang w:val="es-ES"/>
        </w:rPr>
        <w:t xml:space="preserve">il es el país con más universidades entre las 10 y las 50 mejores, con cuatro en el top 10 y 12 en el top 50. Sin embargo, si se toma como proporción del total de universidades clasificadas, la concentración de universidades de primer nivel de Chile es mayor, con </w:t>
      </w:r>
      <w:r w:rsidRPr="00F250D7" w:rsidR="28D5F9EE">
        <w:rPr>
          <w:rFonts w:ascii="Calibri" w:hAnsi="Calibri" w:cs="Calibri"/>
          <w:sz w:val="22"/>
          <w:szCs w:val="22"/>
          <w:lang w:val="es-ES"/>
        </w:rPr>
        <w:t xml:space="preserve">dos </w:t>
      </w:r>
      <w:r w:rsidRPr="00F250D7" w:rsidR="00050260">
        <w:rPr>
          <w:rFonts w:ascii="Calibri" w:hAnsi="Calibri" w:cs="Calibri"/>
          <w:sz w:val="22"/>
          <w:szCs w:val="22"/>
          <w:lang w:val="es-ES"/>
        </w:rPr>
        <w:t xml:space="preserve">(4,8 %) entre las 10 primeras y 11 (26 %) entre las 50 primeras, lo que convierte a Chile en el país con mayor concentración de universidades de primer nivel </w:t>
      </w:r>
      <w:r w:rsidRPr="00F250D7" w:rsidR="4AA0CA70">
        <w:rPr>
          <w:rFonts w:ascii="Calibri" w:hAnsi="Calibri" w:cs="Calibri"/>
          <w:sz w:val="22"/>
          <w:szCs w:val="22"/>
          <w:lang w:val="es-ES"/>
        </w:rPr>
        <w:t>de</w:t>
      </w:r>
      <w:r w:rsidRPr="00F250D7" w:rsidR="00050260">
        <w:rPr>
          <w:rFonts w:ascii="Calibri" w:hAnsi="Calibri" w:cs="Calibri"/>
          <w:sz w:val="22"/>
          <w:szCs w:val="22"/>
          <w:lang w:val="es-ES"/>
        </w:rPr>
        <w:t xml:space="preserve"> </w:t>
      </w:r>
      <w:r w:rsidR="00DD2869">
        <w:rPr>
          <w:rFonts w:ascii="Calibri" w:hAnsi="Calibri" w:cs="Calibri"/>
          <w:sz w:val="22"/>
          <w:szCs w:val="22"/>
          <w:lang w:val="es-ES"/>
        </w:rPr>
        <w:t>Latinoamérica</w:t>
      </w:r>
      <w:r w:rsidRPr="00F250D7" w:rsidR="00050260">
        <w:rPr>
          <w:rFonts w:ascii="Calibri" w:hAnsi="Calibri" w:cs="Calibri"/>
          <w:sz w:val="22"/>
          <w:szCs w:val="22"/>
          <w:lang w:val="es-ES"/>
        </w:rPr>
        <w:t xml:space="preserve"> </w:t>
      </w:r>
      <w:r w:rsidRPr="00F250D7" w:rsidR="4AA0CA70">
        <w:rPr>
          <w:rFonts w:ascii="Calibri" w:hAnsi="Calibri" w:cs="Calibri"/>
          <w:sz w:val="22"/>
          <w:szCs w:val="22"/>
          <w:lang w:val="es-ES"/>
        </w:rPr>
        <w:t>y el Caribe</w:t>
      </w:r>
      <w:r w:rsidRPr="00F250D7" w:rsidR="00050260">
        <w:rPr>
          <w:rFonts w:ascii="Calibri" w:hAnsi="Calibri" w:cs="Calibri"/>
          <w:sz w:val="22"/>
          <w:szCs w:val="22"/>
          <w:lang w:val="es-ES"/>
        </w:rPr>
        <w:t>, así como en el mejor de la región, con la UC.</w:t>
      </w:r>
    </w:p>
    <w:p w:rsidRPr="00F250D7" w:rsidR="00050260" w:rsidP="238D8AFF" w:rsidRDefault="00050260" w14:paraId="64C6CDA8" w14:textId="0CBD4970">
      <w:pPr>
        <w:pStyle w:val="ListParagraph"/>
        <w:numPr>
          <w:ilvl w:val="0"/>
          <w:numId w:val="2"/>
        </w:numPr>
        <w:spacing w:line="360" w:lineRule="auto"/>
        <w:ind w:left="714" w:hanging="357"/>
        <w:rPr>
          <w:rFonts w:ascii="Calibri" w:hAnsi="Calibri" w:cs="Calibri"/>
          <w:sz w:val="22"/>
          <w:szCs w:val="22"/>
          <w:lang w:val="es-ES"/>
        </w:rPr>
      </w:pPr>
      <w:r w:rsidRPr="00F250D7">
        <w:rPr>
          <w:rFonts w:ascii="Calibri" w:hAnsi="Calibri" w:cs="Calibri"/>
          <w:sz w:val="22"/>
          <w:szCs w:val="22"/>
          <w:lang w:val="es-ES"/>
        </w:rPr>
        <w:t xml:space="preserve">Las dos universidades mejor clasificadas de Chile, la UC y la Universidad de Chile, </w:t>
      </w:r>
      <w:r w:rsidRPr="00F250D7" w:rsidR="00635CD6">
        <w:rPr>
          <w:rFonts w:ascii="Calibri" w:hAnsi="Calibri" w:cs="Calibri"/>
          <w:sz w:val="22"/>
          <w:szCs w:val="22"/>
          <w:lang w:val="es-ES"/>
        </w:rPr>
        <w:t xml:space="preserve">se encuentran entre las universidades más reconocidas de la región entre los académicos y empleadores internacionales. La UC, en particular, es la universidad más respetada </w:t>
      </w:r>
      <w:r w:rsidRPr="00F250D7" w:rsidR="72558186">
        <w:rPr>
          <w:rFonts w:ascii="Calibri" w:hAnsi="Calibri" w:cs="Calibri"/>
          <w:sz w:val="22"/>
          <w:szCs w:val="22"/>
          <w:lang w:val="es-ES"/>
        </w:rPr>
        <w:t>de</w:t>
      </w:r>
      <w:r w:rsidRPr="00F250D7" w:rsidR="00635CD6">
        <w:rPr>
          <w:rFonts w:ascii="Calibri" w:hAnsi="Calibri" w:cs="Calibri"/>
          <w:sz w:val="22"/>
          <w:szCs w:val="22"/>
          <w:lang w:val="es-ES"/>
        </w:rPr>
        <w:t xml:space="preserve"> </w:t>
      </w:r>
      <w:r w:rsidR="00DD2869">
        <w:rPr>
          <w:rFonts w:ascii="Calibri" w:hAnsi="Calibri" w:cs="Calibri"/>
          <w:sz w:val="22"/>
          <w:szCs w:val="22"/>
          <w:lang w:val="es-ES"/>
        </w:rPr>
        <w:t>Latinoamérica</w:t>
      </w:r>
      <w:r w:rsidRPr="00F250D7" w:rsidR="00635CD6">
        <w:rPr>
          <w:rFonts w:ascii="Calibri" w:hAnsi="Calibri" w:cs="Calibri"/>
          <w:sz w:val="22"/>
          <w:szCs w:val="22"/>
          <w:lang w:val="es-ES"/>
        </w:rPr>
        <w:t xml:space="preserve"> </w:t>
      </w:r>
      <w:r w:rsidRPr="00F250D7" w:rsidR="72558186">
        <w:rPr>
          <w:rFonts w:ascii="Calibri" w:hAnsi="Calibri" w:cs="Calibri"/>
          <w:sz w:val="22"/>
          <w:szCs w:val="22"/>
          <w:lang w:val="es-ES"/>
        </w:rPr>
        <w:t xml:space="preserve">y el Caribe </w:t>
      </w:r>
      <w:r w:rsidRPr="00F250D7" w:rsidR="00635CD6">
        <w:rPr>
          <w:rFonts w:ascii="Calibri" w:hAnsi="Calibri" w:cs="Calibri"/>
          <w:sz w:val="22"/>
          <w:szCs w:val="22"/>
          <w:lang w:val="es-ES"/>
        </w:rPr>
        <w:t xml:space="preserve">entre los empleadores internacionales </w:t>
      </w:r>
      <w:r w:rsidRPr="00F250D7" w:rsidR="001A4838">
        <w:rPr>
          <w:rFonts w:ascii="Calibri" w:hAnsi="Calibri" w:cs="Calibri"/>
          <w:sz w:val="22"/>
          <w:szCs w:val="22"/>
          <w:lang w:val="es-ES"/>
        </w:rPr>
        <w:t xml:space="preserve">y ocupa el tercer lugar entre los académicos, mientras que la Universidad de Chile ocupa el sexto y </w:t>
      </w:r>
      <w:r w:rsidRPr="00F250D7" w:rsidR="751EB076">
        <w:rPr>
          <w:rFonts w:ascii="Calibri" w:hAnsi="Calibri" w:cs="Calibri"/>
          <w:sz w:val="22"/>
          <w:szCs w:val="22"/>
          <w:lang w:val="es-ES"/>
        </w:rPr>
        <w:t xml:space="preserve">quinto </w:t>
      </w:r>
      <w:r w:rsidRPr="00F250D7" w:rsidR="001A4838">
        <w:rPr>
          <w:rFonts w:ascii="Calibri" w:hAnsi="Calibri" w:cs="Calibri"/>
          <w:sz w:val="22"/>
          <w:szCs w:val="22"/>
          <w:lang w:val="es-ES"/>
        </w:rPr>
        <w:t>lugar en estos indicadores, respectivamente.</w:t>
      </w:r>
    </w:p>
    <w:p w:rsidRPr="00F250D7" w:rsidR="001A4838" w:rsidP="238D8AFF" w:rsidRDefault="001A4838" w14:paraId="482A5BFC" w14:textId="0E2E88F4">
      <w:pPr>
        <w:pStyle w:val="ListParagraph"/>
        <w:numPr>
          <w:ilvl w:val="0"/>
          <w:numId w:val="2"/>
        </w:numPr>
        <w:spacing w:line="360" w:lineRule="auto"/>
        <w:ind w:left="714" w:hanging="357"/>
        <w:rPr>
          <w:rFonts w:ascii="Calibri" w:hAnsi="Calibri" w:cs="Calibri"/>
          <w:sz w:val="22"/>
          <w:szCs w:val="22"/>
          <w:lang w:val="es-ES"/>
        </w:rPr>
      </w:pPr>
      <w:r w:rsidRPr="00F250D7">
        <w:rPr>
          <w:rFonts w:ascii="Calibri" w:hAnsi="Calibri" w:cs="Calibri"/>
          <w:sz w:val="22"/>
          <w:szCs w:val="22"/>
          <w:lang w:val="es-ES"/>
        </w:rPr>
        <w:t xml:space="preserve">Colombia obtiene excelentes resultados en reputación entre los empleadores, ya que </w:t>
      </w:r>
      <w:r w:rsidRPr="00F250D7" w:rsidR="008459A7">
        <w:rPr>
          <w:rFonts w:ascii="Calibri" w:hAnsi="Calibri" w:cs="Calibri"/>
          <w:sz w:val="22"/>
          <w:szCs w:val="22"/>
          <w:lang w:val="es-ES"/>
        </w:rPr>
        <w:t xml:space="preserve">todas sus universidades de primer nivel, la Universidad de los Andes, la Universidad Nacional de Colombia y la Pontificia Universidad Javeriana, se sitúan entre las 10 primeras en este indicador, más que cualquier otro país de </w:t>
      </w:r>
      <w:r w:rsidR="00DD2869">
        <w:rPr>
          <w:rFonts w:ascii="Calibri" w:hAnsi="Calibri" w:cs="Calibri"/>
          <w:sz w:val="22"/>
          <w:szCs w:val="22"/>
          <w:lang w:val="es-ES"/>
        </w:rPr>
        <w:t>Latinoamérica</w:t>
      </w:r>
      <w:r w:rsidRPr="00F250D7" w:rsidR="008459A7">
        <w:rPr>
          <w:rFonts w:ascii="Calibri" w:hAnsi="Calibri" w:cs="Calibri"/>
          <w:sz w:val="22"/>
          <w:szCs w:val="22"/>
          <w:lang w:val="es-ES"/>
        </w:rPr>
        <w:t xml:space="preserve"> </w:t>
      </w:r>
      <w:r w:rsidRPr="00F250D7" w:rsidR="2955057E">
        <w:rPr>
          <w:rFonts w:ascii="Calibri" w:hAnsi="Calibri" w:cs="Calibri"/>
          <w:sz w:val="22"/>
          <w:szCs w:val="22"/>
          <w:lang w:val="es-ES"/>
        </w:rPr>
        <w:t>o el Caribe</w:t>
      </w:r>
      <w:r w:rsidRPr="00F250D7" w:rsidR="008459A7">
        <w:rPr>
          <w:rFonts w:ascii="Calibri" w:hAnsi="Calibri" w:cs="Calibri"/>
          <w:sz w:val="22"/>
          <w:szCs w:val="22"/>
          <w:lang w:val="es-ES"/>
        </w:rPr>
        <w:t>.</w:t>
      </w:r>
    </w:p>
    <w:p w:rsidRPr="00F250D7" w:rsidR="008459A7" w:rsidP="238D8AFF" w:rsidRDefault="16656CA6" w14:paraId="6CC4349E" w14:textId="31BE6C4A">
      <w:pPr>
        <w:pStyle w:val="ListParagraph"/>
        <w:numPr>
          <w:ilvl w:val="0"/>
          <w:numId w:val="2"/>
        </w:numPr>
        <w:spacing w:line="360" w:lineRule="auto"/>
        <w:ind w:left="714" w:hanging="357"/>
        <w:rPr>
          <w:rFonts w:ascii="Calibri" w:hAnsi="Calibri" w:cs="Calibri"/>
          <w:sz w:val="22"/>
          <w:szCs w:val="22"/>
          <w:lang w:val="es-ES"/>
        </w:rPr>
      </w:pPr>
      <w:r w:rsidRPr="00F250D7">
        <w:rPr>
          <w:rFonts w:ascii="Calibri" w:hAnsi="Calibri" w:cs="Calibri"/>
          <w:sz w:val="22"/>
          <w:szCs w:val="22"/>
          <w:lang w:val="es-ES"/>
        </w:rPr>
        <w:t xml:space="preserve">Brasil domina los indicadores de investigación. Cinco universidades se encuentran entre las 10 primeras de la región en IRN y citas por artículo, mientras que ningún otro país cuenta con más de dos. La USP es líder regional en IRN, mientras que la </w:t>
      </w:r>
      <w:proofErr w:type="spellStart"/>
      <w:r w:rsidRPr="00F250D7">
        <w:rPr>
          <w:rFonts w:ascii="Calibri" w:hAnsi="Calibri" w:cs="Calibri"/>
          <w:sz w:val="22"/>
          <w:szCs w:val="22"/>
          <w:lang w:val="es-ES"/>
        </w:rPr>
        <w:t>Unicamp</w:t>
      </w:r>
      <w:proofErr w:type="spellEnd"/>
      <w:r w:rsidRPr="00F250D7">
        <w:rPr>
          <w:rFonts w:ascii="Calibri" w:hAnsi="Calibri" w:cs="Calibri"/>
          <w:sz w:val="22"/>
          <w:szCs w:val="22"/>
          <w:lang w:val="es-ES"/>
        </w:rPr>
        <w:t xml:space="preserve"> ocupa el tercer lugar. El Centro Universitario de Araraquara produce investigaciones </w:t>
      </w:r>
      <w:r w:rsidRPr="00F250D7" w:rsidR="3FD3CE44">
        <w:rPr>
          <w:rFonts w:ascii="Calibri" w:hAnsi="Calibri" w:cs="Calibri"/>
          <w:sz w:val="22"/>
          <w:szCs w:val="22"/>
          <w:lang w:val="es-ES"/>
        </w:rPr>
        <w:t>muy citadas</w:t>
      </w:r>
      <w:r w:rsidRPr="00F250D7">
        <w:rPr>
          <w:rFonts w:ascii="Calibri" w:hAnsi="Calibri" w:cs="Calibri"/>
          <w:sz w:val="22"/>
          <w:szCs w:val="22"/>
          <w:lang w:val="es-ES"/>
        </w:rPr>
        <w:t xml:space="preserve">, ocupando el primer lugar en citas por artículo. Por otra parte, la productividad en investigación es un punto fuerte, ya que las cuatro instituciones de investigación más productivas </w:t>
      </w:r>
      <w:r w:rsidRPr="00F250D7" w:rsidR="1F5B050B">
        <w:rPr>
          <w:rFonts w:ascii="Calibri" w:hAnsi="Calibri" w:cs="Calibri"/>
          <w:sz w:val="22"/>
          <w:szCs w:val="22"/>
          <w:lang w:val="es-ES"/>
        </w:rPr>
        <w:t xml:space="preserve">de la región </w:t>
      </w:r>
      <w:r w:rsidRPr="00F250D7">
        <w:rPr>
          <w:rFonts w:ascii="Calibri" w:hAnsi="Calibri" w:cs="Calibri"/>
          <w:sz w:val="22"/>
          <w:szCs w:val="22"/>
          <w:lang w:val="es-ES"/>
        </w:rPr>
        <w:t>pertenecen al país, lideradas en este indicador por la USP.</w:t>
      </w:r>
    </w:p>
    <w:p w:rsidRPr="00F250D7" w:rsidR="00FB00A0" w:rsidP="002B720E" w:rsidRDefault="00FB00A0" w14:paraId="7690697D" w14:textId="61CB7B40">
      <w:pPr>
        <w:pStyle w:val="ListParagraph"/>
        <w:numPr>
          <w:ilvl w:val="0"/>
          <w:numId w:val="2"/>
        </w:numPr>
        <w:spacing w:line="360" w:lineRule="auto"/>
        <w:ind w:left="714" w:hanging="357"/>
        <w:contextualSpacing w:val="0"/>
        <w:rPr>
          <w:rFonts w:ascii="Calibri" w:hAnsi="Calibri" w:cs="Calibri"/>
          <w:sz w:val="22"/>
          <w:szCs w:val="22"/>
          <w:lang w:val="es-ES"/>
        </w:rPr>
      </w:pPr>
      <w:r w:rsidRPr="00F250D7">
        <w:rPr>
          <w:rFonts w:ascii="Calibri" w:hAnsi="Calibri" w:cs="Calibri"/>
          <w:sz w:val="22"/>
          <w:szCs w:val="22"/>
          <w:lang w:val="es-ES"/>
        </w:rPr>
        <w:t>Entre las universidades caribeñas clasificadas, dos se encuentran entre las 50 primeras y ninguna otra entre las 100 primeras. La Universidad de Puerto Rico ocupa el puesto más alto, el 38, seguida de la Universidad de La Habana</w:t>
      </w:r>
      <w:r w:rsidR="00DD2869">
        <w:rPr>
          <w:rFonts w:ascii="Calibri" w:hAnsi="Calibri" w:cs="Calibri"/>
          <w:sz w:val="22"/>
          <w:szCs w:val="22"/>
          <w:lang w:val="es-ES"/>
        </w:rPr>
        <w:t xml:space="preserve">. </w:t>
      </w:r>
      <w:r w:rsidRPr="00F250D7">
        <w:rPr>
          <w:rFonts w:ascii="Calibri" w:hAnsi="Calibri" w:cs="Calibri"/>
          <w:sz w:val="22"/>
          <w:szCs w:val="22"/>
          <w:lang w:val="es-ES"/>
        </w:rPr>
        <w:t xml:space="preserve">Los mejores resultados en indicadores individuales se observan en las citas por artículo, en las que la Pontificia Universidad Católica Madre y Maestra (PUCMM) y el Instituto Tecnológico de Santo Domingo (INTEC) de República Dominicana ocupan el tercer y cuarto lugar, y en </w:t>
      </w:r>
      <w:r w:rsidRPr="00F250D7" w:rsidR="00E6391E">
        <w:rPr>
          <w:rFonts w:ascii="Calibri" w:hAnsi="Calibri" w:cs="Calibri"/>
          <w:sz w:val="22"/>
          <w:szCs w:val="22"/>
          <w:lang w:val="es-ES"/>
        </w:rPr>
        <w:t>la ratio de profesores por estudiante, en la que destaca Cuba, con la Universidad de Holguín y la Universidad Central «Marta Abreu» de Las Villas en cuarto y quinto lugar.</w:t>
      </w:r>
    </w:p>
    <w:p w:rsidRPr="00F250D7" w:rsidR="00DD703D" w:rsidP="002B720E" w:rsidRDefault="00DD703D" w14:paraId="757910B3" w14:textId="25FDFBB2">
      <w:pPr>
        <w:spacing w:line="360" w:lineRule="auto"/>
        <w:rPr>
          <w:rFonts w:ascii="Calibri" w:hAnsi="Calibri" w:cs="Calibri"/>
          <w:sz w:val="22"/>
          <w:szCs w:val="22"/>
          <w:lang w:val="es-ES"/>
        </w:rPr>
      </w:pPr>
      <w:r w:rsidRPr="00F250D7">
        <w:rPr>
          <w:rFonts w:ascii="Calibri" w:hAnsi="Calibri" w:cs="Calibri"/>
          <w:sz w:val="22"/>
          <w:szCs w:val="22"/>
          <w:lang w:val="es-ES"/>
        </w:rPr>
        <w:t xml:space="preserve">La clasificación completa </w:t>
      </w:r>
      <w:r w:rsidR="00DD2869">
        <w:rPr>
          <w:rFonts w:ascii="Calibri" w:hAnsi="Calibri" w:cs="Calibri"/>
          <w:sz w:val="22"/>
          <w:szCs w:val="22"/>
          <w:lang w:val="es-ES"/>
        </w:rPr>
        <w:t>“</w:t>
      </w:r>
      <w:r w:rsidRPr="00F250D7">
        <w:rPr>
          <w:rFonts w:ascii="Calibri" w:hAnsi="Calibri" w:cs="Calibri"/>
          <w:b/>
          <w:bCs/>
          <w:sz w:val="22"/>
          <w:szCs w:val="22"/>
          <w:lang w:val="es-ES"/>
        </w:rPr>
        <w:t xml:space="preserve">QS </w:t>
      </w:r>
      <w:proofErr w:type="spellStart"/>
      <w:r w:rsidRPr="00F250D7">
        <w:rPr>
          <w:rFonts w:ascii="Calibri" w:hAnsi="Calibri" w:cs="Calibri"/>
          <w:b/>
          <w:bCs/>
          <w:sz w:val="22"/>
          <w:szCs w:val="22"/>
          <w:lang w:val="es-ES"/>
        </w:rPr>
        <w:t>World</w:t>
      </w:r>
      <w:proofErr w:type="spellEnd"/>
      <w:r w:rsidRPr="00F250D7">
        <w:rPr>
          <w:rFonts w:ascii="Calibri" w:hAnsi="Calibri" w:cs="Calibri"/>
          <w:b/>
          <w:bCs/>
          <w:sz w:val="22"/>
          <w:szCs w:val="22"/>
          <w:lang w:val="es-ES"/>
        </w:rPr>
        <w:t xml:space="preserve"> University Rankings 2026: Latinoamérica y el Caribe</w:t>
      </w:r>
      <w:r w:rsidR="00DD2869">
        <w:rPr>
          <w:rFonts w:ascii="Calibri" w:hAnsi="Calibri" w:cs="Calibri"/>
          <w:b/>
          <w:bCs/>
          <w:sz w:val="22"/>
          <w:szCs w:val="22"/>
          <w:lang w:val="es-ES"/>
        </w:rPr>
        <w:t>”</w:t>
      </w:r>
      <w:r w:rsidRPr="00F250D7">
        <w:rPr>
          <w:rFonts w:ascii="Calibri" w:hAnsi="Calibri" w:cs="Calibri"/>
          <w:b/>
          <w:bCs/>
          <w:sz w:val="22"/>
          <w:szCs w:val="22"/>
          <w:lang w:val="es-ES"/>
        </w:rPr>
        <w:t xml:space="preserve"> </w:t>
      </w:r>
      <w:r w:rsidRPr="00F250D7">
        <w:rPr>
          <w:rFonts w:ascii="Calibri" w:hAnsi="Calibri" w:cs="Calibri"/>
          <w:sz w:val="22"/>
          <w:szCs w:val="22"/>
          <w:lang w:val="es-ES"/>
        </w:rPr>
        <w:t xml:space="preserve">se publicará cuando se levante el embargo y estará disponible en </w:t>
      </w:r>
      <w:hyperlink w:history="1" r:id="rId10">
        <w:r w:rsidRPr="00F250D7">
          <w:rPr>
            <w:rStyle w:val="Hyperlink"/>
            <w:rFonts w:ascii="Calibri" w:hAnsi="Calibri" w:cs="Calibri"/>
            <w:sz w:val="22"/>
            <w:szCs w:val="22"/>
            <w:lang w:val="es-ES"/>
          </w:rPr>
          <w:t>https://www.topuniversities.com/latin-america-caribbean-overall</w:t>
        </w:r>
      </w:hyperlink>
    </w:p>
    <w:p w:rsidRPr="00F250D7" w:rsidR="00DD703D" w:rsidP="002B720E" w:rsidRDefault="00DD703D" w14:paraId="40829FB5" w14:textId="3A691693">
      <w:pPr>
        <w:spacing w:line="360" w:lineRule="auto"/>
        <w:jc w:val="center"/>
        <w:rPr>
          <w:rFonts w:ascii="Calibri" w:hAnsi="Calibri" w:cs="Calibri"/>
          <w:sz w:val="22"/>
          <w:szCs w:val="22"/>
          <w:lang w:val="es-ES"/>
        </w:rPr>
      </w:pPr>
      <w:r w:rsidRPr="00F250D7">
        <w:rPr>
          <w:rFonts w:ascii="Calibri" w:hAnsi="Calibri" w:cs="Calibri"/>
          <w:sz w:val="22"/>
          <w:szCs w:val="22"/>
          <w:lang w:val="es-ES"/>
        </w:rPr>
        <w:t xml:space="preserve">-Fin- </w:t>
      </w:r>
    </w:p>
    <w:p w:rsidRPr="00F250D7" w:rsidR="00DD703D" w:rsidP="002B720E" w:rsidRDefault="00DD703D" w14:paraId="6E35C62E" w14:textId="77777777">
      <w:pPr>
        <w:spacing w:line="360" w:lineRule="auto"/>
        <w:rPr>
          <w:rFonts w:ascii="Calibri" w:hAnsi="Calibri" w:cs="Calibri"/>
          <w:sz w:val="22"/>
          <w:szCs w:val="22"/>
          <w:lang w:val="es-ES"/>
        </w:rPr>
      </w:pPr>
      <w:r w:rsidRPr="00F250D7">
        <w:rPr>
          <w:rFonts w:ascii="Calibri" w:hAnsi="Calibri" w:cs="Calibri"/>
          <w:sz w:val="22"/>
          <w:szCs w:val="22"/>
          <w:lang w:val="es-ES"/>
        </w:rPr>
        <w:t>Para obtener más información o solicitar entrevistas con los analistas de QS, póngase en contacto con:            </w:t>
      </w:r>
    </w:p>
    <w:p w:rsidRPr="00DD2869" w:rsidR="00DD703D" w:rsidP="00DD703D" w:rsidRDefault="00DD703D" w14:paraId="2000D457" w14:textId="1B988143">
      <w:pPr>
        <w:rPr>
          <w:rFonts w:ascii="Calibri" w:hAnsi="Calibri" w:cs="Calibri"/>
          <w:sz w:val="22"/>
          <w:szCs w:val="22"/>
          <w:lang w:val="en-US"/>
        </w:rPr>
      </w:pPr>
      <w:r w:rsidRPr="00DD2869">
        <w:rPr>
          <w:rFonts w:ascii="Calibri" w:hAnsi="Calibri" w:cs="Calibri"/>
          <w:b/>
          <w:bCs/>
          <w:sz w:val="22"/>
          <w:szCs w:val="22"/>
          <w:lang w:val="en-US"/>
        </w:rPr>
        <w:t xml:space="preserve">Simona </w:t>
      </w:r>
      <w:r w:rsidRPr="00DD2869">
        <w:rPr>
          <w:rFonts w:ascii="Calibri" w:hAnsi="Calibri" w:cs="Calibri"/>
          <w:sz w:val="22"/>
          <w:szCs w:val="22"/>
          <w:lang w:val="en-US"/>
        </w:rPr>
        <w:t xml:space="preserve">Bizzozero  </w:t>
      </w:r>
      <w:r w:rsidRPr="00DD2869">
        <w:rPr>
          <w:rFonts w:ascii="Calibri" w:hAnsi="Calibri" w:cs="Calibri"/>
          <w:sz w:val="22"/>
          <w:szCs w:val="22"/>
          <w:lang w:val="en-US"/>
        </w:rPr>
        <w:br/>
      </w:r>
      <w:r w:rsidRPr="00DD703D" w:rsidR="00DD2869">
        <w:rPr>
          <w:rFonts w:ascii="Calibri" w:hAnsi="Calibri" w:cs="Calibri"/>
          <w:sz w:val="22"/>
          <w:szCs w:val="22"/>
          <w:lang w:val="en-US"/>
        </w:rPr>
        <w:t>Director of Communications, QS </w:t>
      </w:r>
      <w:r w:rsidRPr="00DD703D" w:rsidR="00DD2869">
        <w:rPr>
          <w:rFonts w:ascii="Calibri" w:hAnsi="Calibri" w:cs="Calibri"/>
          <w:sz w:val="22"/>
          <w:szCs w:val="22"/>
        </w:rPr>
        <w:t> </w:t>
      </w:r>
      <w:r w:rsidRPr="00DD2869">
        <w:rPr>
          <w:rFonts w:ascii="Calibri" w:hAnsi="Calibri" w:cs="Calibri"/>
          <w:sz w:val="22"/>
          <w:szCs w:val="22"/>
          <w:lang w:val="en-US"/>
        </w:rPr>
        <w:br/>
      </w:r>
      <w:r w:rsidRPr="00DD2869">
        <w:rPr>
          <w:rFonts w:ascii="Calibri" w:hAnsi="Calibri" w:cs="Calibri"/>
          <w:sz w:val="22"/>
          <w:szCs w:val="22"/>
          <w:lang w:val="en-US"/>
        </w:rPr>
        <w:t xml:space="preserve">simona@qs.com </w:t>
      </w:r>
      <w:r w:rsidRPr="00DD2869" w:rsidR="00DD2869">
        <w:rPr>
          <w:rFonts w:ascii="Calibri" w:hAnsi="Calibri" w:cs="Calibri"/>
          <w:sz w:val="22"/>
          <w:szCs w:val="22"/>
          <w:lang w:val="en-US"/>
        </w:rPr>
        <w:t>| +</w:t>
      </w:r>
      <w:r w:rsidRPr="00DD2869">
        <w:rPr>
          <w:rFonts w:ascii="Calibri" w:hAnsi="Calibri" w:cs="Calibri"/>
          <w:sz w:val="22"/>
          <w:szCs w:val="22"/>
          <w:lang w:val="en-US"/>
        </w:rPr>
        <w:t xml:space="preserve">44 (0) 7880 620856 </w:t>
      </w:r>
      <w:r w:rsidRPr="00DD2869" w:rsidR="006213C9">
        <w:rPr>
          <w:rFonts w:ascii="Calibri" w:hAnsi="Calibri" w:cs="Calibri"/>
          <w:sz w:val="22"/>
          <w:szCs w:val="22"/>
          <w:lang w:val="en-US"/>
        </w:rPr>
        <w:t xml:space="preserve">| </w:t>
      </w:r>
      <w:hyperlink w:tgtFrame="_blank" w:history="1" r:id="rId11">
        <w:r w:rsidRPr="00DD2869" w:rsidR="006213C9">
          <w:rPr>
            <w:rStyle w:val="Hyperlink"/>
            <w:rFonts w:ascii="Calibri" w:hAnsi="Calibri" w:cs="Calibri"/>
            <w:sz w:val="22"/>
            <w:szCs w:val="22"/>
            <w:lang w:val="en-US"/>
          </w:rPr>
          <w:t>LinkedIn</w:t>
        </w:r>
      </w:hyperlink>
      <w:r w:rsidRPr="00DD2869">
        <w:rPr>
          <w:rFonts w:ascii="Calibri" w:hAnsi="Calibri" w:cs="Calibri"/>
          <w:sz w:val="22"/>
          <w:szCs w:val="22"/>
          <w:lang w:val="en-US"/>
        </w:rPr>
        <w:t>  </w:t>
      </w:r>
    </w:p>
    <w:p w:rsidR="00DD2869" w:rsidP="006213C9" w:rsidRDefault="006213C9" w14:paraId="77F4477F" w14:textId="77777777">
      <w:pPr>
        <w:spacing w:after="0"/>
      </w:pPr>
      <w:r w:rsidRPr="00DD2869">
        <w:rPr>
          <w:rFonts w:ascii="Calibri" w:hAnsi="Calibri" w:cs="Calibri"/>
          <w:b/>
          <w:bCs/>
          <w:sz w:val="22"/>
          <w:szCs w:val="22"/>
          <w:lang w:val="en-US"/>
        </w:rPr>
        <w:t xml:space="preserve">Will Barbieri </w:t>
      </w:r>
      <w:r w:rsidRPr="00DD2869" w:rsidR="00DD703D">
        <w:rPr>
          <w:rFonts w:ascii="Calibri" w:hAnsi="Calibri" w:cs="Calibri"/>
          <w:sz w:val="22"/>
          <w:szCs w:val="22"/>
          <w:lang w:val="en-US"/>
        </w:rPr>
        <w:t xml:space="preserve">  </w:t>
      </w:r>
      <w:r w:rsidRPr="00DD2869" w:rsidR="00DD703D">
        <w:rPr>
          <w:rFonts w:ascii="Calibri" w:hAnsi="Calibri" w:cs="Calibri"/>
          <w:sz w:val="22"/>
          <w:szCs w:val="22"/>
          <w:lang w:val="en-US"/>
        </w:rPr>
        <w:br/>
      </w:r>
      <w:r w:rsidR="00DD2869">
        <w:rPr>
          <w:rFonts w:ascii="Calibri" w:hAnsi="Calibri" w:cs="Calibri"/>
          <w:sz w:val="22"/>
          <w:szCs w:val="22"/>
          <w:lang w:val="en-US"/>
        </w:rPr>
        <w:t>C</w:t>
      </w:r>
      <w:r w:rsidRPr="002B720E" w:rsidR="00DD2869">
        <w:rPr>
          <w:rFonts w:ascii="Calibri" w:hAnsi="Calibri" w:cs="Calibri"/>
          <w:sz w:val="22"/>
          <w:szCs w:val="22"/>
          <w:lang w:val="en-US"/>
        </w:rPr>
        <w:t>ommunications</w:t>
      </w:r>
      <w:r w:rsidRPr="00DD703D" w:rsidR="00DD2869">
        <w:rPr>
          <w:rFonts w:ascii="Calibri" w:hAnsi="Calibri" w:cs="Calibri"/>
          <w:sz w:val="22"/>
          <w:szCs w:val="22"/>
          <w:lang w:val="en-US"/>
        </w:rPr>
        <w:t xml:space="preserve"> Specialist, QS</w:t>
      </w:r>
      <w:r w:rsidR="00DD2869">
        <w:t xml:space="preserve"> </w:t>
      </w:r>
    </w:p>
    <w:p w:rsidRPr="00DD2869" w:rsidR="00DD703D" w:rsidP="006213C9" w:rsidRDefault="00DD2869" w14:paraId="30068444" w14:textId="36EC5FE4">
      <w:pPr>
        <w:spacing w:after="0"/>
        <w:rPr>
          <w:rFonts w:ascii="Calibri" w:hAnsi="Calibri" w:cs="Calibri"/>
          <w:sz w:val="22"/>
          <w:szCs w:val="22"/>
          <w:lang w:val="en-US"/>
        </w:rPr>
      </w:pPr>
      <w:hyperlink w:history="1" r:id="rId12">
        <w:r w:rsidRPr="00E03E18">
          <w:rPr>
            <w:rStyle w:val="Hyperlink"/>
            <w:rFonts w:ascii="Calibri" w:hAnsi="Calibri" w:cs="Calibri"/>
            <w:sz w:val="22"/>
            <w:szCs w:val="22"/>
            <w:lang w:val="en-US"/>
          </w:rPr>
          <w:t>William.barbieri@qs.com</w:t>
        </w:r>
      </w:hyperlink>
    </w:p>
    <w:p w:rsidRPr="00DD2869" w:rsidR="006213C9" w:rsidP="006213C9" w:rsidRDefault="006213C9" w14:paraId="47E757CB" w14:textId="77777777">
      <w:pPr>
        <w:spacing w:after="0"/>
        <w:rPr>
          <w:rFonts w:ascii="Calibri" w:hAnsi="Calibri" w:cs="Calibri"/>
          <w:sz w:val="22"/>
          <w:szCs w:val="22"/>
          <w:lang w:val="en-US"/>
        </w:rPr>
      </w:pPr>
    </w:p>
    <w:p w:rsidRPr="00F250D7" w:rsidR="00DD703D" w:rsidP="002B720E" w:rsidRDefault="00DD703D" w14:paraId="050CF1CF" w14:textId="562F2E67">
      <w:pPr>
        <w:spacing w:line="360" w:lineRule="auto"/>
        <w:rPr>
          <w:rFonts w:ascii="Calibri" w:hAnsi="Calibri" w:cs="Calibri"/>
          <w:sz w:val="22"/>
          <w:szCs w:val="22"/>
          <w:u w:val="single"/>
          <w:lang w:val="es-ES"/>
        </w:rPr>
      </w:pPr>
      <w:r w:rsidRPr="00F250D7">
        <w:rPr>
          <w:rFonts w:ascii="Calibri" w:hAnsi="Calibri" w:cs="Calibri"/>
          <w:b/>
          <w:bCs/>
          <w:sz w:val="22"/>
          <w:szCs w:val="22"/>
          <w:u w:val="single"/>
          <w:lang w:val="es-ES"/>
        </w:rPr>
        <w:t>Notas para los editores</w:t>
      </w:r>
    </w:p>
    <w:p w:rsidRPr="00F250D7" w:rsidR="00DD703D" w:rsidP="002B720E" w:rsidRDefault="00DD703D" w14:paraId="5CA54227" w14:textId="77777777">
      <w:pPr>
        <w:spacing w:line="360" w:lineRule="auto"/>
        <w:rPr>
          <w:rFonts w:ascii="Calibri" w:hAnsi="Calibri" w:cs="Calibri"/>
          <w:sz w:val="22"/>
          <w:szCs w:val="22"/>
          <w:lang w:val="es-ES"/>
        </w:rPr>
      </w:pPr>
      <w:r w:rsidRPr="00F250D7">
        <w:rPr>
          <w:rFonts w:ascii="Calibri" w:hAnsi="Calibri" w:cs="Calibri"/>
          <w:b/>
          <w:bCs/>
          <w:sz w:val="22"/>
          <w:szCs w:val="22"/>
          <w:lang w:val="es-ES"/>
        </w:rPr>
        <w:t>QS </w:t>
      </w:r>
      <w:proofErr w:type="spellStart"/>
      <w:r w:rsidRPr="00F250D7">
        <w:rPr>
          <w:rFonts w:ascii="Calibri" w:hAnsi="Calibri" w:cs="Calibri"/>
          <w:b/>
          <w:bCs/>
          <w:sz w:val="22"/>
          <w:szCs w:val="22"/>
          <w:lang w:val="es-ES"/>
        </w:rPr>
        <w:t>Quacquarelli</w:t>
      </w:r>
      <w:proofErr w:type="spellEnd"/>
      <w:r w:rsidRPr="00F250D7">
        <w:rPr>
          <w:rFonts w:ascii="Calibri" w:hAnsi="Calibri" w:cs="Calibri"/>
          <w:b/>
          <w:bCs/>
          <w:sz w:val="22"/>
          <w:szCs w:val="22"/>
          <w:lang w:val="es-ES"/>
        </w:rPr>
        <w:t xml:space="preserve"> Symonds </w:t>
      </w:r>
      <w:r w:rsidRPr="00F250D7">
        <w:rPr>
          <w:rFonts w:ascii="Calibri" w:hAnsi="Calibri" w:cs="Calibri"/>
          <w:sz w:val="22"/>
          <w:szCs w:val="22"/>
          <w:lang w:val="es-ES"/>
        </w:rPr>
        <w:t>es el proveedor líder mundial de servicios, análisis e información para el sector de la educación superior a nivel global, cuya misión es empoderar a personas motivadas de cualquier parte del mundo para que alcancen su potencial a través de los logros educativos, la movilidad internacional y el desarrollo profesional</w:t>
      </w:r>
      <w:r w:rsidRPr="00F250D7">
        <w:rPr>
          <w:rFonts w:ascii="Calibri" w:hAnsi="Calibri" w:cs="Calibri"/>
          <w:i/>
          <w:iCs/>
          <w:sz w:val="22"/>
          <w:szCs w:val="22"/>
          <w:lang w:val="es-ES"/>
        </w:rPr>
        <w:t>.       </w:t>
      </w:r>
    </w:p>
    <w:p w:rsidRPr="00F250D7" w:rsidR="00DD703D" w:rsidP="002B720E" w:rsidRDefault="004479DD" w14:paraId="4AE7B599" w14:textId="5F0CA244">
      <w:pPr>
        <w:spacing w:line="360" w:lineRule="auto"/>
        <w:rPr>
          <w:rFonts w:ascii="Calibri" w:hAnsi="Calibri" w:cs="Calibri"/>
          <w:sz w:val="22"/>
          <w:szCs w:val="22"/>
          <w:lang w:val="es-ES"/>
        </w:rPr>
      </w:pPr>
      <w:r>
        <w:rPr>
          <w:rFonts w:ascii="Calibri" w:hAnsi="Calibri" w:cs="Calibri"/>
          <w:sz w:val="22"/>
          <w:szCs w:val="22"/>
          <w:lang w:val="es-ES"/>
        </w:rPr>
        <w:t>El portafolio</w:t>
      </w:r>
      <w:r w:rsidRPr="00F250D7" w:rsidR="00DD703D">
        <w:rPr>
          <w:rFonts w:ascii="Calibri" w:hAnsi="Calibri" w:cs="Calibri"/>
          <w:sz w:val="22"/>
          <w:szCs w:val="22"/>
          <w:lang w:val="es-ES"/>
        </w:rPr>
        <w:t xml:space="preserve"> de </w:t>
      </w:r>
      <w:r w:rsidRPr="00DD2869" w:rsidR="00DD703D">
        <w:rPr>
          <w:rFonts w:ascii="Calibri" w:hAnsi="Calibri" w:cs="Calibri"/>
          <w:b/>
          <w:bCs/>
          <w:i/>
          <w:iCs/>
          <w:sz w:val="22"/>
          <w:szCs w:val="22"/>
          <w:lang w:val="es-ES"/>
        </w:rPr>
        <w:t xml:space="preserve">QS </w:t>
      </w:r>
      <w:proofErr w:type="spellStart"/>
      <w:r w:rsidRPr="00DD2869" w:rsidR="00DD703D">
        <w:rPr>
          <w:rFonts w:ascii="Calibri" w:hAnsi="Calibri" w:cs="Calibri"/>
          <w:b/>
          <w:bCs/>
          <w:i/>
          <w:iCs/>
          <w:sz w:val="22"/>
          <w:szCs w:val="22"/>
          <w:lang w:val="es-ES"/>
        </w:rPr>
        <w:t>World</w:t>
      </w:r>
      <w:proofErr w:type="spellEnd"/>
      <w:r w:rsidRPr="00DD2869" w:rsidR="00DD703D">
        <w:rPr>
          <w:rFonts w:ascii="Calibri" w:hAnsi="Calibri" w:cs="Calibri"/>
          <w:b/>
          <w:bCs/>
          <w:i/>
          <w:iCs/>
          <w:sz w:val="22"/>
          <w:szCs w:val="22"/>
          <w:lang w:val="es-ES"/>
        </w:rPr>
        <w:t xml:space="preserve"> University Rankings</w:t>
      </w:r>
      <w:r w:rsidRPr="00DD2869" w:rsidR="00DD703D">
        <w:rPr>
          <w:rFonts w:ascii="Calibri" w:hAnsi="Calibri" w:cs="Calibri"/>
          <w:b/>
          <w:bCs/>
          <w:sz w:val="22"/>
          <w:szCs w:val="22"/>
          <w:lang w:val="es-ES"/>
        </w:rPr>
        <w:t>,</w:t>
      </w:r>
      <w:r w:rsidRPr="00F250D7" w:rsidR="00DD703D">
        <w:rPr>
          <w:rFonts w:ascii="Calibri" w:hAnsi="Calibri" w:cs="Calibri"/>
          <w:sz w:val="22"/>
          <w:szCs w:val="22"/>
          <w:lang w:val="es-ES"/>
        </w:rPr>
        <w:t xml:space="preserve"> inaugurad</w:t>
      </w:r>
      <w:r>
        <w:rPr>
          <w:rFonts w:ascii="Calibri" w:hAnsi="Calibri" w:cs="Calibri"/>
          <w:sz w:val="22"/>
          <w:szCs w:val="22"/>
          <w:lang w:val="es-ES"/>
        </w:rPr>
        <w:t>o</w:t>
      </w:r>
      <w:r w:rsidRPr="00F250D7" w:rsidR="00DD703D">
        <w:rPr>
          <w:rFonts w:ascii="Calibri" w:hAnsi="Calibri" w:cs="Calibri"/>
          <w:sz w:val="22"/>
          <w:szCs w:val="22"/>
          <w:lang w:val="es-ES"/>
        </w:rPr>
        <w:t xml:space="preserve"> en 2004, es la fuente más popular del mundo de datos comparativos sobre el rendimiento de las universidades. Su sitio web insignia, </w:t>
      </w:r>
      <w:hyperlink w:tgtFrame="_blank" w:history="1" r:id="rId13">
        <w:r w:rsidRPr="00F250D7" w:rsidR="00DD703D">
          <w:rPr>
            <w:rStyle w:val="Hyperlink"/>
            <w:rFonts w:ascii="Calibri" w:hAnsi="Calibri" w:cs="Calibri"/>
            <w:sz w:val="22"/>
            <w:szCs w:val="22"/>
            <w:lang w:val="es-ES"/>
          </w:rPr>
          <w:t>www.TopUniversities.com</w:t>
        </w:r>
      </w:hyperlink>
      <w:r w:rsidRPr="00F250D7" w:rsidR="00DD703D">
        <w:rPr>
          <w:rFonts w:ascii="Calibri" w:hAnsi="Calibri" w:cs="Calibri"/>
          <w:sz w:val="22"/>
          <w:szCs w:val="22"/>
          <w:lang w:val="es-ES"/>
        </w:rPr>
        <w:t>, donde se publican sus rankings, recibió más de 120 millones de visitas en 2024, y más de 134 000 recortes de prensa relacionados con QS o que lo mencionaban fueron publicados por medios de comunicación de todo el mundo en 2024.  </w:t>
      </w:r>
    </w:p>
    <w:p w:rsidRPr="002B720E" w:rsidR="00E6391E" w:rsidP="002B720E" w:rsidRDefault="002B720E" w14:paraId="5B690F63" w14:textId="41C20CB3">
      <w:pPr>
        <w:spacing w:line="360" w:lineRule="auto"/>
        <w:rPr>
          <w:rFonts w:ascii="Calibri" w:hAnsi="Calibri" w:cs="Calibri"/>
          <w:b/>
          <w:bCs/>
          <w:sz w:val="22"/>
          <w:szCs w:val="22"/>
          <w:u w:val="single"/>
        </w:rPr>
      </w:pPr>
      <w:proofErr w:type="spellStart"/>
      <w:r w:rsidRPr="002B720E">
        <w:rPr>
          <w:rFonts w:ascii="Calibri" w:hAnsi="Calibri" w:cs="Calibri"/>
          <w:b/>
          <w:bCs/>
          <w:sz w:val="22"/>
          <w:szCs w:val="22"/>
          <w:u w:val="single"/>
        </w:rPr>
        <w:t>Apéndice</w:t>
      </w:r>
      <w:proofErr w:type="spellEnd"/>
    </w:p>
    <w:tbl>
      <w:tblPr>
        <w:tblW w:w="8368" w:type="dxa"/>
        <w:jc w:val="center"/>
        <w:tblLook w:val="04A0" w:firstRow="1" w:lastRow="0" w:firstColumn="1" w:lastColumn="0" w:noHBand="0" w:noVBand="1"/>
      </w:tblPr>
      <w:tblGrid>
        <w:gridCol w:w="1242"/>
        <w:gridCol w:w="1242"/>
        <w:gridCol w:w="4820"/>
        <w:gridCol w:w="1285"/>
      </w:tblGrid>
      <w:tr w:rsidRPr="004975DB" w:rsidR="002B720E" w:rsidTr="238D8AFF" w14:paraId="24A7539E" w14:textId="77777777">
        <w:trPr>
          <w:trHeight w:val="300"/>
          <w:jc w:val="center"/>
        </w:trPr>
        <w:tc>
          <w:tcPr>
            <w:tcW w:w="8368" w:type="dxa"/>
            <w:gridSpan w:val="4"/>
            <w:tcBorders>
              <w:top w:val="single" w:color="auto" w:sz="4" w:space="0"/>
              <w:left w:val="single" w:color="auto" w:sz="4" w:space="0"/>
              <w:bottom w:val="single" w:color="auto" w:sz="4" w:space="0"/>
              <w:right w:val="single" w:color="auto" w:sz="4" w:space="0"/>
            </w:tcBorders>
            <w:noWrap/>
            <w:vAlign w:val="bottom"/>
            <w:hideMark/>
          </w:tcPr>
          <w:p w:rsidRPr="00F250D7" w:rsidR="002B720E" w:rsidP="002B720E" w:rsidRDefault="002B720E" w14:paraId="24712BBA" w14:textId="4D389729">
            <w:pPr>
              <w:spacing w:after="0" w:line="240" w:lineRule="auto"/>
              <w:jc w:val="center"/>
              <w:rPr>
                <w:rFonts w:ascii="Calibri" w:hAnsi="Calibri" w:eastAsia="Times New Roman" w:cs="Calibri"/>
                <w:b/>
                <w:bCs/>
                <w:color w:val="1D1D1B"/>
                <w:kern w:val="0"/>
                <w:sz w:val="20"/>
                <w:szCs w:val="20"/>
                <w:lang w:val="es-ES" w:eastAsia="en-GB"/>
                <w14:ligatures w14:val="none"/>
              </w:rPr>
            </w:pPr>
            <w:r w:rsidRPr="00F250D7">
              <w:rPr>
                <w:rFonts w:ascii="Calibri" w:hAnsi="Calibri" w:eastAsia="Times New Roman" w:cs="Calibri"/>
                <w:b/>
                <w:bCs/>
                <w:color w:val="1D1D1B"/>
                <w:kern w:val="0"/>
                <w:sz w:val="20"/>
                <w:szCs w:val="20"/>
                <w:lang w:val="es-ES" w:eastAsia="en-GB"/>
                <w14:ligatures w14:val="none"/>
              </w:rPr>
              <w:t xml:space="preserve">Las 50 mejores universidades de </w:t>
            </w:r>
            <w:r w:rsidR="004479DD">
              <w:rPr>
                <w:rFonts w:ascii="Calibri" w:hAnsi="Calibri" w:eastAsia="Times New Roman" w:cs="Calibri"/>
                <w:b/>
                <w:bCs/>
                <w:color w:val="1D1D1B"/>
                <w:kern w:val="0"/>
                <w:sz w:val="20"/>
                <w:szCs w:val="20"/>
                <w:lang w:val="es-ES" w:eastAsia="en-GB"/>
                <w14:ligatures w14:val="none"/>
              </w:rPr>
              <w:t>Latinoamérica</w:t>
            </w:r>
            <w:r w:rsidRPr="00F250D7">
              <w:rPr>
                <w:rFonts w:ascii="Calibri" w:hAnsi="Calibri" w:eastAsia="Times New Roman" w:cs="Calibri"/>
                <w:b/>
                <w:bCs/>
                <w:color w:val="1D1D1B"/>
                <w:kern w:val="0"/>
                <w:sz w:val="20"/>
                <w:szCs w:val="20"/>
                <w:lang w:val="es-ES" w:eastAsia="en-GB"/>
                <w14:ligatures w14:val="none"/>
              </w:rPr>
              <w:t xml:space="preserve"> y el Caribe</w:t>
            </w:r>
          </w:p>
        </w:tc>
      </w:tr>
      <w:tr w:rsidRPr="002B720E" w:rsidR="002B720E" w:rsidTr="238D8AFF" w14:paraId="58033033"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2B720E" w:rsidR="002B720E" w:rsidP="002B720E" w:rsidRDefault="002B720E" w14:paraId="423F8E18" w14:textId="77777777">
            <w:pPr>
              <w:spacing w:after="0" w:line="240" w:lineRule="auto"/>
              <w:jc w:val="center"/>
              <w:rPr>
                <w:rFonts w:ascii="Calibri" w:hAnsi="Calibri" w:eastAsia="Times New Roman" w:cs="Calibri"/>
                <w:b/>
                <w:bCs/>
                <w:kern w:val="0"/>
                <w:sz w:val="20"/>
                <w:szCs w:val="20"/>
                <w:lang w:eastAsia="en-GB"/>
                <w14:ligatures w14:val="none"/>
              </w:rPr>
            </w:pPr>
            <w:proofErr w:type="spellStart"/>
            <w:r w:rsidRPr="002B720E">
              <w:rPr>
                <w:rFonts w:ascii="Calibri" w:hAnsi="Calibri" w:eastAsia="Times New Roman" w:cs="Calibri"/>
                <w:b/>
                <w:bCs/>
                <w:kern w:val="0"/>
                <w:sz w:val="20"/>
                <w:szCs w:val="20"/>
                <w:lang w:eastAsia="en-GB"/>
                <w14:ligatures w14:val="none"/>
              </w:rPr>
              <w:t>Clasificación</w:t>
            </w:r>
            <w:proofErr w:type="spellEnd"/>
            <w:r w:rsidRPr="002B720E">
              <w:rPr>
                <w:rFonts w:ascii="Calibri" w:hAnsi="Calibri" w:eastAsia="Times New Roman" w:cs="Calibri"/>
                <w:b/>
                <w:bCs/>
                <w:kern w:val="0"/>
                <w:sz w:val="20"/>
                <w:szCs w:val="20"/>
                <w:lang w:eastAsia="en-GB"/>
                <w14:ligatures w14:val="none"/>
              </w:rPr>
              <w:t xml:space="preserve"> 2026</w:t>
            </w:r>
          </w:p>
        </w:tc>
        <w:tc>
          <w:tcPr>
            <w:tcW w:w="1134" w:type="dxa"/>
            <w:tcBorders>
              <w:top w:val="nil"/>
              <w:left w:val="nil"/>
              <w:bottom w:val="single" w:color="auto" w:sz="4" w:space="0"/>
              <w:right w:val="single" w:color="auto" w:sz="4" w:space="0"/>
            </w:tcBorders>
            <w:vAlign w:val="center"/>
            <w:hideMark/>
          </w:tcPr>
          <w:p w:rsidRPr="002B720E" w:rsidR="002B720E" w:rsidP="002B720E" w:rsidRDefault="002B720E" w14:paraId="1B3B0351"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Clasificación en 2025</w:t>
            </w:r>
          </w:p>
        </w:tc>
        <w:tc>
          <w:tcPr>
            <w:tcW w:w="4820" w:type="dxa"/>
            <w:tcBorders>
              <w:top w:val="nil"/>
              <w:left w:val="nil"/>
              <w:bottom w:val="single" w:color="auto" w:sz="4" w:space="0"/>
              <w:right w:val="single" w:color="auto" w:sz="4" w:space="0"/>
            </w:tcBorders>
            <w:vAlign w:val="center"/>
            <w:hideMark/>
          </w:tcPr>
          <w:p w:rsidRPr="002B720E" w:rsidR="002B720E" w:rsidP="002B720E" w:rsidRDefault="002B720E" w14:paraId="41FAF0AD" w14:textId="77777777">
            <w:pPr>
              <w:spacing w:after="0" w:line="240" w:lineRule="auto"/>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Institución</w:t>
            </w:r>
          </w:p>
        </w:tc>
        <w:tc>
          <w:tcPr>
            <w:tcW w:w="1285" w:type="dxa"/>
            <w:tcBorders>
              <w:top w:val="nil"/>
              <w:left w:val="nil"/>
              <w:bottom w:val="single" w:color="auto" w:sz="4" w:space="0"/>
              <w:right w:val="single" w:color="auto" w:sz="4" w:space="0"/>
            </w:tcBorders>
            <w:vAlign w:val="center"/>
            <w:hideMark/>
          </w:tcPr>
          <w:p w:rsidRPr="002B720E" w:rsidR="002B720E" w:rsidP="002B720E" w:rsidRDefault="002B720E" w14:paraId="52EFE3CE" w14:textId="77777777">
            <w:pPr>
              <w:spacing w:after="0" w:line="240" w:lineRule="auto"/>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Ubicación</w:t>
            </w:r>
          </w:p>
        </w:tc>
      </w:tr>
      <w:tr w:rsidRPr="002B720E" w:rsidR="002B720E" w:rsidTr="238D8AFF" w14:paraId="7EB3F882"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0D5CF09E"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418799F1"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0A298367" w14:textId="77777777">
            <w:pPr>
              <w:spacing w:after="0" w:line="240" w:lineRule="auto"/>
              <w:rPr>
                <w:rFonts w:ascii="Calibri" w:hAnsi="Calibri" w:eastAsia="Times New Roman" w:cs="Calibri"/>
                <w:kern w:val="0"/>
                <w:sz w:val="20"/>
                <w:szCs w:val="20"/>
                <w:lang w:val="it-IT" w:eastAsia="en-GB"/>
                <w14:ligatures w14:val="none"/>
              </w:rPr>
            </w:pPr>
            <w:r w:rsidRPr="002B720E">
              <w:rPr>
                <w:rFonts w:ascii="Calibri" w:hAnsi="Calibri" w:eastAsia="Times New Roman" w:cs="Calibri"/>
                <w:kern w:val="0"/>
                <w:sz w:val="20"/>
                <w:szCs w:val="20"/>
                <w:lang w:val="it-IT" w:eastAsia="en-GB"/>
                <w14:ligatures w14:val="none"/>
              </w:rPr>
              <w:t>Pontificia Universidad Católica de Chile (UC)</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75A2B984"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123FA669"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5951814C"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26DA1402"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173E4A93"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São Paulo</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4BBFA592"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Brasil</w:t>
            </w:r>
          </w:p>
        </w:tc>
      </w:tr>
      <w:tr w:rsidRPr="002B720E" w:rsidR="002B720E" w:rsidTr="238D8AFF" w14:paraId="534C3C22"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2EDFD1DA"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B826B84"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35638032"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Estatal de Campinas (</w:t>
            </w:r>
            <w:proofErr w:type="spellStart"/>
            <w:r w:rsidRPr="00F250D7">
              <w:rPr>
                <w:rFonts w:ascii="Calibri" w:hAnsi="Calibri" w:eastAsia="Times New Roman" w:cs="Calibri"/>
                <w:kern w:val="0"/>
                <w:sz w:val="20"/>
                <w:szCs w:val="20"/>
                <w:lang w:val="es-ES" w:eastAsia="en-GB"/>
                <w14:ligatures w14:val="none"/>
              </w:rPr>
              <w:t>Unicamp</w:t>
            </w:r>
            <w:proofErr w:type="spellEnd"/>
            <w:r w:rsidRPr="00F250D7">
              <w:rPr>
                <w:rFonts w:ascii="Calibri" w:hAnsi="Calibri" w:eastAsia="Times New Roman" w:cs="Calibri"/>
                <w:kern w:val="0"/>
                <w:sz w:val="20"/>
                <w:szCs w:val="20"/>
                <w:lang w:val="es-ES" w:eastAsia="en-GB"/>
                <w14:ligatures w14:val="none"/>
              </w:rPr>
              <w:t>)</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4539BE74" w14:textId="77777777">
            <w:pPr>
              <w:spacing w:after="0" w:line="240" w:lineRule="auto"/>
              <w:rPr>
                <w:rFonts w:ascii="Calibri" w:hAnsi="Calibri" w:eastAsia="Times New Roman" w:cs="Calibri"/>
                <w:kern w:val="0"/>
                <w:sz w:val="20"/>
                <w:szCs w:val="20"/>
                <w:lang w:eastAsia="en-GB"/>
                <w14:ligatures w14:val="none"/>
              </w:rPr>
            </w:pPr>
            <w:proofErr w:type="spellStart"/>
            <w:r w:rsidRPr="002B720E">
              <w:rPr>
                <w:rFonts w:ascii="Calibri" w:hAnsi="Calibri" w:eastAsia="Times New Roman" w:cs="Calibri"/>
                <w:kern w:val="0"/>
                <w:sz w:val="20"/>
                <w:szCs w:val="20"/>
                <w:lang w:eastAsia="en-GB"/>
                <w14:ligatures w14:val="none"/>
              </w:rPr>
              <w:t>Brasil</w:t>
            </w:r>
            <w:proofErr w:type="spellEnd"/>
          </w:p>
        </w:tc>
      </w:tr>
      <w:tr w:rsidRPr="002B720E" w:rsidR="002B720E" w:rsidTr="238D8AFF" w14:paraId="7FDAFBAB"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2EABD5F2"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113B667B"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4</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2ED72DB0"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Tecnológico de Monterrey</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10008AD6"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México</w:t>
            </w:r>
          </w:p>
        </w:tc>
      </w:tr>
      <w:tr w:rsidRPr="002B720E" w:rsidR="002B720E" w:rsidTr="238D8AFF" w14:paraId="153ACD83"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0EF5DDB7"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5</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09475C12"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5</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11A3E6EC"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Federal de Río de Janeiro</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57DEB10B"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Brasil</w:t>
            </w:r>
          </w:p>
        </w:tc>
      </w:tr>
      <w:tr w:rsidRPr="002B720E" w:rsidR="002B720E" w:rsidTr="238D8AFF" w14:paraId="4E451947"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0BEADE41"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=6</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4C5D17EA"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8</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2A6B3D9B"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UNESP</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6F2735BA"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Brasil</w:t>
            </w:r>
          </w:p>
        </w:tc>
      </w:tr>
      <w:tr w:rsidRPr="002B720E" w:rsidR="002B720E" w:rsidTr="238D8AFF" w14:paraId="62AF6908"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4BE7AA9C"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=6</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1188F924"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6</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4ECAA515"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Chile</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4F2BE9A6"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56BD1FCC"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7E5D4F0A"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8</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CAE2B7E"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7</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20C75A2A"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los Andes</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1ADACB7C"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Colombia</w:t>
            </w:r>
          </w:p>
        </w:tc>
      </w:tr>
      <w:tr w:rsidRPr="002B720E" w:rsidR="002B720E" w:rsidTr="238D8AFF" w14:paraId="406301BF"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3079C774"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9</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4AE567A9"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9</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5DC692EA"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Nacional Autónoma de México (UNAM)</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25FEF0A7"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México</w:t>
            </w:r>
          </w:p>
        </w:tc>
      </w:tr>
      <w:tr w:rsidRPr="002B720E" w:rsidR="002B720E" w:rsidTr="238D8AFF" w14:paraId="3CDC38CA"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3146D660"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10</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059B007D"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10</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266E6632"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de Buenos Aires (UBA)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74535B23"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Argentina</w:t>
            </w:r>
          </w:p>
        </w:tc>
      </w:tr>
      <w:tr w:rsidRPr="002B720E" w:rsidR="002B720E" w:rsidTr="238D8AFF" w14:paraId="653DCF50"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677B6696"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11</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041B7418"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11</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2C4169E7"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Concepción</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64888AB3"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26C911F8"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0F472B8C"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12</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385E5A86"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12</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16C39728"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Nacional de Colombia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688A9027"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Colombia</w:t>
            </w:r>
          </w:p>
        </w:tc>
      </w:tr>
      <w:tr w:rsidRPr="002B720E" w:rsidR="002B720E" w:rsidTr="238D8AFF" w14:paraId="7F60D3CC"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0AC31CDB"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13</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7A36B527"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14</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1FD090D5" w14:textId="77777777">
            <w:pPr>
              <w:spacing w:after="0" w:line="240" w:lineRule="auto"/>
              <w:rPr>
                <w:rFonts w:ascii="Calibri" w:hAnsi="Calibri" w:eastAsia="Times New Roman" w:cs="Calibri"/>
                <w:kern w:val="0"/>
                <w:sz w:val="20"/>
                <w:szCs w:val="20"/>
                <w:lang w:val="it-IT" w:eastAsia="en-GB"/>
                <w14:ligatures w14:val="none"/>
              </w:rPr>
            </w:pPr>
            <w:r w:rsidRPr="002B720E">
              <w:rPr>
                <w:rFonts w:ascii="Calibri" w:hAnsi="Calibri" w:eastAsia="Times New Roman" w:cs="Calibri"/>
                <w:kern w:val="0"/>
                <w:sz w:val="20"/>
                <w:szCs w:val="20"/>
                <w:lang w:val="it-IT" w:eastAsia="en-GB"/>
                <w14:ligatures w14:val="none"/>
              </w:rPr>
              <w:t>Pontificia Universidad Católica de Río de Janeiro</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1F50F201"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Brasil</w:t>
            </w:r>
          </w:p>
        </w:tc>
      </w:tr>
      <w:tr w:rsidRPr="002B720E" w:rsidR="002B720E" w:rsidTr="238D8AFF" w14:paraId="4D472252"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40AA253B"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14</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A632678"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13</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28C7A1DC"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Federal de Minas Gerais (UFMG)</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0D994DB7"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Brasil</w:t>
            </w:r>
          </w:p>
        </w:tc>
      </w:tr>
      <w:tr w:rsidRPr="002B720E" w:rsidR="002B720E" w:rsidTr="238D8AFF" w14:paraId="23F6A721"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3CFC9083"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15</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4040BA92"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15</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0E4249BC"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Pontificia Universidad Católica del Perú (PUCP)</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20136AD8"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Perú</w:t>
            </w:r>
          </w:p>
        </w:tc>
      </w:tr>
      <w:tr w:rsidRPr="002B720E" w:rsidR="002B720E" w:rsidTr="238D8AFF" w14:paraId="24078C18"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48765B7A"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16</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7FA043E3"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16</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4259633C" w14:textId="77777777">
            <w:pPr>
              <w:spacing w:after="0" w:line="240" w:lineRule="auto"/>
              <w:rPr>
                <w:rFonts w:ascii="Calibri" w:hAnsi="Calibri" w:eastAsia="Times New Roman" w:cs="Calibri"/>
                <w:kern w:val="0"/>
                <w:sz w:val="20"/>
                <w:szCs w:val="20"/>
                <w:lang w:val="pt-PT" w:eastAsia="en-GB"/>
                <w14:ligatures w14:val="none"/>
              </w:rPr>
            </w:pPr>
            <w:proofErr w:type="spellStart"/>
            <w:r w:rsidRPr="00F250D7">
              <w:rPr>
                <w:rFonts w:ascii="Calibri" w:hAnsi="Calibri" w:eastAsia="Times New Roman" w:cs="Calibri"/>
                <w:kern w:val="0"/>
                <w:sz w:val="20"/>
                <w:szCs w:val="20"/>
                <w:lang w:val="pt-PT" w:eastAsia="en-GB"/>
                <w14:ligatures w14:val="none"/>
              </w:rPr>
              <w:t>Universidad</w:t>
            </w:r>
            <w:proofErr w:type="spellEnd"/>
            <w:r w:rsidRPr="00F250D7">
              <w:rPr>
                <w:rFonts w:ascii="Calibri" w:hAnsi="Calibri" w:eastAsia="Times New Roman" w:cs="Calibri"/>
                <w:kern w:val="0"/>
                <w:sz w:val="20"/>
                <w:szCs w:val="20"/>
                <w:lang w:val="pt-PT" w:eastAsia="en-GB"/>
                <w14:ligatures w14:val="none"/>
              </w:rPr>
              <w:t xml:space="preserve"> Federal de Rio Grande do Sul</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7A40D3BA" w14:textId="77777777">
            <w:pPr>
              <w:spacing w:after="0" w:line="240" w:lineRule="auto"/>
              <w:rPr>
                <w:rFonts w:ascii="Calibri" w:hAnsi="Calibri" w:eastAsia="Times New Roman" w:cs="Calibri"/>
                <w:kern w:val="0"/>
                <w:sz w:val="20"/>
                <w:szCs w:val="20"/>
                <w:lang w:eastAsia="en-GB"/>
                <w14:ligatures w14:val="none"/>
              </w:rPr>
            </w:pPr>
            <w:proofErr w:type="spellStart"/>
            <w:r w:rsidRPr="002B720E">
              <w:rPr>
                <w:rFonts w:ascii="Calibri" w:hAnsi="Calibri" w:eastAsia="Times New Roman" w:cs="Calibri"/>
                <w:kern w:val="0"/>
                <w:sz w:val="20"/>
                <w:szCs w:val="20"/>
                <w:lang w:eastAsia="en-GB"/>
                <w14:ligatures w14:val="none"/>
              </w:rPr>
              <w:t>Brasil</w:t>
            </w:r>
            <w:proofErr w:type="spellEnd"/>
          </w:p>
        </w:tc>
      </w:tr>
      <w:tr w:rsidRPr="002B720E" w:rsidR="002B720E" w:rsidTr="238D8AFF" w14:paraId="417F5F68"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50964292"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17</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2F84AA51"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17</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0F869FA6"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de Santiago de Chile (USACH)</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3AA75BF3"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7F2CD7EF"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4E7BE25C"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18</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01A7CB80"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18</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1D36AC71"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Pontificia Universidad Javeriana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558234B5"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Colombia</w:t>
            </w:r>
          </w:p>
        </w:tc>
      </w:tr>
      <w:tr w:rsidRPr="002B720E" w:rsidR="002B720E" w:rsidTr="238D8AFF" w14:paraId="52BDFD7E"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7664DB9D"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19</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164A168A"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20</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334F7364"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Costa Rica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0A0A9335"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Costa Rica</w:t>
            </w:r>
          </w:p>
        </w:tc>
      </w:tr>
      <w:tr w:rsidRPr="002B720E" w:rsidR="002B720E" w:rsidTr="238D8AFF" w14:paraId="401E7CE7"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5DB2AF2D"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20</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2AF73A79"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19</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698B07BA"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Antioquia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15B44742"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Colombia</w:t>
            </w:r>
          </w:p>
        </w:tc>
      </w:tr>
      <w:tr w:rsidRPr="002B720E" w:rsidR="002B720E" w:rsidTr="238D8AFF" w14:paraId="1A31604D"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6CAA8028"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21</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6403815B"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22</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75865F97"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Nacional de La Plata (UNLP)</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3F0E1466"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Argentina</w:t>
            </w:r>
          </w:p>
        </w:tc>
      </w:tr>
      <w:tr w:rsidRPr="002B720E" w:rsidR="002B720E" w:rsidTr="238D8AFF" w14:paraId="046DCD23"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73483C3E"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22</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353C014C"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23</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5A0A944E"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Adolfo Ibáñez</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62E84A0D"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1BF2F239"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03636739"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23</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177BAF54"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21</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7F01F723" w14:textId="77777777">
            <w:pPr>
              <w:spacing w:after="0" w:line="240" w:lineRule="auto"/>
              <w:rPr>
                <w:rFonts w:ascii="Calibri" w:hAnsi="Calibri" w:eastAsia="Times New Roman" w:cs="Calibri"/>
                <w:kern w:val="0"/>
                <w:sz w:val="20"/>
                <w:szCs w:val="20"/>
                <w:lang w:val="it-IT" w:eastAsia="en-GB"/>
                <w14:ligatures w14:val="none"/>
              </w:rPr>
            </w:pPr>
            <w:r w:rsidRPr="002B720E">
              <w:rPr>
                <w:rFonts w:ascii="Calibri" w:hAnsi="Calibri" w:eastAsia="Times New Roman" w:cs="Calibri"/>
                <w:kern w:val="0"/>
                <w:sz w:val="20"/>
                <w:szCs w:val="20"/>
                <w:lang w:val="it-IT" w:eastAsia="en-GB"/>
                <w14:ligatures w14:val="none"/>
              </w:rPr>
              <w:t>Universidad Federal de Santa Catarina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097300D0"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Brasil</w:t>
            </w:r>
          </w:p>
        </w:tc>
      </w:tr>
      <w:tr w:rsidRPr="002B720E" w:rsidR="002B720E" w:rsidTr="238D8AFF" w14:paraId="220EB150"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52433332"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24</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770FF1BB"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24</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39B99AB4" w14:textId="77777777">
            <w:pPr>
              <w:spacing w:after="0" w:line="240" w:lineRule="auto"/>
              <w:rPr>
                <w:rFonts w:ascii="Calibri" w:hAnsi="Calibri" w:eastAsia="Times New Roman" w:cs="Calibri"/>
                <w:kern w:val="0"/>
                <w:sz w:val="20"/>
                <w:szCs w:val="20"/>
                <w:lang w:val="it-IT" w:eastAsia="en-GB"/>
                <w14:ligatures w14:val="none"/>
              </w:rPr>
            </w:pPr>
            <w:r w:rsidRPr="002B720E">
              <w:rPr>
                <w:rFonts w:ascii="Calibri" w:hAnsi="Calibri" w:eastAsia="Times New Roman" w:cs="Calibri"/>
                <w:kern w:val="0"/>
                <w:sz w:val="20"/>
                <w:szCs w:val="20"/>
                <w:lang w:val="it-IT" w:eastAsia="en-GB"/>
                <w14:ligatures w14:val="none"/>
              </w:rPr>
              <w:t>Pontificia Universidad Católica de Valparaíso</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2070CA54"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24404583"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28B517C4"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25</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465D7B8A"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26</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0B5945F6"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Austral</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7ADDA643"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Argentina</w:t>
            </w:r>
          </w:p>
        </w:tc>
      </w:tr>
      <w:tr w:rsidRPr="002B720E" w:rsidR="002B720E" w:rsidTr="238D8AFF" w14:paraId="589876F8"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50B77F17"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26</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2A9380A8"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25</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77BB64B3"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Universidade de Brasília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6B1325A7"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Brasil</w:t>
            </w:r>
          </w:p>
        </w:tc>
      </w:tr>
      <w:tr w:rsidRPr="002B720E" w:rsidR="002B720E" w:rsidTr="238D8AFF" w14:paraId="717F3AB9"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6C18F94F"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27</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15213726"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27</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364D7290"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del Rosario</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5430DC46"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Colombia</w:t>
            </w:r>
          </w:p>
        </w:tc>
      </w:tr>
      <w:tr w:rsidRPr="002B720E" w:rsidR="002B720E" w:rsidTr="238D8AFF" w14:paraId="65F01C8C"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38FCCE7B"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28</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58A2783"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28</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301ABCD5" w14:textId="77777777">
            <w:pPr>
              <w:spacing w:after="0" w:line="240" w:lineRule="auto"/>
              <w:rPr>
                <w:rFonts w:ascii="Calibri" w:hAnsi="Calibri" w:eastAsia="Times New Roman" w:cs="Calibri"/>
                <w:kern w:val="0"/>
                <w:sz w:val="20"/>
                <w:szCs w:val="20"/>
                <w:lang w:val="pt-PT" w:eastAsia="en-GB"/>
                <w14:ligatures w14:val="none"/>
              </w:rPr>
            </w:pPr>
            <w:proofErr w:type="spellStart"/>
            <w:r w:rsidRPr="00F250D7">
              <w:rPr>
                <w:rFonts w:ascii="Calibri" w:hAnsi="Calibri" w:eastAsia="Times New Roman" w:cs="Calibri"/>
                <w:kern w:val="0"/>
                <w:sz w:val="20"/>
                <w:szCs w:val="20"/>
                <w:lang w:val="pt-PT" w:eastAsia="en-GB"/>
                <w14:ligatures w14:val="none"/>
              </w:rPr>
              <w:t>Universidad</w:t>
            </w:r>
            <w:proofErr w:type="spellEnd"/>
            <w:r w:rsidRPr="00F250D7">
              <w:rPr>
                <w:rFonts w:ascii="Calibri" w:hAnsi="Calibri" w:eastAsia="Times New Roman" w:cs="Calibri"/>
                <w:kern w:val="0"/>
                <w:sz w:val="20"/>
                <w:szCs w:val="20"/>
                <w:lang w:val="pt-PT" w:eastAsia="en-GB"/>
                <w14:ligatures w14:val="none"/>
              </w:rPr>
              <w:t xml:space="preserve"> Federal de São Paulo</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0CCB14F8" w14:textId="77777777">
            <w:pPr>
              <w:spacing w:after="0" w:line="240" w:lineRule="auto"/>
              <w:rPr>
                <w:rFonts w:ascii="Calibri" w:hAnsi="Calibri" w:eastAsia="Times New Roman" w:cs="Calibri"/>
                <w:kern w:val="0"/>
                <w:sz w:val="20"/>
                <w:szCs w:val="20"/>
                <w:lang w:eastAsia="en-GB"/>
                <w14:ligatures w14:val="none"/>
              </w:rPr>
            </w:pPr>
            <w:proofErr w:type="spellStart"/>
            <w:r w:rsidRPr="002B720E">
              <w:rPr>
                <w:rFonts w:ascii="Calibri" w:hAnsi="Calibri" w:eastAsia="Times New Roman" w:cs="Calibri"/>
                <w:kern w:val="0"/>
                <w:sz w:val="20"/>
                <w:szCs w:val="20"/>
                <w:lang w:eastAsia="en-GB"/>
                <w14:ligatures w14:val="none"/>
              </w:rPr>
              <w:t>Brasil</w:t>
            </w:r>
            <w:proofErr w:type="spellEnd"/>
          </w:p>
        </w:tc>
      </w:tr>
      <w:tr w:rsidRPr="002B720E" w:rsidR="002B720E" w:rsidTr="238D8AFF" w14:paraId="05CABE71"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47841860"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29</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31A7FBD5"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31</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1474F5DF"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Instituto Politécnico Nacional (IPN)</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6609172B"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México</w:t>
            </w:r>
          </w:p>
        </w:tc>
      </w:tr>
      <w:tr w:rsidRPr="002B720E" w:rsidR="002B720E" w:rsidTr="238D8AFF" w14:paraId="263E5A4F"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4DF8A527"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30</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6E4BA89"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29</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1FD4ECCB" w14:textId="77777777">
            <w:pPr>
              <w:spacing w:after="0" w:line="240" w:lineRule="auto"/>
              <w:rPr>
                <w:rFonts w:ascii="Calibri" w:hAnsi="Calibri" w:eastAsia="Times New Roman" w:cs="Calibri"/>
                <w:kern w:val="0"/>
                <w:sz w:val="20"/>
                <w:szCs w:val="20"/>
                <w:lang w:val="pt-PT" w:eastAsia="en-GB"/>
                <w14:ligatures w14:val="none"/>
              </w:rPr>
            </w:pPr>
            <w:proofErr w:type="spellStart"/>
            <w:r w:rsidRPr="00F250D7">
              <w:rPr>
                <w:rFonts w:ascii="Calibri" w:hAnsi="Calibri" w:eastAsia="Times New Roman" w:cs="Calibri"/>
                <w:kern w:val="0"/>
                <w:sz w:val="20"/>
                <w:szCs w:val="20"/>
                <w:lang w:val="pt-PT" w:eastAsia="en-GB"/>
                <w14:ligatures w14:val="none"/>
              </w:rPr>
              <w:t>Universidad</w:t>
            </w:r>
            <w:proofErr w:type="spellEnd"/>
            <w:r w:rsidRPr="00F250D7">
              <w:rPr>
                <w:rFonts w:ascii="Calibri" w:hAnsi="Calibri" w:eastAsia="Times New Roman" w:cs="Calibri"/>
                <w:kern w:val="0"/>
                <w:sz w:val="20"/>
                <w:szCs w:val="20"/>
                <w:lang w:val="pt-PT" w:eastAsia="en-GB"/>
                <w14:ligatures w14:val="none"/>
              </w:rPr>
              <w:t xml:space="preserve"> Federal de São Carlos (</w:t>
            </w:r>
            <w:proofErr w:type="spellStart"/>
            <w:r w:rsidRPr="00F250D7">
              <w:rPr>
                <w:rFonts w:ascii="Calibri" w:hAnsi="Calibri" w:eastAsia="Times New Roman" w:cs="Calibri"/>
                <w:kern w:val="0"/>
                <w:sz w:val="20"/>
                <w:szCs w:val="20"/>
                <w:lang w:val="pt-PT" w:eastAsia="en-GB"/>
                <w14:ligatures w14:val="none"/>
              </w:rPr>
              <w:t>UFSCar</w:t>
            </w:r>
            <w:proofErr w:type="spellEnd"/>
            <w:r w:rsidRPr="00F250D7">
              <w:rPr>
                <w:rFonts w:ascii="Calibri" w:hAnsi="Calibri" w:eastAsia="Times New Roman" w:cs="Calibri"/>
                <w:kern w:val="0"/>
                <w:sz w:val="20"/>
                <w:szCs w:val="20"/>
                <w:lang w:val="pt-PT" w:eastAsia="en-GB"/>
                <w14:ligatures w14:val="none"/>
              </w:rPr>
              <w:t>)</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468CE51D" w14:textId="77777777">
            <w:pPr>
              <w:spacing w:after="0" w:line="240" w:lineRule="auto"/>
              <w:rPr>
                <w:rFonts w:ascii="Calibri" w:hAnsi="Calibri" w:eastAsia="Times New Roman" w:cs="Calibri"/>
                <w:kern w:val="0"/>
                <w:sz w:val="20"/>
                <w:szCs w:val="20"/>
                <w:lang w:eastAsia="en-GB"/>
                <w14:ligatures w14:val="none"/>
              </w:rPr>
            </w:pPr>
            <w:proofErr w:type="spellStart"/>
            <w:r w:rsidRPr="002B720E">
              <w:rPr>
                <w:rFonts w:ascii="Calibri" w:hAnsi="Calibri" w:eastAsia="Times New Roman" w:cs="Calibri"/>
                <w:kern w:val="0"/>
                <w:sz w:val="20"/>
                <w:szCs w:val="20"/>
                <w:lang w:eastAsia="en-GB"/>
                <w14:ligatures w14:val="none"/>
              </w:rPr>
              <w:t>Brasil</w:t>
            </w:r>
            <w:proofErr w:type="spellEnd"/>
          </w:p>
        </w:tc>
      </w:tr>
      <w:tr w:rsidRPr="002B720E" w:rsidR="002B720E" w:rsidTr="238D8AFF" w14:paraId="4902D533"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411B5B32"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31</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186667A"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30</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2C1643F1"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Autónoma Metropolitana (UAM)</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6D39446C"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México</w:t>
            </w:r>
          </w:p>
        </w:tc>
      </w:tr>
      <w:tr w:rsidRPr="002B720E" w:rsidR="002B720E" w:rsidTr="238D8AFF" w14:paraId="64E9F2D6"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0CB9EA02"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32</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3531875"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32</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35DE1027"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Federal de Paraná - UFPR</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231E853B"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Brasil</w:t>
            </w:r>
          </w:p>
        </w:tc>
      </w:tr>
      <w:tr w:rsidRPr="002B720E" w:rsidR="002B720E" w:rsidTr="238D8AFF" w14:paraId="213C0AFA"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7E15E3BD"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33</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28CECE5C"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33</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20CF6D46"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Nacional de Córdoba - UNC</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509FE5B4"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Argentina</w:t>
            </w:r>
          </w:p>
        </w:tc>
      </w:tr>
      <w:tr w:rsidRPr="002B720E" w:rsidR="002B720E" w:rsidTr="238D8AFF" w14:paraId="0414B936"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177DD178"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34</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0D9A85B"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36</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491C9B00"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La Sabana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69733713"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Colombia</w:t>
            </w:r>
          </w:p>
        </w:tc>
      </w:tr>
      <w:tr w:rsidRPr="002B720E" w:rsidR="002B720E" w:rsidTr="238D8AFF" w14:paraId="6E5A5296"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2A11EFE9"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35</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0D2D8654"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34</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2686FF56"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Central de Venezuela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23FE5046" w14:textId="7FA9F7C5">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 xml:space="preserve">Venezuela </w:t>
            </w:r>
          </w:p>
        </w:tc>
      </w:tr>
      <w:tr w:rsidRPr="002B720E" w:rsidR="002B720E" w:rsidTr="238D8AFF" w14:paraId="1922BA1D"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1A1F376F"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36</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3A9E6961"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50</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6A3D6FB9"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Escuela Superior Politécnica del Litoral (ESPOL)</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51F402F8"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Ecuador</w:t>
            </w:r>
          </w:p>
        </w:tc>
      </w:tr>
      <w:tr w:rsidRPr="002B720E" w:rsidR="002B720E" w:rsidTr="238D8AFF" w14:paraId="0113FB0B"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644AB217"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37</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209F081B"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38</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1006AEEE"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Austral de Chile</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6B719FFF"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52D9BDF4"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76927CC8"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=38</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6CC9EFCD"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41</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1A018D7A"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Puerto Rico</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489D3A7E"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Puerto Rico</w:t>
            </w:r>
          </w:p>
        </w:tc>
      </w:tr>
      <w:tr w:rsidRPr="002B720E" w:rsidR="002B720E" w:rsidTr="238D8AFF" w14:paraId="0637FBE9"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06590CBD"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=38</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214A72FF"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45</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402A6D4A"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San Francisco de Quito USFQ</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36AF82C1"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Ecuador</w:t>
            </w:r>
          </w:p>
        </w:tc>
      </w:tr>
      <w:tr w:rsidRPr="002B720E" w:rsidR="002B720E" w:rsidTr="238D8AFF" w14:paraId="6570FCF2"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2CC7CC4C"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40</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07F5515C"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39</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693EF06A"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Pontificia Universidad Católica Argentina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2E9A02FA"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Argentina</w:t>
            </w:r>
          </w:p>
        </w:tc>
      </w:tr>
      <w:tr w:rsidRPr="002B720E" w:rsidR="002B720E" w:rsidTr="238D8AFF" w14:paraId="319B1B96"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3AA4BEBC"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41</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D35FE93"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35</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7B7423CB"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de la República (Udelar)</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318E0D25"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Uruguay</w:t>
            </w:r>
          </w:p>
        </w:tc>
      </w:tr>
      <w:tr w:rsidRPr="002B720E" w:rsidR="002B720E" w:rsidTr="238D8AFF" w14:paraId="62C27507"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267E067C"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42</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4BCB9757"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46</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5C79CBB5" w14:textId="77777777">
            <w:pPr>
              <w:spacing w:after="0" w:line="240" w:lineRule="auto"/>
              <w:rPr>
                <w:rFonts w:ascii="Calibri" w:hAnsi="Calibri" w:eastAsia="Times New Roman" w:cs="Calibri"/>
                <w:kern w:val="0"/>
                <w:sz w:val="20"/>
                <w:szCs w:val="20"/>
                <w:lang w:val="it-IT" w:eastAsia="en-GB"/>
                <w14:ligatures w14:val="none"/>
              </w:rPr>
            </w:pPr>
            <w:r w:rsidRPr="002B720E">
              <w:rPr>
                <w:rFonts w:ascii="Calibri" w:hAnsi="Calibri" w:eastAsia="Times New Roman" w:cs="Calibri"/>
                <w:kern w:val="0"/>
                <w:sz w:val="20"/>
                <w:szCs w:val="20"/>
                <w:lang w:val="it-IT" w:eastAsia="en-GB"/>
                <w14:ligatures w14:val="none"/>
              </w:rPr>
              <w:t>Instituto Tecnológico Autónomo de México (ITAM)</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4788B632"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México</w:t>
            </w:r>
          </w:p>
        </w:tc>
      </w:tr>
      <w:tr w:rsidRPr="002B720E" w:rsidR="002B720E" w:rsidTr="238D8AFF" w14:paraId="62888A25"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591077B7"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43</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67CD9014"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37</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541D3EFC"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Diego Portales</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01061CB9"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37010E31"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2B289C57"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44</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0026DF3"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47</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0840F3E6"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Nacional Mayor de San Marcos</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3ED97241"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Perú</w:t>
            </w:r>
          </w:p>
        </w:tc>
      </w:tr>
      <w:tr w:rsidRPr="002B720E" w:rsidR="002B720E" w:rsidTr="238D8AFF" w14:paraId="0B1BEB7E"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3E8A3AD4"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=45</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7FFA65D"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42</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059E2557"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La Habana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1F0B2F22"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Cuba</w:t>
            </w:r>
          </w:p>
        </w:tc>
      </w:tr>
      <w:tr w:rsidRPr="002B720E" w:rsidR="002B720E" w:rsidTr="238D8AFF" w14:paraId="31671A76"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492606D5"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=45</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52E0ECD9"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48</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19EB2803"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de los Andes - Chile</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6D6AB322"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20FB8533"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5B6EE520"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47</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4858E8AC"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40</w:t>
            </w:r>
          </w:p>
        </w:tc>
        <w:tc>
          <w:tcPr>
            <w:tcW w:w="4820" w:type="dxa"/>
            <w:tcBorders>
              <w:top w:val="nil"/>
              <w:left w:val="nil"/>
              <w:bottom w:val="single" w:color="auto" w:sz="4" w:space="0"/>
              <w:right w:val="single" w:color="auto" w:sz="4" w:space="0"/>
            </w:tcBorders>
            <w:noWrap/>
            <w:vAlign w:val="bottom"/>
            <w:hideMark/>
          </w:tcPr>
          <w:p w:rsidRPr="00F250D7" w:rsidR="002B720E" w:rsidP="002B720E" w:rsidRDefault="002B720E" w14:paraId="15E2E57B" w14:textId="77777777">
            <w:pPr>
              <w:spacing w:after="0" w:line="240" w:lineRule="auto"/>
              <w:rPr>
                <w:rFonts w:ascii="Calibri" w:hAnsi="Calibri" w:eastAsia="Times New Roman" w:cs="Calibri"/>
                <w:kern w:val="0"/>
                <w:sz w:val="20"/>
                <w:szCs w:val="20"/>
                <w:lang w:val="es-ES" w:eastAsia="en-GB"/>
                <w14:ligatures w14:val="none"/>
              </w:rPr>
            </w:pPr>
            <w:r w:rsidRPr="00F250D7">
              <w:rPr>
                <w:rFonts w:ascii="Calibri" w:hAnsi="Calibri" w:eastAsia="Times New Roman" w:cs="Calibri"/>
                <w:kern w:val="0"/>
                <w:sz w:val="20"/>
                <w:szCs w:val="20"/>
                <w:lang w:val="es-ES" w:eastAsia="en-GB"/>
                <w14:ligatures w14:val="none"/>
              </w:rPr>
              <w:t>Universidad Técnica Federico Santa María (USM)</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3C8A4EBD"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69B19806"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6C31B584"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=48</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4A0D6770"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=54</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7F460F79"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Talca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3DCC825A"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Chile</w:t>
            </w:r>
          </w:p>
        </w:tc>
      </w:tr>
      <w:tr w:rsidRPr="002B720E" w:rsidR="002B720E" w:rsidTr="238D8AFF" w14:paraId="6AF38E18"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5D221C82"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=48</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00AC8A83"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53</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764A6A8D"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Torcuato Di Tella</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1FE68E73"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Argentina</w:t>
            </w:r>
          </w:p>
        </w:tc>
      </w:tr>
      <w:tr w:rsidRPr="002B720E" w:rsidR="002B720E" w:rsidTr="238D8AFF" w14:paraId="28FAE524" w14:textId="77777777">
        <w:trPr>
          <w:trHeight w:val="300"/>
          <w:jc w:val="center"/>
        </w:trPr>
        <w:tc>
          <w:tcPr>
            <w:tcW w:w="1129" w:type="dxa"/>
            <w:tcBorders>
              <w:top w:val="nil"/>
              <w:left w:val="single" w:color="auto" w:sz="4" w:space="0"/>
              <w:bottom w:val="single" w:color="auto" w:sz="4" w:space="0"/>
              <w:right w:val="single" w:color="auto" w:sz="4" w:space="0"/>
            </w:tcBorders>
            <w:noWrap/>
            <w:vAlign w:val="center"/>
            <w:hideMark/>
          </w:tcPr>
          <w:p w:rsidRPr="002B720E" w:rsidR="002B720E" w:rsidP="002B720E" w:rsidRDefault="002B720E" w14:paraId="1C9F1107" w14:textId="77777777">
            <w:pPr>
              <w:spacing w:after="0" w:line="240" w:lineRule="auto"/>
              <w:jc w:val="center"/>
              <w:rPr>
                <w:rFonts w:ascii="Calibri" w:hAnsi="Calibri" w:eastAsia="Times New Roman" w:cs="Calibri"/>
                <w:b/>
                <w:bCs/>
                <w:kern w:val="0"/>
                <w:sz w:val="20"/>
                <w:szCs w:val="20"/>
                <w:lang w:eastAsia="en-GB"/>
                <w14:ligatures w14:val="none"/>
              </w:rPr>
            </w:pPr>
            <w:r w:rsidRPr="002B720E">
              <w:rPr>
                <w:rFonts w:ascii="Calibri" w:hAnsi="Calibri" w:eastAsia="Times New Roman" w:cs="Calibri"/>
                <w:b/>
                <w:bCs/>
                <w:kern w:val="0"/>
                <w:sz w:val="20"/>
                <w:szCs w:val="20"/>
                <w:lang w:eastAsia="en-GB"/>
                <w14:ligatures w14:val="none"/>
              </w:rPr>
              <w:t>50</w:t>
            </w:r>
          </w:p>
        </w:tc>
        <w:tc>
          <w:tcPr>
            <w:tcW w:w="1134" w:type="dxa"/>
            <w:tcBorders>
              <w:top w:val="nil"/>
              <w:left w:val="nil"/>
              <w:bottom w:val="single" w:color="auto" w:sz="4" w:space="0"/>
              <w:right w:val="single" w:color="auto" w:sz="4" w:space="0"/>
            </w:tcBorders>
            <w:noWrap/>
            <w:vAlign w:val="center"/>
            <w:hideMark/>
          </w:tcPr>
          <w:p w:rsidRPr="002B720E" w:rsidR="002B720E" w:rsidP="002B720E" w:rsidRDefault="002B720E" w14:paraId="1D5CF902" w14:textId="77777777">
            <w:pPr>
              <w:spacing w:after="0" w:line="240" w:lineRule="auto"/>
              <w:jc w:val="center"/>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=43</w:t>
            </w:r>
          </w:p>
        </w:tc>
        <w:tc>
          <w:tcPr>
            <w:tcW w:w="4820" w:type="dxa"/>
            <w:tcBorders>
              <w:top w:val="nil"/>
              <w:left w:val="nil"/>
              <w:bottom w:val="single" w:color="auto" w:sz="4" w:space="0"/>
              <w:right w:val="single" w:color="auto" w:sz="4" w:space="0"/>
            </w:tcBorders>
            <w:noWrap/>
            <w:vAlign w:val="bottom"/>
            <w:hideMark/>
          </w:tcPr>
          <w:p w:rsidRPr="002B720E" w:rsidR="002B720E" w:rsidP="002B720E" w:rsidRDefault="002B720E" w14:paraId="12C995CD"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Universidad de Guadalajara (UDG)</w:t>
            </w:r>
          </w:p>
        </w:tc>
        <w:tc>
          <w:tcPr>
            <w:tcW w:w="1285" w:type="dxa"/>
            <w:tcBorders>
              <w:top w:val="nil"/>
              <w:left w:val="nil"/>
              <w:bottom w:val="single" w:color="auto" w:sz="4" w:space="0"/>
              <w:right w:val="single" w:color="auto" w:sz="4" w:space="0"/>
            </w:tcBorders>
            <w:noWrap/>
            <w:vAlign w:val="bottom"/>
            <w:hideMark/>
          </w:tcPr>
          <w:p w:rsidRPr="002B720E" w:rsidR="002B720E" w:rsidP="002B720E" w:rsidRDefault="002B720E" w14:paraId="5A84854E" w14:textId="77777777">
            <w:pPr>
              <w:spacing w:after="0" w:line="240" w:lineRule="auto"/>
              <w:rPr>
                <w:rFonts w:ascii="Calibri" w:hAnsi="Calibri" w:eastAsia="Times New Roman" w:cs="Calibri"/>
                <w:kern w:val="0"/>
                <w:sz w:val="20"/>
                <w:szCs w:val="20"/>
                <w:lang w:eastAsia="en-GB"/>
                <w14:ligatures w14:val="none"/>
              </w:rPr>
            </w:pPr>
            <w:r w:rsidRPr="002B720E">
              <w:rPr>
                <w:rFonts w:ascii="Calibri" w:hAnsi="Calibri" w:eastAsia="Times New Roman" w:cs="Calibri"/>
                <w:kern w:val="0"/>
                <w:sz w:val="20"/>
                <w:szCs w:val="20"/>
                <w:lang w:eastAsia="en-GB"/>
                <w14:ligatures w14:val="none"/>
              </w:rPr>
              <w:t>México</w:t>
            </w:r>
          </w:p>
        </w:tc>
      </w:tr>
    </w:tbl>
    <w:p w:rsidRPr="002B720E" w:rsidR="002B720E" w:rsidRDefault="002B720E" w14:paraId="350096B1" w14:textId="77777777">
      <w:pPr>
        <w:rPr>
          <w:rFonts w:ascii="Calibri" w:hAnsi="Calibri" w:cs="Calibri"/>
          <w:b/>
          <w:bCs/>
          <w:sz w:val="22"/>
          <w:szCs w:val="22"/>
          <w:u w:val="single"/>
        </w:rPr>
      </w:pPr>
    </w:p>
    <w:sectPr w:rsidRPr="002B720E" w:rsidR="002B720E" w:rsidSect="003F506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CCE"/>
    <w:multiLevelType w:val="hybridMultilevel"/>
    <w:tmpl w:val="6D34D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D8B133"/>
    <w:multiLevelType w:val="hybridMultilevel"/>
    <w:tmpl w:val="7B862BE0"/>
    <w:lvl w:ilvl="0" w:tplc="B9E071D4">
      <w:start w:val="1"/>
      <w:numFmt w:val="bullet"/>
      <w:lvlText w:val=""/>
      <w:lvlJc w:val="left"/>
      <w:pPr>
        <w:ind w:left="720" w:hanging="360"/>
      </w:pPr>
      <w:rPr>
        <w:rFonts w:hint="default" w:ascii="Wingdings" w:hAnsi="Wingdings"/>
      </w:rPr>
    </w:lvl>
    <w:lvl w:ilvl="1" w:tplc="52C22FF8">
      <w:start w:val="1"/>
      <w:numFmt w:val="bullet"/>
      <w:lvlText w:val="o"/>
      <w:lvlJc w:val="left"/>
      <w:pPr>
        <w:ind w:left="1440" w:hanging="360"/>
      </w:pPr>
      <w:rPr>
        <w:rFonts w:hint="default" w:ascii="Courier New" w:hAnsi="Courier New"/>
      </w:rPr>
    </w:lvl>
    <w:lvl w:ilvl="2" w:tplc="9CCE02B6">
      <w:start w:val="1"/>
      <w:numFmt w:val="bullet"/>
      <w:lvlText w:val=""/>
      <w:lvlJc w:val="left"/>
      <w:pPr>
        <w:ind w:left="2160" w:hanging="360"/>
      </w:pPr>
      <w:rPr>
        <w:rFonts w:hint="default" w:ascii="Wingdings" w:hAnsi="Wingdings"/>
      </w:rPr>
    </w:lvl>
    <w:lvl w:ilvl="3" w:tplc="8190EB8E">
      <w:start w:val="1"/>
      <w:numFmt w:val="bullet"/>
      <w:lvlText w:val=""/>
      <w:lvlJc w:val="left"/>
      <w:pPr>
        <w:ind w:left="2880" w:hanging="360"/>
      </w:pPr>
      <w:rPr>
        <w:rFonts w:hint="default" w:ascii="Symbol" w:hAnsi="Symbol"/>
      </w:rPr>
    </w:lvl>
    <w:lvl w:ilvl="4" w:tplc="6928B8E0">
      <w:start w:val="1"/>
      <w:numFmt w:val="bullet"/>
      <w:lvlText w:val="o"/>
      <w:lvlJc w:val="left"/>
      <w:pPr>
        <w:ind w:left="3600" w:hanging="360"/>
      </w:pPr>
      <w:rPr>
        <w:rFonts w:hint="default" w:ascii="Courier New" w:hAnsi="Courier New"/>
      </w:rPr>
    </w:lvl>
    <w:lvl w:ilvl="5" w:tplc="E850E3E8">
      <w:start w:val="1"/>
      <w:numFmt w:val="bullet"/>
      <w:lvlText w:val=""/>
      <w:lvlJc w:val="left"/>
      <w:pPr>
        <w:ind w:left="4320" w:hanging="360"/>
      </w:pPr>
      <w:rPr>
        <w:rFonts w:hint="default" w:ascii="Wingdings" w:hAnsi="Wingdings"/>
      </w:rPr>
    </w:lvl>
    <w:lvl w:ilvl="6" w:tplc="DEDE925C">
      <w:start w:val="1"/>
      <w:numFmt w:val="bullet"/>
      <w:lvlText w:val=""/>
      <w:lvlJc w:val="left"/>
      <w:pPr>
        <w:ind w:left="5040" w:hanging="360"/>
      </w:pPr>
      <w:rPr>
        <w:rFonts w:hint="default" w:ascii="Symbol" w:hAnsi="Symbol"/>
      </w:rPr>
    </w:lvl>
    <w:lvl w:ilvl="7" w:tplc="664602F4">
      <w:start w:val="1"/>
      <w:numFmt w:val="bullet"/>
      <w:lvlText w:val="o"/>
      <w:lvlJc w:val="left"/>
      <w:pPr>
        <w:ind w:left="5760" w:hanging="360"/>
      </w:pPr>
      <w:rPr>
        <w:rFonts w:hint="default" w:ascii="Courier New" w:hAnsi="Courier New"/>
      </w:rPr>
    </w:lvl>
    <w:lvl w:ilvl="8" w:tplc="9D7C3C36">
      <w:start w:val="1"/>
      <w:numFmt w:val="bullet"/>
      <w:lvlText w:val=""/>
      <w:lvlJc w:val="left"/>
      <w:pPr>
        <w:ind w:left="6480" w:hanging="360"/>
      </w:pPr>
      <w:rPr>
        <w:rFonts w:hint="default" w:ascii="Wingdings" w:hAnsi="Wingdings"/>
      </w:rPr>
    </w:lvl>
  </w:abstractNum>
  <w:num w:numId="1" w16cid:durableId="1107769434">
    <w:abstractNumId w:val="1"/>
  </w:num>
  <w:num w:numId="2" w16cid:durableId="134428038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A3"/>
    <w:rsid w:val="00007B2C"/>
    <w:rsid w:val="00050260"/>
    <w:rsid w:val="00082D31"/>
    <w:rsid w:val="001A4838"/>
    <w:rsid w:val="00221FEB"/>
    <w:rsid w:val="0027674F"/>
    <w:rsid w:val="002B720E"/>
    <w:rsid w:val="002F022A"/>
    <w:rsid w:val="00393299"/>
    <w:rsid w:val="003F5061"/>
    <w:rsid w:val="003F63D6"/>
    <w:rsid w:val="004479DD"/>
    <w:rsid w:val="004975DB"/>
    <w:rsid w:val="004C3D1E"/>
    <w:rsid w:val="004E67CA"/>
    <w:rsid w:val="00590CBF"/>
    <w:rsid w:val="006213C9"/>
    <w:rsid w:val="00635CD6"/>
    <w:rsid w:val="00773393"/>
    <w:rsid w:val="007855FD"/>
    <w:rsid w:val="00796833"/>
    <w:rsid w:val="008459A7"/>
    <w:rsid w:val="008D4657"/>
    <w:rsid w:val="009021A3"/>
    <w:rsid w:val="00920F95"/>
    <w:rsid w:val="00976CE1"/>
    <w:rsid w:val="00984C28"/>
    <w:rsid w:val="009C3046"/>
    <w:rsid w:val="00A65A26"/>
    <w:rsid w:val="00AB4B5D"/>
    <w:rsid w:val="00D8539A"/>
    <w:rsid w:val="00DB171C"/>
    <w:rsid w:val="00DD2869"/>
    <w:rsid w:val="00DD703D"/>
    <w:rsid w:val="00E40BF5"/>
    <w:rsid w:val="00E6391E"/>
    <w:rsid w:val="00F250D7"/>
    <w:rsid w:val="00F65CC9"/>
    <w:rsid w:val="00F661C2"/>
    <w:rsid w:val="00FB00A0"/>
    <w:rsid w:val="00FE2C1B"/>
    <w:rsid w:val="0121D3EB"/>
    <w:rsid w:val="02B32316"/>
    <w:rsid w:val="03B3C3E8"/>
    <w:rsid w:val="040A0136"/>
    <w:rsid w:val="0479CE0D"/>
    <w:rsid w:val="04E60276"/>
    <w:rsid w:val="053C24CE"/>
    <w:rsid w:val="06111A85"/>
    <w:rsid w:val="0660566F"/>
    <w:rsid w:val="06898215"/>
    <w:rsid w:val="06A04C8F"/>
    <w:rsid w:val="07150F71"/>
    <w:rsid w:val="0728A4C7"/>
    <w:rsid w:val="0799801E"/>
    <w:rsid w:val="08F0F4F2"/>
    <w:rsid w:val="097587CA"/>
    <w:rsid w:val="0AA25910"/>
    <w:rsid w:val="0ADE35D3"/>
    <w:rsid w:val="0CFBBC2A"/>
    <w:rsid w:val="0EEDF108"/>
    <w:rsid w:val="0F11ED23"/>
    <w:rsid w:val="0F69E7AA"/>
    <w:rsid w:val="102A2986"/>
    <w:rsid w:val="102C1CEF"/>
    <w:rsid w:val="11DD65C3"/>
    <w:rsid w:val="12816F01"/>
    <w:rsid w:val="145ADBB6"/>
    <w:rsid w:val="147A49F2"/>
    <w:rsid w:val="14AE413A"/>
    <w:rsid w:val="159CDC78"/>
    <w:rsid w:val="161DADA0"/>
    <w:rsid w:val="16656CA6"/>
    <w:rsid w:val="1676597B"/>
    <w:rsid w:val="174ACF13"/>
    <w:rsid w:val="17517934"/>
    <w:rsid w:val="17554899"/>
    <w:rsid w:val="18FDC3FE"/>
    <w:rsid w:val="19257157"/>
    <w:rsid w:val="19F338CC"/>
    <w:rsid w:val="1A715C62"/>
    <w:rsid w:val="1AA9BA5F"/>
    <w:rsid w:val="1B6D404E"/>
    <w:rsid w:val="1B99C7DA"/>
    <w:rsid w:val="1D137F90"/>
    <w:rsid w:val="1E5C6D79"/>
    <w:rsid w:val="1E887099"/>
    <w:rsid w:val="1ED4A9AF"/>
    <w:rsid w:val="1F5B050B"/>
    <w:rsid w:val="1F6C3BEE"/>
    <w:rsid w:val="1F94268B"/>
    <w:rsid w:val="1FBC6925"/>
    <w:rsid w:val="21EAAECD"/>
    <w:rsid w:val="238D8AFF"/>
    <w:rsid w:val="24B4EA94"/>
    <w:rsid w:val="258524D8"/>
    <w:rsid w:val="25FE9A22"/>
    <w:rsid w:val="27873644"/>
    <w:rsid w:val="28212BF4"/>
    <w:rsid w:val="28437206"/>
    <w:rsid w:val="28D5F9EE"/>
    <w:rsid w:val="290E4E26"/>
    <w:rsid w:val="2955057E"/>
    <w:rsid w:val="2A5C1B35"/>
    <w:rsid w:val="2B69B605"/>
    <w:rsid w:val="2CA4CFA8"/>
    <w:rsid w:val="2FF778C2"/>
    <w:rsid w:val="31C74284"/>
    <w:rsid w:val="327E1553"/>
    <w:rsid w:val="33A48BAA"/>
    <w:rsid w:val="3405655C"/>
    <w:rsid w:val="340A0D69"/>
    <w:rsid w:val="341C2ECA"/>
    <w:rsid w:val="34BF4128"/>
    <w:rsid w:val="387498C2"/>
    <w:rsid w:val="38FC7925"/>
    <w:rsid w:val="39ACE891"/>
    <w:rsid w:val="3BD0F1C3"/>
    <w:rsid w:val="3BD6BDA6"/>
    <w:rsid w:val="3CA525E4"/>
    <w:rsid w:val="3FA068C6"/>
    <w:rsid w:val="3FD3CE44"/>
    <w:rsid w:val="40ACE477"/>
    <w:rsid w:val="411DE0F6"/>
    <w:rsid w:val="414EA75E"/>
    <w:rsid w:val="419CB511"/>
    <w:rsid w:val="43CD60A2"/>
    <w:rsid w:val="488A0E49"/>
    <w:rsid w:val="48BBC13D"/>
    <w:rsid w:val="48D29987"/>
    <w:rsid w:val="497EE420"/>
    <w:rsid w:val="49D2D364"/>
    <w:rsid w:val="49F8F30C"/>
    <w:rsid w:val="49FCE239"/>
    <w:rsid w:val="4A65A16D"/>
    <w:rsid w:val="4A676FB5"/>
    <w:rsid w:val="4AA0CA70"/>
    <w:rsid w:val="4AC65737"/>
    <w:rsid w:val="4B21BCCC"/>
    <w:rsid w:val="4B26A9B5"/>
    <w:rsid w:val="4BBA39E7"/>
    <w:rsid w:val="506D8FC1"/>
    <w:rsid w:val="50DCA65C"/>
    <w:rsid w:val="51CFE9A8"/>
    <w:rsid w:val="51DE0AFF"/>
    <w:rsid w:val="520BC329"/>
    <w:rsid w:val="5261ABC1"/>
    <w:rsid w:val="54CAA188"/>
    <w:rsid w:val="55EB2741"/>
    <w:rsid w:val="5684D2F5"/>
    <w:rsid w:val="5709F221"/>
    <w:rsid w:val="57AD09B7"/>
    <w:rsid w:val="5917866A"/>
    <w:rsid w:val="5B670A1A"/>
    <w:rsid w:val="5F00047D"/>
    <w:rsid w:val="5FB44417"/>
    <w:rsid w:val="60C1A7C0"/>
    <w:rsid w:val="610FEE99"/>
    <w:rsid w:val="61201449"/>
    <w:rsid w:val="62113DD0"/>
    <w:rsid w:val="6271FC90"/>
    <w:rsid w:val="62809A59"/>
    <w:rsid w:val="64D30AB1"/>
    <w:rsid w:val="650C08AE"/>
    <w:rsid w:val="65EFD0A3"/>
    <w:rsid w:val="65F18189"/>
    <w:rsid w:val="662EC489"/>
    <w:rsid w:val="681F8860"/>
    <w:rsid w:val="68805381"/>
    <w:rsid w:val="69911250"/>
    <w:rsid w:val="69DB7353"/>
    <w:rsid w:val="6AB2D0E8"/>
    <w:rsid w:val="6AC9C380"/>
    <w:rsid w:val="6B33B19F"/>
    <w:rsid w:val="6BC6DB0B"/>
    <w:rsid w:val="6D0649B3"/>
    <w:rsid w:val="6D54F30F"/>
    <w:rsid w:val="6E51444D"/>
    <w:rsid w:val="6ED8B170"/>
    <w:rsid w:val="6FB6A99F"/>
    <w:rsid w:val="7039E75C"/>
    <w:rsid w:val="7047FF56"/>
    <w:rsid w:val="710DB526"/>
    <w:rsid w:val="71A0DDA0"/>
    <w:rsid w:val="72558186"/>
    <w:rsid w:val="744DC0E7"/>
    <w:rsid w:val="746DC1D8"/>
    <w:rsid w:val="7494CB1B"/>
    <w:rsid w:val="751EB076"/>
    <w:rsid w:val="75486202"/>
    <w:rsid w:val="75CA1426"/>
    <w:rsid w:val="75D07500"/>
    <w:rsid w:val="76DB1D10"/>
    <w:rsid w:val="76ED59B8"/>
    <w:rsid w:val="7758FBDC"/>
    <w:rsid w:val="7841FBBE"/>
    <w:rsid w:val="79C05483"/>
    <w:rsid w:val="79C2C7C8"/>
    <w:rsid w:val="7A1CDE12"/>
    <w:rsid w:val="7A53042E"/>
    <w:rsid w:val="7A90E7C9"/>
    <w:rsid w:val="7BBBC37A"/>
    <w:rsid w:val="7C976665"/>
    <w:rsid w:val="7D403373"/>
    <w:rsid w:val="7DC2BB5A"/>
    <w:rsid w:val="7E3FD28F"/>
    <w:rsid w:val="7F69AC40"/>
    <w:rsid w:val="7FD10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23AE"/>
  <w15:chartTrackingRefBased/>
  <w15:docId w15:val="{F7A42EBE-EB9C-4F6C-8BAA-3305ED46D0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021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1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1A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21A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021A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021A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021A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021A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021A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021A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021A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021A3"/>
    <w:rPr>
      <w:rFonts w:eastAsiaTheme="majorEastAsia" w:cstheme="majorBidi"/>
      <w:color w:val="272727" w:themeColor="text1" w:themeTint="D8"/>
    </w:rPr>
  </w:style>
  <w:style w:type="paragraph" w:styleId="Title">
    <w:name w:val="Title"/>
    <w:basedOn w:val="Normal"/>
    <w:next w:val="Normal"/>
    <w:link w:val="TitleChar"/>
    <w:uiPriority w:val="10"/>
    <w:qFormat/>
    <w:rsid w:val="009021A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021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021A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02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1A3"/>
    <w:pPr>
      <w:spacing w:before="160"/>
      <w:jc w:val="center"/>
    </w:pPr>
    <w:rPr>
      <w:i/>
      <w:iCs/>
      <w:color w:val="404040" w:themeColor="text1" w:themeTint="BF"/>
    </w:rPr>
  </w:style>
  <w:style w:type="character" w:styleId="QuoteChar" w:customStyle="1">
    <w:name w:val="Quote Char"/>
    <w:basedOn w:val="DefaultParagraphFont"/>
    <w:link w:val="Quote"/>
    <w:uiPriority w:val="29"/>
    <w:rsid w:val="009021A3"/>
    <w:rPr>
      <w:i/>
      <w:iCs/>
      <w:color w:val="404040" w:themeColor="text1" w:themeTint="BF"/>
    </w:rPr>
  </w:style>
  <w:style w:type="paragraph" w:styleId="ListParagraph">
    <w:name w:val="List Paragraph"/>
    <w:basedOn w:val="Normal"/>
    <w:uiPriority w:val="34"/>
    <w:qFormat/>
    <w:rsid w:val="009021A3"/>
    <w:pPr>
      <w:ind w:left="720"/>
      <w:contextualSpacing/>
    </w:pPr>
  </w:style>
  <w:style w:type="character" w:styleId="IntenseEmphasis">
    <w:name w:val="Intense Emphasis"/>
    <w:basedOn w:val="DefaultParagraphFont"/>
    <w:uiPriority w:val="21"/>
    <w:qFormat/>
    <w:rsid w:val="009021A3"/>
    <w:rPr>
      <w:i/>
      <w:iCs/>
      <w:color w:val="0F4761" w:themeColor="accent1" w:themeShade="BF"/>
    </w:rPr>
  </w:style>
  <w:style w:type="paragraph" w:styleId="IntenseQuote">
    <w:name w:val="Intense Quote"/>
    <w:basedOn w:val="Normal"/>
    <w:next w:val="Normal"/>
    <w:link w:val="IntenseQuoteChar"/>
    <w:uiPriority w:val="30"/>
    <w:qFormat/>
    <w:rsid w:val="009021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021A3"/>
    <w:rPr>
      <w:i/>
      <w:iCs/>
      <w:color w:val="0F4761" w:themeColor="accent1" w:themeShade="BF"/>
    </w:rPr>
  </w:style>
  <w:style w:type="character" w:styleId="IntenseReference">
    <w:name w:val="Intense Reference"/>
    <w:basedOn w:val="DefaultParagraphFont"/>
    <w:uiPriority w:val="32"/>
    <w:qFormat/>
    <w:rsid w:val="009021A3"/>
    <w:rPr>
      <w:b/>
      <w:bCs/>
      <w:smallCaps/>
      <w:color w:val="0F4761" w:themeColor="accent1" w:themeShade="BF"/>
      <w:spacing w:val="5"/>
    </w:rPr>
  </w:style>
  <w:style w:type="character" w:styleId="Hyperlink">
    <w:name w:val="Hyperlink"/>
    <w:basedOn w:val="DefaultParagraphFont"/>
    <w:uiPriority w:val="99"/>
    <w:unhideWhenUsed/>
    <w:rsid w:val="00E40BF5"/>
    <w:rPr>
      <w:color w:val="467886" w:themeColor="hyperlink"/>
      <w:u w:val="single"/>
    </w:rPr>
  </w:style>
  <w:style w:type="character" w:styleId="UnresolvedMention">
    <w:name w:val="Unresolved Mention"/>
    <w:basedOn w:val="DefaultParagraphFont"/>
    <w:uiPriority w:val="99"/>
    <w:semiHidden/>
    <w:unhideWhenUsed/>
    <w:rsid w:val="00E40BF5"/>
    <w:rPr>
      <w:color w:val="605E5C"/>
      <w:shd w:val="clear" w:color="auto" w:fill="E1DFDD"/>
    </w:rPr>
  </w:style>
  <w:style w:type="character" w:styleId="CommentReference">
    <w:name w:val="annotation reference"/>
    <w:basedOn w:val="DefaultParagraphFont"/>
    <w:uiPriority w:val="99"/>
    <w:semiHidden/>
    <w:unhideWhenUsed/>
    <w:rsid w:val="003F5061"/>
    <w:rPr>
      <w:sz w:val="16"/>
      <w:szCs w:val="16"/>
    </w:rPr>
  </w:style>
  <w:style w:type="paragraph" w:styleId="CommentText">
    <w:name w:val="annotation text"/>
    <w:basedOn w:val="Normal"/>
    <w:link w:val="CommentTextChar"/>
    <w:uiPriority w:val="99"/>
    <w:unhideWhenUsed/>
    <w:rsid w:val="003F5061"/>
    <w:pPr>
      <w:spacing w:line="240" w:lineRule="auto"/>
    </w:pPr>
    <w:rPr>
      <w:sz w:val="20"/>
      <w:szCs w:val="20"/>
    </w:rPr>
  </w:style>
  <w:style w:type="character" w:styleId="CommentTextChar" w:customStyle="1">
    <w:name w:val="Comment Text Char"/>
    <w:basedOn w:val="DefaultParagraphFont"/>
    <w:link w:val="CommentText"/>
    <w:uiPriority w:val="99"/>
    <w:rsid w:val="003F5061"/>
    <w:rPr>
      <w:sz w:val="20"/>
      <w:szCs w:val="20"/>
    </w:rPr>
  </w:style>
  <w:style w:type="paragraph" w:styleId="CommentSubject">
    <w:name w:val="annotation subject"/>
    <w:basedOn w:val="CommentText"/>
    <w:next w:val="CommentText"/>
    <w:link w:val="CommentSubjectChar"/>
    <w:uiPriority w:val="99"/>
    <w:semiHidden/>
    <w:unhideWhenUsed/>
    <w:rsid w:val="003F5061"/>
    <w:rPr>
      <w:b/>
      <w:bCs/>
    </w:rPr>
  </w:style>
  <w:style w:type="character" w:styleId="CommentSubjectChar" w:customStyle="1">
    <w:name w:val="Comment Subject Char"/>
    <w:basedOn w:val="CommentTextChar"/>
    <w:link w:val="CommentSubject"/>
    <w:uiPriority w:val="99"/>
    <w:semiHidden/>
    <w:rsid w:val="003F5061"/>
    <w:rPr>
      <w:b/>
      <w:bCs/>
      <w:sz w:val="20"/>
      <w:szCs w:val="20"/>
    </w:rPr>
  </w:style>
  <w:style w:type="character" w:styleId="FollowedHyperlink">
    <w:name w:val="FollowedHyperlink"/>
    <w:basedOn w:val="DefaultParagraphFont"/>
    <w:uiPriority w:val="99"/>
    <w:semiHidden/>
    <w:unhideWhenUsed/>
    <w:rsid w:val="00DD703D"/>
    <w:rPr>
      <w:color w:val="96607D" w:themeColor="followedHyperlink"/>
      <w:u w:val="single"/>
    </w:rPr>
  </w:style>
  <w:style w:type="paragraph" w:styleId="FootnoteText">
    <w:name w:val="footnote text"/>
    <w:basedOn w:val="Normal"/>
    <w:uiPriority w:val="99"/>
    <w:semiHidden/>
    <w:unhideWhenUsed/>
    <w:rsid w:val="238D8AFF"/>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puniversities.com/latin-america-caribbean-overall" TargetMode="External" Id="rId8" /><Relationship Type="http://schemas.openxmlformats.org/officeDocument/2006/relationships/hyperlink" Target="https://eacea.ec.europa.eu/national-policies/eurydice/france/glossary_f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William.barbieri@qs.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nkedin.com/in/simona-bizzozer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topuniversities.com/latin-america-caribbean-overall" TargetMode="External" Id="rId10" /><Relationship Type="http://schemas.openxmlformats.org/officeDocument/2006/relationships/numbering" Target="numbering.xml" Id="rId4" /><Relationship Type="http://schemas.openxmlformats.org/officeDocument/2006/relationships/hyperlink" Target="https://www.topuniversities.com/latin-america-caribbean-overall"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48a1c2d3df3daa39cde199690437eb7">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be99db622214a1eabf4d5c2fc5eebb8e"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DCF82-CB37-412B-A30B-B3FF51DD986E}">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2.xml><?xml version="1.0" encoding="utf-8"?>
<ds:datastoreItem xmlns:ds="http://schemas.openxmlformats.org/officeDocument/2006/customXml" ds:itemID="{F2BAA0ED-485F-4033-A9C2-5D96940F4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E8A46-38B1-4F6C-A436-F77615487C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Quacquarelli-Symonds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Barbieri</dc:creator>
  <keywords>, docId:BE4893EF49B41389A7A6B5B5EFC6F700</keywords>
  <dc:description/>
  <lastModifiedBy>William Barbieri</lastModifiedBy>
  <revision>4</revision>
  <dcterms:created xsi:type="dcterms:W3CDTF">2025-09-24T13:15:00.0000000Z</dcterms:created>
  <dcterms:modified xsi:type="dcterms:W3CDTF">2025-09-25T13:43:11.5597996Z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