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011BA">
      <w:pPr>
        <w:pStyle w:val="40"/>
        <w:spacing w:before="0" w:beforeAutospacing="0" w:after="0" w:afterAutospacing="0" w:line="360" w:lineRule="auto"/>
        <w:jc w:val="center"/>
        <w:textAlignment w:val="baseline"/>
        <w:rPr>
          <w:rStyle w:val="41"/>
          <w:rFonts w:hint="default" w:ascii="Calibri" w:hAnsi="Calibri" w:cs="Calibri" w:eastAsiaTheme="majorEastAsia"/>
          <w:b/>
          <w:bCs/>
          <w:color w:val="FF0000"/>
          <w:sz w:val="22"/>
          <w:szCs w:val="22"/>
          <w:u w:val="single"/>
          <w:lang w:val="en-US" w:eastAsia="zh-CN"/>
        </w:rPr>
      </w:pPr>
      <w:r>
        <w:rPr>
          <w:rStyle w:val="41"/>
          <w:rFonts w:hint="eastAsia" w:ascii="Calibri" w:hAnsi="Calibri" w:cs="Calibri" w:eastAsiaTheme="majorEastAsia"/>
          <w:b/>
          <w:bCs/>
          <w:color w:val="FF0000"/>
          <w:sz w:val="22"/>
          <w:szCs w:val="22"/>
          <w:u w:val="single"/>
          <w:lang w:val="en-US" w:eastAsia="zh-CN"/>
        </w:rPr>
        <w:t>北京时间11月18日18:00前禁止发布</w:t>
      </w:r>
    </w:p>
    <w:p w14:paraId="1D0197A9">
      <w:pPr>
        <w:pStyle w:val="40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>
        <w:rPr>
          <w:rStyle w:val="41"/>
          <w:rFonts w:hint="eastAsia" w:ascii="Calibri" w:hAnsi="Calibri" w:cs="Calibri" w:eastAsiaTheme="majorEastAsia"/>
          <w:b/>
          <w:bCs/>
          <w:color w:val="000000"/>
          <w:sz w:val="22"/>
          <w:szCs w:val="22"/>
          <w:u w:val="single"/>
          <w:lang w:val="en-US" w:eastAsia="zh-CN"/>
        </w:rPr>
        <w:t>2026</w:t>
      </w:r>
      <w:r>
        <w:rPr>
          <w:rStyle w:val="41"/>
          <w:rFonts w:ascii="Calibri" w:hAnsi="Calibri" w:cs="Calibri" w:eastAsiaTheme="majorEastAsia"/>
          <w:b/>
          <w:bCs/>
          <w:color w:val="000000"/>
          <w:sz w:val="22"/>
          <w:szCs w:val="22"/>
          <w:u w:val="single"/>
          <w:lang w:val="en-US" w:eastAsia="zh-CN"/>
        </w:rPr>
        <w:t>QS世界大学可持续发展排名</w:t>
      </w:r>
    </w:p>
    <w:p w14:paraId="2106C526">
      <w:pPr>
        <w:spacing w:line="360" w:lineRule="auto"/>
        <w:jc w:val="center"/>
        <w:rPr>
          <w:rFonts w:ascii="Calibri" w:hAnsi="Calibri" w:cs="Calibri"/>
          <w:b/>
          <w:bCs/>
          <w:lang w:eastAsia="zh-CN"/>
        </w:rPr>
      </w:pPr>
      <w:r>
        <w:rPr>
          <w:rFonts w:ascii="Calibri" w:hAnsi="Calibri" w:cs="Calibri"/>
          <w:b/>
          <w:bCs/>
          <w:lang w:eastAsia="zh-CN"/>
        </w:rPr>
        <w:t>中国</w:t>
      </w:r>
      <w:r>
        <w:rPr>
          <w:rFonts w:hint="eastAsia" w:ascii="Calibri" w:hAnsi="Calibri" w:cs="Calibri"/>
          <w:b/>
          <w:bCs/>
          <w:lang w:eastAsia="zh-CN"/>
        </w:rPr>
        <w:t>（内地）</w:t>
      </w:r>
      <w:r>
        <w:rPr>
          <w:rFonts w:ascii="Calibri" w:hAnsi="Calibri" w:cs="Calibri"/>
          <w:b/>
          <w:bCs/>
          <w:lang w:eastAsia="zh-CN"/>
        </w:rPr>
        <w:t>绿色</w:t>
      </w:r>
      <w:r>
        <w:rPr>
          <w:rFonts w:hint="eastAsia" w:ascii="Calibri" w:hAnsi="Calibri" w:cs="Calibri"/>
          <w:b/>
          <w:bCs/>
          <w:lang w:eastAsia="zh-CN"/>
        </w:rPr>
        <w:t>发展</w:t>
      </w:r>
      <w:r>
        <w:rPr>
          <w:rFonts w:ascii="Calibri" w:hAnsi="Calibri" w:cs="Calibri"/>
          <w:b/>
          <w:bCs/>
          <w:lang w:eastAsia="zh-CN"/>
        </w:rPr>
        <w:t>雄心寄望于释放高校潜力，竞争对手则势头减弱</w:t>
      </w:r>
    </w:p>
    <w:p w14:paraId="0AFACFBB">
      <w:pPr>
        <w:spacing w:line="360" w:lineRule="auto"/>
        <w:rPr>
          <w:rStyle w:val="41"/>
          <w:rFonts w:ascii="Calibri" w:hAnsi="Calibri" w:cs="Calibri"/>
          <w:color w:val="FF0000"/>
          <w:sz w:val="16"/>
          <w:szCs w:val="16"/>
          <w:shd w:val="clear" w:color="auto" w:fill="FFFFFF"/>
          <w:lang w:val="en-US" w:eastAsia="zh-CN"/>
        </w:rPr>
      </w:pPr>
      <w:r>
        <w:rPr>
          <w:rStyle w:val="41"/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  <w:lang w:val="en-US" w:eastAsia="zh-CN"/>
        </w:rPr>
        <w:t>伦敦，2025年11月</w:t>
      </w:r>
      <w:r>
        <w:rPr>
          <w:rStyle w:val="41"/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  <w:vertAlign w:val="superscript"/>
          <w:lang w:val="en-US" w:eastAsia="zh-CN"/>
        </w:rPr>
        <w:t>18</w:t>
      </w:r>
      <w:r>
        <w:rPr>
          <w:rStyle w:val="41"/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  <w:lang w:val="en-US" w:eastAsia="zh-CN"/>
        </w:rPr>
        <w:t>日：</w:t>
      </w:r>
      <w:r>
        <w:rPr>
          <w:rStyle w:val="41"/>
          <w:rFonts w:ascii="Calibri" w:hAnsi="Calibri" w:cs="Calibri"/>
          <w:color w:val="000000"/>
          <w:sz w:val="22"/>
          <w:szCs w:val="22"/>
          <w:shd w:val="clear" w:color="auto" w:fill="FFFFFF"/>
          <w:lang w:val="en-US" w:eastAsia="zh-CN"/>
        </w:rPr>
        <w:t>全球高等教育</w:t>
      </w:r>
      <w:r>
        <w:rPr>
          <w:rStyle w:val="41"/>
          <w:rFonts w:hint="eastAsia" w:ascii="Calibri" w:hAnsi="Calibri" w:cs="Calibri"/>
          <w:color w:val="000000"/>
          <w:sz w:val="22"/>
          <w:szCs w:val="22"/>
          <w:shd w:val="clear" w:color="auto" w:fill="FFFFFF"/>
          <w:lang w:val="en-US" w:eastAsia="zh-CN"/>
        </w:rPr>
        <w:t>分析</w:t>
      </w:r>
      <w:bookmarkStart w:id="0" w:name="_GoBack"/>
      <w:bookmarkEnd w:id="0"/>
      <w:r>
        <w:rPr>
          <w:rStyle w:val="41"/>
          <w:rFonts w:ascii="Calibri" w:hAnsi="Calibri" w:cs="Calibri"/>
          <w:color w:val="000000"/>
          <w:sz w:val="22"/>
          <w:szCs w:val="22"/>
          <w:shd w:val="clear" w:color="auto" w:fill="FFFFFF"/>
          <w:lang w:val="en-US" w:eastAsia="zh-CN"/>
        </w:rPr>
        <w:t>机构QS Quacquarelli Symonds发布2026年度</w:t>
      </w:r>
      <w:r>
        <w:fldChar w:fldCharType="begin"/>
      </w:r>
      <w:r>
        <w:rPr>
          <w:lang w:eastAsia="zh-CN"/>
        </w:rPr>
        <w:instrText xml:space="preserve">HYPERLINK "https://www.topuniversities.com/university-rankings/sustainability-rankings/2026" \t "_blank"</w:instrText>
      </w:r>
      <w:r>
        <w:fldChar w:fldCharType="separate"/>
      </w:r>
      <w:r>
        <w:rPr>
          <w:rStyle w:val="41"/>
          <w:rFonts w:ascii="Calibri" w:hAnsi="Calibri" w:cs="Calibri"/>
          <w:color w:val="467886"/>
          <w:sz w:val="22"/>
          <w:szCs w:val="22"/>
          <w:u w:val="single"/>
          <w:shd w:val="clear" w:color="auto" w:fill="FFFFFF"/>
          <w:lang w:val="en-US" w:eastAsia="zh-CN"/>
        </w:rPr>
        <w:t>QS世界大学可持续发展排名*</w:t>
      </w:r>
      <w:r>
        <w:fldChar w:fldCharType="end"/>
      </w:r>
      <w:r>
        <w:rPr>
          <w:rStyle w:val="41"/>
          <w:rFonts w:ascii="Calibri" w:hAnsi="Calibri" w:cs="Calibri"/>
          <w:color w:val="000000"/>
          <w:sz w:val="22"/>
          <w:szCs w:val="22"/>
          <w:shd w:val="clear" w:color="auto" w:fill="FFFFFF"/>
          <w:lang w:val="en-US" w:eastAsia="zh-CN"/>
        </w:rPr>
        <w:t>。</w:t>
      </w:r>
      <w:r>
        <w:rPr>
          <w:rStyle w:val="41"/>
          <w:rFonts w:ascii="Calibri" w:hAnsi="Calibri" w:cs="Calibri"/>
          <w:color w:val="FF0000"/>
          <w:sz w:val="16"/>
          <w:szCs w:val="16"/>
          <w:shd w:val="clear" w:color="auto" w:fill="FFFFFF"/>
          <w:lang w:val="en-US" w:eastAsia="zh-CN"/>
        </w:rPr>
        <w:t>*禁令解除后链接将更新最新结果。</w:t>
      </w:r>
    </w:p>
    <w:p w14:paraId="387EE9D4">
      <w:pPr>
        <w:spacing w:line="360" w:lineRule="auto"/>
        <w:rPr>
          <w:rFonts w:hint="eastAsia"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本届榜单涵盖106个高等教育体系的近2000所高校，较上版增长约250所。</w:t>
      </w:r>
      <w:r>
        <w:rPr>
          <w:rFonts w:ascii="Calibri" w:hAnsi="Calibri" w:cs="Calibri"/>
          <w:sz w:val="22"/>
          <w:szCs w:val="22"/>
          <w:lang w:val="en-US" w:eastAsia="zh-CN"/>
        </w:rPr>
        <w:t>中国</w:t>
      </w:r>
      <w:r>
        <w:rPr>
          <w:rFonts w:hint="eastAsia" w:ascii="Calibri" w:hAnsi="Calibri" w:cs="Calibri"/>
          <w:sz w:val="22"/>
          <w:szCs w:val="22"/>
          <w:lang w:val="en-US" w:eastAsia="zh-CN"/>
        </w:rPr>
        <w:t>（内地）</w:t>
      </w:r>
      <w:r>
        <w:rPr>
          <w:rFonts w:ascii="Calibri" w:hAnsi="Calibri" w:cs="Calibri"/>
          <w:sz w:val="22"/>
          <w:szCs w:val="22"/>
          <w:lang w:val="en-US" w:eastAsia="zh-CN"/>
        </w:rPr>
        <w:t>以163所入选院校位居榜单国家排名第二，仅次于拥有240所院校的美国。中国</w:t>
      </w:r>
      <w:r>
        <w:rPr>
          <w:rFonts w:hint="eastAsia" w:ascii="Calibri" w:hAnsi="Calibri" w:cs="Calibri"/>
          <w:sz w:val="22"/>
          <w:szCs w:val="22"/>
          <w:lang w:val="en-US" w:eastAsia="zh-CN"/>
        </w:rPr>
        <w:t>（内地）</w:t>
      </w:r>
      <w:r>
        <w:rPr>
          <w:rFonts w:ascii="Calibri" w:hAnsi="Calibri" w:cs="Calibri"/>
          <w:sz w:val="22"/>
          <w:szCs w:val="22"/>
          <w:lang w:val="en-US" w:eastAsia="zh-CN"/>
        </w:rPr>
        <w:t>新增院校数量达49所，远超其他高等教育体系，其增长幅度近乎第二名印度（新增26所）的两倍。这一增长反映出中国</w:t>
      </w:r>
      <w:r>
        <w:rPr>
          <w:rFonts w:hint="eastAsia" w:ascii="Calibri" w:hAnsi="Calibri" w:cs="Calibri"/>
          <w:sz w:val="22"/>
          <w:szCs w:val="22"/>
          <w:lang w:val="en-US" w:eastAsia="zh-CN"/>
        </w:rPr>
        <w:t>（内地）</w:t>
      </w:r>
      <w:r>
        <w:rPr>
          <w:rFonts w:ascii="Calibri" w:hAnsi="Calibri" w:cs="Calibri"/>
          <w:sz w:val="22"/>
          <w:szCs w:val="22"/>
          <w:lang w:val="en-US" w:eastAsia="zh-CN"/>
        </w:rPr>
        <w:t>高校ESG策略的完善以及数据透明度和可获取性的提升。两所中国</w:t>
      </w:r>
      <w:r>
        <w:rPr>
          <w:rFonts w:hint="eastAsia" w:ascii="Calibri" w:hAnsi="Calibri" w:cs="Calibri"/>
          <w:sz w:val="22"/>
          <w:szCs w:val="22"/>
          <w:lang w:val="en-US" w:eastAsia="zh-CN"/>
        </w:rPr>
        <w:t>（内地）</w:t>
      </w:r>
      <w:r>
        <w:rPr>
          <w:rFonts w:ascii="Calibri" w:hAnsi="Calibri" w:cs="Calibri"/>
          <w:sz w:val="22"/>
          <w:szCs w:val="22"/>
          <w:lang w:val="en-US" w:eastAsia="zh-CN"/>
        </w:rPr>
        <w:t>院校跻身全球前200强，其中复旦大学位列</w:t>
      </w:r>
      <w:r>
        <w:rPr>
          <w:rFonts w:hint="eastAsia" w:ascii="Calibri" w:hAnsi="Calibri" w:cs="Calibri"/>
          <w:sz w:val="22"/>
          <w:szCs w:val="22"/>
          <w:lang w:val="en-US" w:eastAsia="zh-CN"/>
        </w:rPr>
        <w:t>第140名，</w:t>
      </w:r>
      <w:r>
        <w:rPr>
          <w:rFonts w:ascii="Calibri" w:hAnsi="Calibri" w:cs="Calibri"/>
          <w:sz w:val="22"/>
          <w:szCs w:val="22"/>
          <w:lang w:val="en-US" w:eastAsia="zh-CN"/>
        </w:rPr>
        <w:t>成为排名最高的国内高校</w:t>
      </w:r>
      <w:r>
        <w:rPr>
          <w:rFonts w:hint="eastAsia" w:ascii="Calibri" w:hAnsi="Calibri" w:cs="Calibri"/>
          <w:sz w:val="22"/>
          <w:szCs w:val="22"/>
          <w:lang w:val="en-US" w:eastAsia="zh-CN"/>
        </w:rPr>
        <w:t>。</w:t>
      </w:r>
    </w:p>
    <w:p w14:paraId="19D7494C">
      <w:pPr>
        <w:spacing w:line="360" w:lineRule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hint="eastAsia" w:ascii="Calibri" w:hAnsi="Calibri" w:cs="Calibri"/>
          <w:sz w:val="22"/>
          <w:szCs w:val="22"/>
          <w:lang w:eastAsia="zh-CN"/>
        </w:rPr>
        <w:t>中国（内地）高校的排名下降率不到美国的一半。美国高校的排名下降率高达54%，是整体下降率最高的国家</w:t>
      </w:r>
      <w:r>
        <w:rPr>
          <w:rFonts w:hint="eastAsia" w:ascii="Calibri" w:hAnsi="Calibri" w:cs="Calibri"/>
          <w:sz w:val="22"/>
          <w:szCs w:val="22"/>
          <w:lang w:val="en-US" w:eastAsia="zh-CN"/>
        </w:rPr>
        <w:t>/地区</w:t>
      </w:r>
      <w:r>
        <w:rPr>
          <w:rFonts w:hint="eastAsia" w:ascii="Calibri" w:hAnsi="Calibri" w:cs="Calibri"/>
          <w:sz w:val="22"/>
          <w:szCs w:val="22"/>
          <w:lang w:eastAsia="zh-CN"/>
        </w:rPr>
        <w:t>之一。</w:t>
      </w:r>
    </w:p>
    <w:p w14:paraId="70A70AE1">
      <w:pPr>
        <w:spacing w:line="360" w:lineRule="auto"/>
        <w:rPr>
          <w:rFonts w:ascii="Calibri" w:hAnsi="Calibri" w:eastAsia="Calibri" w:cs="Calibri"/>
          <w:sz w:val="22"/>
          <w:szCs w:val="22"/>
          <w:lang w:eastAsia="zh-CN"/>
        </w:rPr>
      </w:pPr>
      <w:r>
        <w:rPr>
          <w:rFonts w:hint="eastAsia" w:ascii="Microsoft JhengHei" w:hAnsi="Microsoft JhengHei" w:eastAsia="Microsoft JhengHei" w:cs="Microsoft JhengHei"/>
          <w:sz w:val="22"/>
          <w:szCs w:val="22"/>
          <w:lang w:eastAsia="zh-CN"/>
        </w:rPr>
        <w:t>两</w:t>
      </w:r>
      <w:r>
        <w:rPr>
          <w:rFonts w:ascii="Calibri" w:hAnsi="Calibri" w:eastAsia="Calibri" w:cs="Calibri"/>
          <w:sz w:val="22"/>
          <w:szCs w:val="22"/>
          <w:lang w:eastAsia="zh-CN"/>
        </w:rPr>
        <w:t>所中国</w:t>
      </w:r>
      <w:r>
        <w:rPr>
          <w:rFonts w:hint="eastAsia" w:ascii="Microsoft JhengHei" w:hAnsi="Microsoft JhengHei" w:eastAsia="Microsoft JhengHei" w:cs="Microsoft JhengHei"/>
          <w:sz w:val="22"/>
          <w:szCs w:val="22"/>
          <w:lang w:eastAsia="zh-CN"/>
        </w:rPr>
        <w:t>（内地）</w:t>
      </w:r>
      <w:r>
        <w:rPr>
          <w:rFonts w:ascii="Calibri" w:hAnsi="Calibri" w:eastAsia="Calibri" w:cs="Calibri"/>
          <w:sz w:val="22"/>
          <w:szCs w:val="22"/>
          <w:lang w:eastAsia="zh-CN"/>
        </w:rPr>
        <w:t>高校跻身全球300强：南京大学位列第285名，厦门大学位列第300名。另有3所高校进入500强——北京理工大学位列第400名，哈尔滨工业大学位列第451名，西北工业大学位列第484名。</w:t>
      </w:r>
    </w:p>
    <w:p w14:paraId="079C456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zh-CN"/>
        </w:rPr>
        <w:t>QS高级副总裁</w:t>
      </w:r>
      <w:r>
        <w:rPr>
          <w:rFonts w:hint="eastAsia" w:ascii="Calibri" w:hAnsi="Calibri" w:cs="Calibri"/>
          <w:i/>
          <w:iCs/>
          <w:sz w:val="22"/>
          <w:szCs w:val="22"/>
          <w:lang w:eastAsia="zh-CN"/>
        </w:rPr>
        <w:t>Ben Sowter</w:t>
      </w:r>
      <w:r>
        <w:rPr>
          <w:rFonts w:ascii="Calibri" w:hAnsi="Calibri" w:cs="Calibri"/>
          <w:i/>
          <w:iCs/>
          <w:sz w:val="22"/>
          <w:szCs w:val="22"/>
          <w:lang w:eastAsia="zh-CN"/>
        </w:rPr>
        <w:t>表示："中国</w:t>
      </w:r>
      <w:r>
        <w:rPr>
          <w:rFonts w:hint="eastAsia" w:ascii="Calibri" w:hAnsi="Calibri" w:cs="Calibri"/>
          <w:i/>
          <w:iCs/>
          <w:sz w:val="22"/>
          <w:szCs w:val="22"/>
          <w:lang w:eastAsia="zh-CN"/>
        </w:rPr>
        <w:t>（内地）</w:t>
      </w:r>
      <w:r>
        <w:rPr>
          <w:rFonts w:ascii="Calibri" w:hAnsi="Calibri" w:cs="Calibri"/>
          <w:i/>
          <w:iCs/>
          <w:sz w:val="22"/>
          <w:szCs w:val="22"/>
          <w:lang w:eastAsia="zh-CN"/>
        </w:rPr>
        <w:t>高校虽落后于全球同行，但在可持续发展排名中完全有机会占据主导地位。随着政府致力于打造绿色超级大国，这些高校正获得巨额投资支持。在'双碳'框架下，中国承诺2030年前碳排放达峰、2060年前实现碳中和，并计划2024年投入8180亿美元支持该目标。政府强调高等教育将通过科研、人才培养和创新驱动实现这一议程。然而要实现目标，必须降低煤炭依赖、赋能高校、推进校园脱碳、解决区域差异，并兑现其雄心勃勃的承诺</w:t>
      </w:r>
      <w:r>
        <w:rPr>
          <w:rFonts w:ascii="Calibri" w:hAnsi="Calibri" w:cs="Calibri"/>
          <w:sz w:val="22"/>
          <w:szCs w:val="22"/>
          <w:lang w:eastAsia="zh-CN"/>
        </w:rPr>
        <w:t>。</w:t>
      </w:r>
      <w:r>
        <w:rPr>
          <w:rFonts w:ascii="Calibri" w:hAnsi="Calibri" w:cs="Calibri"/>
          <w:sz w:val="22"/>
          <w:szCs w:val="22"/>
        </w:rPr>
        <w:t>"</w:t>
      </w:r>
    </w:p>
    <w:tbl>
      <w:tblPr>
        <w:tblStyle w:val="15"/>
        <w:tblW w:w="8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134"/>
        <w:gridCol w:w="4961"/>
      </w:tblGrid>
      <w:tr w14:paraId="068E1C21">
        <w:trPr>
          <w:trHeight w:val="300" w:hRule="atLeast"/>
          <w:jc w:val="center"/>
        </w:trPr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75CE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表1：中国大陆——全球500强高校</w:t>
            </w:r>
          </w:p>
        </w:tc>
      </w:tr>
      <w:tr w14:paraId="3399713D">
        <w:trPr>
          <w:trHeight w:val="3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CC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2026年排名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D9C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2025年排名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D65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hint="eastAsia" w:ascii="Calibri" w:hAnsi="Calibri" w:cs="Calibri" w:eastAsiaTheme="minorEastAsia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QS</w:t>
            </w:r>
            <w:r>
              <w:rPr>
                <w:rFonts w:hint="eastAsia" w:ascii="Calibri" w:hAnsi="Calibri" w:eastAsia="Times New Roman" w:cs="Calibr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世界大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学排名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3DF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院校名称</w:t>
            </w:r>
          </w:p>
        </w:tc>
      </w:tr>
      <w:tr w14:paraId="24E461A2">
        <w:trPr>
          <w:trHeight w:val="3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A02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D1F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B08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BBB7C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复旦大学</w:t>
            </w:r>
          </w:p>
        </w:tc>
      </w:tr>
      <w:tr w14:paraId="57A05CB8">
        <w:trPr>
          <w:trHeight w:val="3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258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369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=140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37D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1AABF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上海交通大学</w:t>
            </w:r>
          </w:p>
        </w:tc>
      </w:tr>
      <w:tr w14:paraId="0E2C34E2">
        <w:trPr>
          <w:trHeight w:val="3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1D7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=286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5C4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1BE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103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10CFE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南京大学</w:t>
            </w:r>
          </w:p>
        </w:tc>
      </w:tr>
      <w:tr w14:paraId="78B1CD1C">
        <w:trPr>
          <w:trHeight w:val="3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575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=297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ADF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=211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833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177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B8A8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同济大学</w:t>
            </w:r>
          </w:p>
        </w:tc>
      </w:tr>
      <w:tr w14:paraId="50E56CD4">
        <w:trPr>
          <w:trHeight w:val="3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6A1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=300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824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=638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E6D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341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60332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厦门大学</w:t>
            </w:r>
          </w:p>
        </w:tc>
      </w:tr>
      <w:tr w14:paraId="3F60E0A5">
        <w:trPr>
          <w:trHeight w:val="3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CEE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=371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172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=389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F18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343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4EFD0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南方科技大学</w:t>
            </w:r>
          </w:p>
        </w:tc>
      </w:tr>
      <w:tr w14:paraId="0558083D">
        <w:trPr>
          <w:trHeight w:val="3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6EA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=400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D00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=535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163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259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30D75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北京理工大学</w:t>
            </w:r>
          </w:p>
        </w:tc>
      </w:tr>
      <w:tr w14:paraId="53F54055">
        <w:trPr>
          <w:trHeight w:val="3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0D1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=400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682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=497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6A0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186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C8273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武汉大学</w:t>
            </w:r>
          </w:p>
        </w:tc>
      </w:tr>
      <w:tr w14:paraId="4B4AB988">
        <w:trPr>
          <w:trHeight w:val="3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1CC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=431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D54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=310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550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7587F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北京大学</w:t>
            </w:r>
          </w:p>
        </w:tc>
      </w:tr>
      <w:tr w14:paraId="36B02EF6">
        <w:trPr>
          <w:trHeight w:val="3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C75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429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=341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925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7930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清华大学</w:t>
            </w:r>
          </w:p>
        </w:tc>
      </w:tr>
      <w:tr w14:paraId="1FD574B8">
        <w:trPr>
          <w:trHeight w:val="3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66E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=451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4B9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=792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21C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256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059E5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哈尔滨工业大学</w:t>
            </w:r>
          </w:p>
        </w:tc>
      </w:tr>
      <w:tr w14:paraId="7927E589">
        <w:trPr>
          <w:trHeight w:val="3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B78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=484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B85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1101-1120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3AD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499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60482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n-GB"/>
                <w14:ligatures w14:val="none"/>
              </w:rPr>
              <w:t>西北工业大学</w:t>
            </w:r>
          </w:p>
        </w:tc>
      </w:tr>
    </w:tbl>
    <w:p w14:paraId="682F30B1">
      <w:pPr>
        <w:rPr>
          <w:rFonts w:ascii="Calibri" w:hAnsi="Calibri" w:cs="Calibri"/>
          <w:sz w:val="22"/>
          <w:szCs w:val="22"/>
        </w:rPr>
      </w:pPr>
    </w:p>
    <w:p w14:paraId="55B99DC6">
      <w:pPr>
        <w:spacing w:line="360" w:lineRule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在全球范围内</w:t>
      </w:r>
      <w:r>
        <w:rPr>
          <w:rFonts w:ascii="Calibri" w:hAnsi="Calibri" w:cs="Calibri"/>
          <w:sz w:val="22"/>
          <w:szCs w:val="22"/>
          <w:lang w:val="en-US" w:eastAsia="zh-CN"/>
        </w:rPr>
        <w:t>，瑞典</w:t>
      </w:r>
      <w:r>
        <w:rPr>
          <w:rFonts w:hint="eastAsia" w:ascii="Calibri" w:hAnsi="Calibri" w:cs="Calibri"/>
          <w:b/>
          <w:bCs/>
          <w:sz w:val="22"/>
          <w:szCs w:val="22"/>
          <w:lang w:val="en-US" w:eastAsia="zh-CN"/>
        </w:rPr>
        <w:t>隆德大学</w:t>
      </w:r>
      <w:r>
        <w:rPr>
          <w:rFonts w:ascii="Calibri" w:hAnsi="Calibri" w:cs="Calibri"/>
          <w:sz w:val="22"/>
          <w:szCs w:val="22"/>
          <w:lang w:val="en-US" w:eastAsia="zh-CN"/>
        </w:rPr>
        <w:t>自2023年该排名创立以来首次登顶。此前在2024年和2025年蝉联世界第一</w:t>
      </w:r>
      <w:r>
        <w:rPr>
          <w:rFonts w:ascii="Calibri" w:hAnsi="Calibri" w:cs="Calibri"/>
          <w:b/>
          <w:bCs/>
          <w:sz w:val="22"/>
          <w:szCs w:val="22"/>
          <w:lang w:val="en-US" w:eastAsia="zh-CN"/>
        </w:rPr>
        <w:t>的多伦多大学</w:t>
      </w:r>
      <w:r>
        <w:rPr>
          <w:rFonts w:ascii="Calibri" w:hAnsi="Calibri" w:cs="Calibri"/>
          <w:sz w:val="22"/>
          <w:szCs w:val="22"/>
          <w:lang w:val="en-US" w:eastAsia="zh-CN"/>
        </w:rPr>
        <w:t>此次跌至次席，紧随其后的是英国</w:t>
      </w:r>
      <w:r>
        <w:rPr>
          <w:rFonts w:hint="eastAsia" w:ascii="Calibri" w:hAnsi="Calibri" w:cs="Calibri"/>
          <w:b/>
          <w:bCs/>
          <w:sz w:val="22"/>
          <w:szCs w:val="22"/>
          <w:lang w:val="en-US" w:eastAsia="zh-CN"/>
        </w:rPr>
        <w:t>伦敦</w:t>
      </w:r>
      <w:r>
        <w:rPr>
          <w:rFonts w:ascii="Calibri" w:hAnsi="Calibri" w:cs="Calibri"/>
          <w:b/>
          <w:bCs/>
          <w:sz w:val="22"/>
          <w:szCs w:val="22"/>
          <w:lang w:val="en-US" w:eastAsia="zh-CN"/>
        </w:rPr>
        <w:t>大学学院</w:t>
      </w:r>
      <w:r>
        <w:rPr>
          <w:rFonts w:ascii="Calibri" w:hAnsi="Calibri" w:cs="Calibri"/>
          <w:sz w:val="22"/>
          <w:szCs w:val="22"/>
          <w:lang w:val="en-US" w:eastAsia="zh-CN"/>
        </w:rPr>
        <w:t>，该校跃升两位至全球第三。</w:t>
      </w:r>
    </w:p>
    <w:tbl>
      <w:tblPr>
        <w:tblStyle w:val="15"/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275"/>
        <w:gridCol w:w="1095"/>
        <w:gridCol w:w="3225"/>
        <w:gridCol w:w="1950"/>
      </w:tblGrid>
      <w:tr w14:paraId="67FF542B">
        <w:trPr>
          <w:trHeight w:val="300" w:hRule="atLeast"/>
          <w:jc w:val="center"/>
        </w:trPr>
        <w:tc>
          <w:tcPr>
            <w:tcW w:w="8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4EFD56FF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表2：全球前十强 </w:t>
            </w:r>
          </w:p>
        </w:tc>
      </w:tr>
      <w:tr w14:paraId="4B0FDDE6">
        <w:trPr>
          <w:trHeight w:val="300" w:hRule="atLeast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CE62A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2026年排名 </w:t>
            </w: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6AC5B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2025年排名 </w:t>
            </w: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EE365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hint="eastAsia" w:ascii="Calibri" w:hAnsi="Calibri" w:cs="Calibri" w:eastAsiaTheme="minorEastAsia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QS</w:t>
            </w:r>
            <w:r>
              <w:rPr>
                <w:rFonts w:hint="eastAsia"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世界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大学排名 </w:t>
            </w:r>
          </w:p>
        </w:tc>
        <w:tc>
          <w:tcPr>
            <w:tcW w:w="32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66658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院校名称 </w:t>
            </w:r>
          </w:p>
        </w:tc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110D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国家/地区 </w:t>
            </w:r>
          </w:p>
        </w:tc>
      </w:tr>
      <w:tr w14:paraId="74B47371">
        <w:trPr>
          <w:trHeight w:val="300" w:hRule="atLeast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099A5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1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327A9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>3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53446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72 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50D3058B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隆德大学 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4A8894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瑞典 </w:t>
            </w:r>
          </w:p>
        </w:tc>
      </w:tr>
      <w:tr w14:paraId="3D537D25">
        <w:trPr>
          <w:trHeight w:val="300" w:hRule="atLeast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DAA90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2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5418A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FFBD6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29 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2C9D1D2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多伦多大学 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22735368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加拿大 </w:t>
            </w:r>
          </w:p>
        </w:tc>
      </w:tr>
      <w:tr w14:paraId="1069B943">
        <w:trPr>
          <w:trHeight w:val="300" w:hRule="atLeast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4CF6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3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58FE4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>5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DDFC5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9 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10EE360D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伦敦大学学院 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1D9C4E0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英国 </w:t>
            </w:r>
          </w:p>
        </w:tc>
      </w:tr>
      <w:tr w14:paraId="2E55DF63">
        <w:trPr>
          <w:trHeight w:val="300" w:hRule="atLeast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4EF98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4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87329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>7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6B6AB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34 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631AC8F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爱丁堡大学 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159C758A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英国 </w:t>
            </w:r>
          </w:p>
        </w:tc>
      </w:tr>
      <w:tr w14:paraId="58E4A2D6">
        <w:trPr>
          <w:trHeight w:val="300" w:hRule="atLeast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7B1E8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5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0DC0F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>5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70FED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40 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271AE73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不列颠哥伦比亚大学 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4E241273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加拿大 </w:t>
            </w:r>
          </w:p>
        </w:tc>
      </w:tr>
      <w:tr w14:paraId="1D694552">
        <w:trPr>
          <w:trHeight w:val="300" w:hRule="atLeast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7DC82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6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34F3B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>39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34268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56 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5EF75D8E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伦敦政治经济学院 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52CCFF4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英国 </w:t>
            </w:r>
          </w:p>
        </w:tc>
      </w:tr>
      <w:tr w14:paraId="7DE33DDB">
        <w:trPr>
          <w:trHeight w:val="300" w:hRule="atLeast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5130F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=7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91018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>7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B6D45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2 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235BAFFB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伦敦帝国理工学院 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0F7B07B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英国 </w:t>
            </w:r>
          </w:p>
        </w:tc>
      </w:tr>
      <w:tr w14:paraId="067B9806">
        <w:trPr>
          <w:trHeight w:val="300" w:hRule="atLeast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906FA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=7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D6794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>12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B92E6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20 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7BDF5E3D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zh-CN"/>
                <w14:ligatures w14:val="none"/>
              </w:rPr>
              <w:t>新南威尔士大学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432F3E73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澳大利亚 </w:t>
            </w:r>
          </w:p>
        </w:tc>
      </w:tr>
      <w:tr w14:paraId="69879369">
        <w:trPr>
          <w:trHeight w:val="300" w:hRule="atLeast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3D44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9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3872E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>15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5ABF5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27 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7B728AFA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麦吉尔大学 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744A82C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加拿大 </w:t>
            </w:r>
          </w:p>
        </w:tc>
      </w:tr>
      <w:tr w14:paraId="0BA7B9F5">
        <w:trPr>
          <w:trHeight w:val="300" w:hRule="atLeast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F06E1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10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279026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>9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D1D44E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35 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68CA674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曼彻斯特大学 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37E9492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英国 </w:t>
            </w:r>
          </w:p>
        </w:tc>
      </w:tr>
    </w:tbl>
    <w:p w14:paraId="59555377">
      <w:pPr>
        <w:spacing w:after="0" w:line="240" w:lineRule="auto"/>
        <w:textAlignment w:val="baseline"/>
        <w:rPr>
          <w:rFonts w:ascii="Calibri" w:hAnsi="Calibri" w:cs="Calibri"/>
          <w:sz w:val="22"/>
          <w:szCs w:val="22"/>
        </w:rPr>
      </w:pPr>
    </w:p>
    <w:p w14:paraId="4317DEC1">
      <w:pPr>
        <w:spacing w:after="0" w:line="36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zh-CN"/>
          <w14:ligatures w14:val="none"/>
        </w:rPr>
      </w:pP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今年共有八个地区至少有10所院校首次进入排名</w:t>
      </w:r>
      <w:r>
        <w:rPr>
          <w:rFonts w:ascii="Calibri" w:hAnsi="Calibri" w:eastAsia="Times New Roman" w:cs="Calibri"/>
          <w:b/>
          <w:bCs/>
          <w:kern w:val="0"/>
          <w:sz w:val="22"/>
          <w:szCs w:val="22"/>
          <w:lang w:val="en-US" w:eastAsia="zh-CN"/>
          <w14:ligatures w14:val="none"/>
        </w:rPr>
        <w:t>，其中中国</w:t>
      </w:r>
      <w:r>
        <w:rPr>
          <w:rFonts w:hint="eastAsia" w:ascii="Calibri" w:hAnsi="Calibri" w:eastAsia="Times New Roman" w:cs="Calibri"/>
          <w:b/>
          <w:bCs/>
          <w:kern w:val="0"/>
          <w:sz w:val="22"/>
          <w:szCs w:val="22"/>
          <w:lang w:val="en-US" w:eastAsia="zh-CN"/>
          <w14:ligatures w14:val="none"/>
        </w:rPr>
        <w:t>（</w:t>
      </w:r>
      <w:r>
        <w:rPr>
          <w:rFonts w:hint="eastAsia"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内地）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新增49所新晋院校，</w:t>
      </w:r>
      <w:r>
        <w:rPr>
          <w:rFonts w:ascii="Calibri" w:hAnsi="Calibri" w:eastAsia="Times New Roman" w:cs="Calibri"/>
          <w:b/>
          <w:bCs/>
          <w:kern w:val="0"/>
          <w:sz w:val="22"/>
          <w:szCs w:val="22"/>
          <w:lang w:val="en-US" w:eastAsia="zh-CN"/>
          <w14:ligatures w14:val="none"/>
        </w:rPr>
        <w:t>印度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以26所位居第二，</w:t>
      </w:r>
      <w:r>
        <w:rPr>
          <w:rFonts w:ascii="Calibri" w:hAnsi="Calibri" w:eastAsia="Times New Roman" w:cs="Calibri"/>
          <w:b/>
          <w:bCs/>
          <w:kern w:val="0"/>
          <w:sz w:val="22"/>
          <w:szCs w:val="22"/>
          <w:lang w:val="en-US" w:eastAsia="zh-CN"/>
          <w14:ligatures w14:val="none"/>
        </w:rPr>
        <w:t>法国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19所，</w:t>
      </w:r>
      <w:r>
        <w:rPr>
          <w:rFonts w:ascii="Calibri" w:hAnsi="Calibri" w:eastAsia="Times New Roman" w:cs="Calibri"/>
          <w:b/>
          <w:bCs/>
          <w:kern w:val="0"/>
          <w:sz w:val="22"/>
          <w:szCs w:val="22"/>
          <w:lang w:val="en-US" w:eastAsia="zh-CN"/>
          <w14:ligatures w14:val="none"/>
        </w:rPr>
        <w:t>土耳其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18所。</w:t>
      </w:r>
      <w:r>
        <w:rPr>
          <w:rFonts w:ascii="Calibri" w:hAnsi="Calibri" w:eastAsia="Times New Roman" w:cs="Calibri"/>
          <w:b/>
          <w:bCs/>
          <w:kern w:val="0"/>
          <w:sz w:val="22"/>
          <w:szCs w:val="22"/>
          <w:lang w:val="en-US" w:eastAsia="zh-CN"/>
          <w14:ligatures w14:val="none"/>
        </w:rPr>
        <w:t>德国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（16所）、</w:t>
      </w:r>
      <w:r>
        <w:rPr>
          <w:rFonts w:ascii="Calibri" w:hAnsi="Calibri" w:eastAsia="Times New Roman" w:cs="Calibri"/>
          <w:b/>
          <w:bCs/>
          <w:kern w:val="0"/>
          <w:sz w:val="22"/>
          <w:szCs w:val="22"/>
          <w:lang w:val="en-US" w:eastAsia="zh-CN"/>
          <w14:ligatures w14:val="none"/>
        </w:rPr>
        <w:t>西班牙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（15所）、</w:t>
      </w:r>
      <w:r>
        <w:rPr>
          <w:rFonts w:ascii="Calibri" w:hAnsi="Calibri" w:eastAsia="Times New Roman" w:cs="Calibri"/>
          <w:b/>
          <w:bCs/>
          <w:kern w:val="0"/>
          <w:sz w:val="22"/>
          <w:szCs w:val="22"/>
          <w:lang w:val="en-US" w:eastAsia="zh-CN"/>
          <w14:ligatures w14:val="none"/>
        </w:rPr>
        <w:t>英国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（13所）</w:t>
      </w:r>
      <w:r>
        <w:rPr>
          <w:rFonts w:ascii="Calibri" w:hAnsi="Calibri" w:eastAsia="Times New Roman" w:cs="Calibri"/>
          <w:b/>
          <w:bCs/>
          <w:kern w:val="0"/>
          <w:sz w:val="22"/>
          <w:szCs w:val="22"/>
          <w:lang w:val="en-US" w:eastAsia="zh-CN"/>
          <w14:ligatures w14:val="none"/>
        </w:rPr>
        <w:t>和美国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 xml:space="preserve">（11所）均有超过10所院校首次上榜。 </w:t>
      </w:r>
    </w:p>
    <w:tbl>
      <w:tblPr>
        <w:tblStyle w:val="15"/>
        <w:tblW w:w="1059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810"/>
        <w:gridCol w:w="618"/>
        <w:gridCol w:w="872"/>
        <w:gridCol w:w="904"/>
        <w:gridCol w:w="921"/>
        <w:gridCol w:w="1275"/>
        <w:gridCol w:w="2780"/>
        <w:gridCol w:w="1162"/>
      </w:tblGrid>
      <w:tr w14:paraId="1D7B4794">
        <w:trPr>
          <w:trHeight w:val="309" w:hRule="atLeast"/>
          <w:jc w:val="center"/>
        </w:trPr>
        <w:tc>
          <w:tcPr>
            <w:tcW w:w="1059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97ADE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zh-CN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表3：按入围高校总数排序的十大高等教育体系 </w:t>
            </w:r>
          </w:p>
        </w:tc>
      </w:tr>
      <w:tr w14:paraId="6B835E22">
        <w:trPr>
          <w:trHeight w:val="309" w:hRule="atLeast"/>
          <w:jc w:val="center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5C3B2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地区 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14FB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上榜院校总数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C0754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EE0000"/>
                <w:kern w:val="0"/>
                <w:sz w:val="16"/>
                <w:szCs w:val="16"/>
                <w:lang w:val="en-US" w:eastAsia="en-GB"/>
                <w14:ligatures w14:val="none"/>
              </w:rPr>
              <w:t>下降  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2184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FFC000"/>
                <w:kern w:val="0"/>
                <w:sz w:val="16"/>
                <w:szCs w:val="16"/>
                <w:lang w:val="en-US" w:eastAsia="en-GB"/>
                <w14:ligatures w14:val="none"/>
              </w:rPr>
              <w:t>持平  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A31D0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B050"/>
                <w:kern w:val="0"/>
                <w:sz w:val="16"/>
                <w:szCs w:val="16"/>
                <w:lang w:val="en-US" w:eastAsia="en-GB"/>
                <w14:ligatures w14:val="none"/>
              </w:rPr>
              <w:t>上升  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5C01E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变化率 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D82AA6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70C0"/>
                <w:kern w:val="0"/>
                <w:sz w:val="16"/>
                <w:szCs w:val="16"/>
                <w:lang w:val="en-US" w:eastAsia="en-GB"/>
                <w14:ligatures w14:val="none"/>
              </w:rPr>
              <w:t>新增  </w:t>
            </w:r>
          </w:p>
        </w:tc>
        <w:tc>
          <w:tcPr>
            <w:tcW w:w="3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E8DD6C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顶尖大学 </w:t>
            </w:r>
          </w:p>
        </w:tc>
      </w:tr>
      <w:tr w14:paraId="2FA42DB2">
        <w:trPr>
          <w:trHeight w:val="309" w:hRule="atLeast"/>
          <w:jc w:val="center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F3FC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美国 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D9D44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240  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6FE7D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EE0000"/>
                <w:kern w:val="0"/>
                <w:sz w:val="16"/>
                <w:szCs w:val="16"/>
                <w:lang w:val="en-US" w:eastAsia="en-GB"/>
                <w14:ligatures w14:val="none"/>
              </w:rPr>
              <w:t>168  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DDD182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FFC000"/>
                <w:kern w:val="0"/>
                <w:sz w:val="16"/>
                <w:szCs w:val="16"/>
                <w:lang w:val="en-US" w:eastAsia="en-GB"/>
                <w14:ligatures w14:val="none"/>
              </w:rPr>
              <w:t>23  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B48BB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B050"/>
                <w:kern w:val="0"/>
                <w:sz w:val="16"/>
                <w:szCs w:val="16"/>
                <w:lang w:val="en-US" w:eastAsia="en-GB"/>
                <w14:ligatures w14:val="none"/>
              </w:rPr>
              <w:t>38  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22C5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-54% 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CBC991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70C0"/>
                <w:kern w:val="0"/>
                <w:sz w:val="16"/>
                <w:szCs w:val="16"/>
                <w:lang w:val="en-US" w:eastAsia="en-GB"/>
                <w14:ligatures w14:val="none"/>
              </w:rPr>
              <w:t>11  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008FD9">
            <w:pPr>
              <w:spacing w:after="0" w:line="240" w:lineRule="auto"/>
              <w:textAlignment w:val="baseline"/>
              <w:rPr>
                <w:rFonts w:hint="eastAsia" w:ascii="Calibri" w:hAnsi="Calibri" w:cs="Calibri" w:eastAsiaTheme="minorEastAsia"/>
                <w:kern w:val="0"/>
                <w:lang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1D1D1B"/>
                <w:kern w:val="0"/>
                <w:sz w:val="16"/>
                <w:szCs w:val="16"/>
                <w:lang w:val="en-US" w:eastAsia="zh-CN"/>
                <w14:ligatures w14:val="none"/>
              </w:rPr>
              <w:t>美国加州大学伯克利分校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9B5F4F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=11 </w:t>
            </w:r>
          </w:p>
        </w:tc>
      </w:tr>
      <w:tr w14:paraId="48DFFAC2">
        <w:trPr>
          <w:trHeight w:val="309" w:hRule="atLeast"/>
          <w:jc w:val="center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79D0E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中国（</w:t>
            </w:r>
            <w:r>
              <w:rPr>
                <w:rFonts w:hint="eastAsia"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zh-CN"/>
                <w14:ligatures w14:val="none"/>
              </w:rPr>
              <w:t>内地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） 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44FA2C2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163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39D7A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EE0000"/>
                <w:kern w:val="0"/>
                <w:sz w:val="16"/>
                <w:szCs w:val="16"/>
                <w:lang w:val="en-US" w:eastAsia="en-GB"/>
                <w14:ligatures w14:val="none"/>
              </w:rPr>
              <w:t>73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75D4995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FFC000"/>
                <w:kern w:val="0"/>
                <w:sz w:val="16"/>
                <w:szCs w:val="16"/>
                <w:lang w:val="en-US" w:eastAsia="en-GB"/>
                <w14:ligatures w14:val="none"/>
              </w:rPr>
              <w:t>12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0DCA123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B050"/>
                <w:kern w:val="0"/>
                <w:sz w:val="16"/>
                <w:szCs w:val="16"/>
                <w:lang w:val="en-US" w:eastAsia="en-GB"/>
                <w14:ligatures w14:val="none"/>
              </w:rPr>
              <w:t>29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B1E848B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-27%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CCFB79D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70C0"/>
                <w:kern w:val="0"/>
                <w:sz w:val="16"/>
                <w:szCs w:val="16"/>
                <w:lang w:val="en-US" w:eastAsia="en-GB"/>
                <w14:ligatures w14:val="none"/>
              </w:rPr>
              <w:t>49  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bottom"/>
          </w:tcPr>
          <w:p w14:paraId="27C3EA43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6"/>
                <w:szCs w:val="16"/>
                <w:lang w:val="en-US" w:eastAsia="en-GB"/>
                <w14:ligatures w14:val="none"/>
              </w:rPr>
              <w:t>复旦大学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bottom"/>
          </w:tcPr>
          <w:p w14:paraId="21FED938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140 </w:t>
            </w:r>
          </w:p>
        </w:tc>
      </w:tr>
      <w:tr w14:paraId="0445851E">
        <w:trPr>
          <w:trHeight w:val="309" w:hRule="atLeast"/>
          <w:jc w:val="center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3ADE8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英国 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3776B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109  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19316B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EE0000"/>
                <w:kern w:val="0"/>
                <w:sz w:val="16"/>
                <w:szCs w:val="16"/>
                <w:lang w:val="en-US" w:eastAsia="en-GB"/>
                <w14:ligatures w14:val="none"/>
              </w:rPr>
              <w:t>40  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99EC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FFC000"/>
                <w:kern w:val="0"/>
                <w:sz w:val="16"/>
                <w:szCs w:val="16"/>
                <w:lang w:val="en-US" w:eastAsia="en-GB"/>
                <w14:ligatures w14:val="none"/>
              </w:rPr>
              <w:t>4  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D0805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B050"/>
                <w:kern w:val="0"/>
                <w:sz w:val="16"/>
                <w:szCs w:val="16"/>
                <w:lang w:val="en-US" w:eastAsia="en-GB"/>
                <w14:ligatures w14:val="none"/>
              </w:rPr>
              <w:t>52  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9657C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11% 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C70C55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70C0"/>
                <w:kern w:val="0"/>
                <w:sz w:val="16"/>
                <w:szCs w:val="16"/>
                <w:lang w:val="en-US" w:eastAsia="en-GB"/>
                <w14:ligatures w14:val="none"/>
              </w:rPr>
              <w:t>13  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30DAE4">
            <w:pPr>
              <w:spacing w:after="0" w:line="240" w:lineRule="auto"/>
              <w:textAlignment w:val="baseline"/>
              <w:rPr>
                <w:rFonts w:hint="eastAsia" w:ascii="Calibri" w:hAnsi="Calibri" w:cs="Calibri" w:eastAsiaTheme="minorEastAsia"/>
                <w:kern w:val="0"/>
                <w:sz w:val="16"/>
                <w:szCs w:val="16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  <w14:ligatures w14:val="none"/>
              </w:rPr>
              <w:t>伦敦大学学院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4A37A5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3 </w:t>
            </w:r>
          </w:p>
        </w:tc>
      </w:tr>
      <w:tr w14:paraId="2192D914">
        <w:trPr>
          <w:trHeight w:val="309" w:hRule="atLeast"/>
          <w:jc w:val="center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09102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印度 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97F402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103  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78DB5A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EE0000"/>
                <w:kern w:val="0"/>
                <w:sz w:val="16"/>
                <w:szCs w:val="16"/>
                <w:lang w:val="en-US" w:eastAsia="en-GB"/>
                <w14:ligatures w14:val="none"/>
              </w:rPr>
              <w:t>30  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3D161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FFC000"/>
                <w:kern w:val="0"/>
                <w:sz w:val="16"/>
                <w:szCs w:val="16"/>
                <w:lang w:val="en-US" w:eastAsia="en-GB"/>
                <w14:ligatures w14:val="none"/>
              </w:rPr>
              <w:t>15  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44D3B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B050"/>
                <w:kern w:val="0"/>
                <w:sz w:val="16"/>
                <w:szCs w:val="16"/>
                <w:lang w:val="en-US" w:eastAsia="en-GB"/>
                <w14:ligatures w14:val="none"/>
              </w:rPr>
              <w:t>32  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3A5DB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2% 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CE78BB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70C0"/>
                <w:kern w:val="0"/>
                <w:sz w:val="16"/>
                <w:szCs w:val="16"/>
                <w:lang w:val="en-US" w:eastAsia="en-GB"/>
                <w14:ligatures w14:val="none"/>
              </w:rPr>
              <w:t>26  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FA844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zh-CN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zh-CN"/>
                <w14:ligatures w14:val="none"/>
              </w:rPr>
              <w:t xml:space="preserve">印度理工学院德里分校（IITD） 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B1C301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=205 </w:t>
            </w:r>
          </w:p>
        </w:tc>
      </w:tr>
      <w:tr w14:paraId="22A93068">
        <w:trPr>
          <w:trHeight w:val="309" w:hRule="atLeast"/>
          <w:jc w:val="center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9E9455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法国 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D3FF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76  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BE4AF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EE0000"/>
                <w:kern w:val="0"/>
                <w:sz w:val="16"/>
                <w:szCs w:val="16"/>
                <w:lang w:val="en-US" w:eastAsia="en-GB"/>
                <w14:ligatures w14:val="none"/>
              </w:rPr>
              <w:t>39  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0F474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FFC000"/>
                <w:kern w:val="0"/>
                <w:sz w:val="16"/>
                <w:szCs w:val="16"/>
                <w:lang w:val="en-US" w:eastAsia="en-GB"/>
                <w14:ligatures w14:val="none"/>
              </w:rPr>
              <w:t>11  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EC8AD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B050"/>
                <w:kern w:val="0"/>
                <w:sz w:val="16"/>
                <w:szCs w:val="16"/>
                <w:lang w:val="en-US" w:eastAsia="en-GB"/>
                <w14:ligatures w14:val="none"/>
              </w:rPr>
              <w:t>7  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57A13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-42% 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3913F4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70C0"/>
                <w:kern w:val="0"/>
                <w:sz w:val="16"/>
                <w:szCs w:val="16"/>
                <w:lang w:val="en-US" w:eastAsia="en-GB"/>
                <w14:ligatures w14:val="none"/>
              </w:rPr>
              <w:t>19  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BF449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巴黎萨克雷大学 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B74399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45 </w:t>
            </w:r>
          </w:p>
        </w:tc>
      </w:tr>
      <w:tr w14:paraId="2024BA9C">
        <w:trPr>
          <w:trHeight w:val="309" w:hRule="atLeast"/>
          <w:jc w:val="center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2C7D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德国 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A716F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65  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CE645F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EE0000"/>
                <w:kern w:val="0"/>
                <w:sz w:val="16"/>
                <w:szCs w:val="16"/>
                <w:lang w:val="en-US" w:eastAsia="en-GB"/>
                <w14:ligatures w14:val="none"/>
              </w:rPr>
              <w:t>37  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D816E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FFC000"/>
                <w:kern w:val="0"/>
                <w:sz w:val="16"/>
                <w:szCs w:val="16"/>
                <w:lang w:val="en-US" w:eastAsia="en-GB"/>
                <w14:ligatures w14:val="none"/>
              </w:rPr>
              <w:t>0  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B2889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B050"/>
                <w:kern w:val="0"/>
                <w:sz w:val="16"/>
                <w:szCs w:val="16"/>
                <w:lang w:val="en-US" w:eastAsia="en-GB"/>
                <w14:ligatures w14:val="none"/>
              </w:rPr>
              <w:t>12  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EE5DD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-38% 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E51DCF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70C0"/>
                <w:kern w:val="0"/>
                <w:sz w:val="16"/>
                <w:szCs w:val="16"/>
                <w:lang w:val="en-US" w:eastAsia="en-GB"/>
                <w14:ligatures w14:val="none"/>
              </w:rPr>
              <w:t>16  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B575D3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汉堡大学 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760182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46 </w:t>
            </w:r>
          </w:p>
        </w:tc>
      </w:tr>
      <w:tr w14:paraId="3A17488F">
        <w:trPr>
          <w:trHeight w:val="309" w:hRule="atLeast"/>
          <w:jc w:val="center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7B91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西班牙 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510C1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58  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0B50D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EE0000"/>
                <w:kern w:val="0"/>
                <w:sz w:val="16"/>
                <w:szCs w:val="16"/>
                <w:lang w:val="en-US" w:eastAsia="en-GB"/>
                <w14:ligatures w14:val="none"/>
              </w:rPr>
              <w:t>32  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E6DCA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FFC000"/>
                <w:kern w:val="0"/>
                <w:sz w:val="16"/>
                <w:szCs w:val="16"/>
                <w:lang w:val="en-US" w:eastAsia="en-GB"/>
                <w14:ligatures w14:val="none"/>
              </w:rPr>
              <w:t>2  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6D5D2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B050"/>
                <w:kern w:val="0"/>
                <w:sz w:val="16"/>
                <w:szCs w:val="16"/>
                <w:lang w:val="en-US" w:eastAsia="en-GB"/>
                <w14:ligatures w14:val="none"/>
              </w:rPr>
              <w:t>9  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5A172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-40% 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FF692F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70C0"/>
                <w:kern w:val="0"/>
                <w:sz w:val="16"/>
                <w:szCs w:val="16"/>
                <w:lang w:val="en-US" w:eastAsia="en-GB"/>
                <w14:ligatures w14:val="none"/>
              </w:rPr>
              <w:t>15  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72F09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巴塞罗那自治大学 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849365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=92 </w:t>
            </w:r>
          </w:p>
        </w:tc>
      </w:tr>
      <w:tr w14:paraId="14400B6A">
        <w:trPr>
          <w:trHeight w:val="309" w:hRule="atLeast"/>
          <w:jc w:val="center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758A3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意大利 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03205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57  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BA444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EE0000"/>
                <w:kern w:val="0"/>
                <w:sz w:val="16"/>
                <w:szCs w:val="16"/>
                <w:lang w:val="en-US" w:eastAsia="en-GB"/>
                <w14:ligatures w14:val="none"/>
              </w:rPr>
              <w:t>30  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96BE5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FFC000"/>
                <w:kern w:val="0"/>
                <w:sz w:val="16"/>
                <w:szCs w:val="16"/>
                <w:lang w:val="en-US" w:eastAsia="en-GB"/>
                <w14:ligatures w14:val="none"/>
              </w:rPr>
              <w:t>6  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CE398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B050"/>
                <w:kern w:val="0"/>
                <w:sz w:val="16"/>
                <w:szCs w:val="16"/>
                <w:lang w:val="en-US" w:eastAsia="en-GB"/>
                <w14:ligatures w14:val="none"/>
              </w:rPr>
              <w:t>16  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408EC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-25% 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87233E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70C0"/>
                <w:kern w:val="0"/>
                <w:sz w:val="16"/>
                <w:szCs w:val="16"/>
                <w:lang w:val="en-US" w:eastAsia="en-GB"/>
                <w14:ligatures w14:val="none"/>
              </w:rPr>
              <w:t>5  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5FF5B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帕多瓦大学 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6322EF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=121 </w:t>
            </w:r>
          </w:p>
        </w:tc>
      </w:tr>
      <w:tr w14:paraId="29D1F2BA">
        <w:trPr>
          <w:trHeight w:val="309" w:hRule="atLeast"/>
          <w:jc w:val="center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28ACA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土耳其 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36ACF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53  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7551C0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EE0000"/>
                <w:kern w:val="0"/>
                <w:sz w:val="16"/>
                <w:szCs w:val="16"/>
                <w:lang w:val="en-US" w:eastAsia="en-GB"/>
                <w14:ligatures w14:val="none"/>
              </w:rPr>
              <w:t>11  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E28B1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FFC000"/>
                <w:kern w:val="0"/>
                <w:sz w:val="16"/>
                <w:szCs w:val="16"/>
                <w:lang w:val="en-US" w:eastAsia="en-GB"/>
                <w14:ligatures w14:val="none"/>
              </w:rPr>
              <w:t>5  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BBE2E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B050"/>
                <w:kern w:val="0"/>
                <w:sz w:val="16"/>
                <w:szCs w:val="16"/>
                <w:lang w:val="en-US" w:eastAsia="en-GB"/>
                <w14:ligatures w14:val="none"/>
              </w:rPr>
              <w:t>19  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BC72D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16"/>
                <w:szCs w:val="16"/>
                <w:lang w:val="en-US" w:eastAsia="en-GB"/>
                <w14:ligatures w14:val="none"/>
              </w:rPr>
              <w:t>15% 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D4C25E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70C0"/>
                <w:kern w:val="0"/>
                <w:sz w:val="16"/>
                <w:szCs w:val="16"/>
                <w:lang w:val="en-US" w:eastAsia="en-GB"/>
                <w14:ligatures w14:val="none"/>
              </w:rPr>
              <w:t>18  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3172C2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科克大学 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0C3173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329 </w:t>
            </w:r>
          </w:p>
        </w:tc>
      </w:tr>
      <w:tr w14:paraId="18687093">
        <w:trPr>
          <w:trHeight w:val="309" w:hRule="atLeast"/>
          <w:jc w:val="center"/>
        </w:trPr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99D6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韩国 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8CF29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48  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04836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EE0000"/>
                <w:kern w:val="0"/>
                <w:sz w:val="16"/>
                <w:szCs w:val="16"/>
                <w:lang w:val="en-US" w:eastAsia="en-GB"/>
                <w14:ligatures w14:val="none"/>
              </w:rPr>
              <w:t>14  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F242C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FFC000"/>
                <w:kern w:val="0"/>
                <w:sz w:val="16"/>
                <w:szCs w:val="16"/>
                <w:lang w:val="en-US" w:eastAsia="en-GB"/>
                <w14:ligatures w14:val="none"/>
              </w:rPr>
              <w:t>3  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B7CD6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B050"/>
                <w:kern w:val="0"/>
                <w:sz w:val="16"/>
                <w:szCs w:val="16"/>
                <w:lang w:val="en-US" w:eastAsia="en-GB"/>
                <w14:ligatures w14:val="none"/>
              </w:rPr>
              <w:t>27  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0D0D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>27% 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38C3AA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70C0"/>
                <w:kern w:val="0"/>
                <w:sz w:val="16"/>
                <w:szCs w:val="16"/>
                <w:lang w:val="en-US" w:eastAsia="en-GB"/>
                <w14:ligatures w14:val="none"/>
              </w:rPr>
              <w:t>4  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B71863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首尔国立大学 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F80AE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6"/>
                <w:szCs w:val="16"/>
                <w:lang w:val="en-US" w:eastAsia="en-GB"/>
                <w14:ligatures w14:val="none"/>
              </w:rPr>
              <w:t xml:space="preserve">=37 </w:t>
            </w:r>
          </w:p>
        </w:tc>
      </w:tr>
    </w:tbl>
    <w:p w14:paraId="5A819181">
      <w:pPr>
        <w:rPr>
          <w:rFonts w:ascii="Calibri" w:hAnsi="Calibri" w:cs="Calibri"/>
        </w:rPr>
      </w:pPr>
    </w:p>
    <w:p w14:paraId="3AE69302">
      <w:pPr>
        <w:spacing w:after="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hAnsi="Calibri" w:eastAsia="Times New Roman" w:cs="Calibri"/>
          <w:i/>
          <w:iCs/>
          <w:kern w:val="0"/>
          <w:sz w:val="22"/>
          <w:szCs w:val="22"/>
          <w:lang w:val="en-US" w:eastAsia="zh-CN"/>
          <w14:ligatures w14:val="none"/>
        </w:rPr>
        <w:t>QS世界大学可持续发展排名2026的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评估方法基于高校在三大评估维度上的表现：  </w:t>
      </w:r>
    </w:p>
    <w:p w14:paraId="3AA274B1">
      <w:pPr>
        <w:pStyle w:val="34"/>
        <w:numPr>
          <w:ilvl w:val="0"/>
          <w:numId w:val="1"/>
        </w:numPr>
        <w:spacing w:after="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hAnsi="Calibri" w:eastAsia="Times New Roman" w:cs="Calibri"/>
          <w:b/>
          <w:bCs/>
          <w:i/>
          <w:iCs/>
          <w:kern w:val="0"/>
          <w:sz w:val="22"/>
          <w:szCs w:val="22"/>
          <w:lang w:val="en-US" w:eastAsia="zh-CN"/>
          <w14:ligatures w14:val="none"/>
        </w:rPr>
        <w:t>环境影响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（45%——整合三大维度：</w:t>
      </w:r>
      <w:r>
        <w:rPr>
          <w:rFonts w:ascii="Calibri" w:hAnsi="Calibri" w:eastAsia="Times New Roman" w:cs="Calibri"/>
          <w:i/>
          <w:iCs/>
          <w:kern w:val="0"/>
          <w:sz w:val="22"/>
          <w:szCs w:val="22"/>
          <w:lang w:val="en-US" w:eastAsia="zh-CN"/>
          <w14:ligatures w14:val="none"/>
        </w:rPr>
        <w:t>环境可持续性、环境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教育</w:t>
      </w:r>
      <w:r>
        <w:rPr>
          <w:rFonts w:ascii="Calibri" w:hAnsi="Calibri" w:eastAsia="Times New Roman" w:cs="Calibri"/>
          <w:i/>
          <w:iCs/>
          <w:kern w:val="0"/>
          <w:sz w:val="22"/>
          <w:szCs w:val="22"/>
          <w:lang w:val="en-US" w:eastAsia="zh-CN"/>
          <w14:ligatures w14:val="none"/>
        </w:rPr>
        <w:t xml:space="preserve">与环境研究） </w:t>
      </w:r>
    </w:p>
    <w:p w14:paraId="0563704A">
      <w:pPr>
        <w:pStyle w:val="34"/>
        <w:numPr>
          <w:ilvl w:val="0"/>
          <w:numId w:val="1"/>
        </w:numPr>
        <w:spacing w:after="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hAnsi="Calibri" w:eastAsia="Times New Roman" w:cs="Calibri"/>
          <w:b/>
          <w:bCs/>
          <w:i/>
          <w:iCs/>
          <w:kern w:val="0"/>
          <w:sz w:val="22"/>
          <w:szCs w:val="22"/>
          <w:lang w:val="en-US" w:eastAsia="zh-CN"/>
          <w14:ligatures w14:val="none"/>
        </w:rPr>
        <w:t>社会影响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（45%——整合五大维度：</w:t>
      </w:r>
      <w:r>
        <w:rPr>
          <w:rFonts w:ascii="Calibri" w:hAnsi="Calibri" w:eastAsia="Times New Roman" w:cs="Calibri"/>
          <w:i/>
          <w:iCs/>
          <w:kern w:val="0"/>
          <w:sz w:val="22"/>
          <w:szCs w:val="22"/>
          <w:lang w:val="en-US" w:eastAsia="zh-CN"/>
          <w14:ligatures w14:val="none"/>
        </w:rPr>
        <w:t>平等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、</w:t>
      </w:r>
      <w:r>
        <w:rPr>
          <w:rFonts w:ascii="Calibri" w:hAnsi="Calibri" w:eastAsia="Times New Roman" w:cs="Calibri"/>
          <w:i/>
          <w:iCs/>
          <w:kern w:val="0"/>
          <w:sz w:val="22"/>
          <w:szCs w:val="22"/>
          <w:lang w:val="en-US" w:eastAsia="zh-CN"/>
          <w14:ligatures w14:val="none"/>
        </w:rPr>
        <w:t>知识交流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、</w:t>
      </w:r>
      <w:r>
        <w:rPr>
          <w:rFonts w:ascii="Calibri" w:hAnsi="Calibri" w:eastAsia="Times New Roman" w:cs="Calibri"/>
          <w:i/>
          <w:iCs/>
          <w:kern w:val="0"/>
          <w:sz w:val="22"/>
          <w:szCs w:val="22"/>
          <w:lang w:val="en-US" w:eastAsia="zh-CN"/>
          <w14:ligatures w14:val="none"/>
        </w:rPr>
        <w:t>教育影响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、</w:t>
      </w:r>
      <w:r>
        <w:rPr>
          <w:rFonts w:ascii="Calibri" w:hAnsi="Calibri" w:eastAsia="Times New Roman" w:cs="Calibri"/>
          <w:i/>
          <w:iCs/>
          <w:kern w:val="0"/>
          <w:sz w:val="22"/>
          <w:szCs w:val="22"/>
          <w:lang w:val="en-US" w:eastAsia="zh-CN"/>
          <w14:ligatures w14:val="none"/>
        </w:rPr>
        <w:t>就业能力与成果、健康与福祉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 xml:space="preserve">） </w:t>
      </w:r>
    </w:p>
    <w:p w14:paraId="52D76D05">
      <w:pPr>
        <w:pStyle w:val="34"/>
        <w:numPr>
          <w:ilvl w:val="0"/>
          <w:numId w:val="1"/>
        </w:numPr>
        <w:spacing w:after="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hAnsi="Calibri" w:eastAsia="Times New Roman" w:cs="Calibri"/>
          <w:b/>
          <w:bCs/>
          <w:i/>
          <w:iCs/>
          <w:kern w:val="0"/>
          <w:sz w:val="22"/>
          <w:szCs w:val="22"/>
          <w:lang w:val="en-US" w:eastAsia="zh-CN"/>
          <w14:ligatures w14:val="none"/>
        </w:rPr>
        <w:t>治理</w:t>
      </w:r>
      <w:r>
        <w:rPr>
          <w:rFonts w:ascii="Calibri" w:hAnsi="Calibri" w:eastAsia="Times New Roman" w:cs="Calibri"/>
          <w:kern w:val="0"/>
          <w:sz w:val="22"/>
          <w:szCs w:val="22"/>
          <w:lang w:val="en-US" w:eastAsia="zh-CN"/>
          <w14:ligatures w14:val="none"/>
        </w:rPr>
        <w:t>（10%——考量良好治理相关因素：道德规范、招聘实践、透明度、决策机制等）</w:t>
      </w:r>
    </w:p>
    <w:p w14:paraId="19089A02">
      <w:pPr>
        <w:spacing w:after="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zh-CN"/>
          <w14:ligatures w14:val="none"/>
        </w:rPr>
      </w:pPr>
    </w:p>
    <w:p w14:paraId="5C67F93B">
      <w:pPr>
        <w:spacing w:after="0" w:line="360" w:lineRule="auto"/>
        <w:textAlignment w:val="baseline"/>
        <w:rPr>
          <w:rFonts w:ascii="Calibri" w:hAnsi="Calibri" w:eastAsia="Times New Roman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hAnsi="Calibri" w:eastAsia="Times New Roman" w:cs="Calibri"/>
          <w:kern w:val="0"/>
          <w:sz w:val="22"/>
          <w:szCs w:val="22"/>
          <w:lang w:eastAsia="zh-CN"/>
          <w14:ligatures w14:val="none"/>
        </w:rPr>
        <w:t>下表展示了QS各评估类别及维度中中国</w:t>
      </w:r>
      <w:r>
        <w:rPr>
          <w:rFonts w:hint="eastAsia" w:ascii="Calibri" w:hAnsi="Calibri" w:eastAsia="Times New Roman" w:cs="Calibri"/>
          <w:kern w:val="0"/>
          <w:sz w:val="22"/>
          <w:szCs w:val="22"/>
          <w:lang w:eastAsia="zh-CN"/>
          <w14:ligatures w14:val="none"/>
        </w:rPr>
        <w:t>内地</w:t>
      </w:r>
      <w:r>
        <w:rPr>
          <w:rFonts w:ascii="Calibri" w:hAnsi="Calibri" w:eastAsia="Times New Roman" w:cs="Calibri"/>
          <w:kern w:val="0"/>
          <w:sz w:val="22"/>
          <w:szCs w:val="22"/>
          <w:lang w:eastAsia="zh-CN"/>
          <w14:ligatures w14:val="none"/>
        </w:rPr>
        <w:t>表现最突出的高校。</w:t>
      </w:r>
    </w:p>
    <w:tbl>
      <w:tblPr>
        <w:tblStyle w:val="15"/>
        <w:tblW w:w="99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1110"/>
        <w:gridCol w:w="2433"/>
        <w:gridCol w:w="1523"/>
        <w:gridCol w:w="2560"/>
      </w:tblGrid>
      <w:tr w14:paraId="0F4DF5B4">
        <w:trPr>
          <w:trHeight w:val="300" w:hRule="atLeast"/>
          <w:jc w:val="center"/>
        </w:trPr>
        <w:tc>
          <w:tcPr>
            <w:tcW w:w="9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25D249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8"/>
                <w:szCs w:val="18"/>
                <w:lang w:eastAsia="zh-CN"/>
                <w14:ligatures w14:val="none"/>
              </w:rPr>
              <w:t>表4：各类别及指标国内领先院校</w:t>
            </w:r>
          </w:p>
        </w:tc>
      </w:tr>
      <w:tr w14:paraId="2C635089"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D7B04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fldChar w:fldCharType="begin"/>
            </w:r>
            <w:r>
              <w:instrText xml:space="preserve"> HYPERLINK "https://support.qs.com/hc/en-gb/articles/8551503200668-QS-World-University-Rankings-Sustainability" </w:instrText>
            </w:r>
            <w:r>
              <w:fldChar w:fldCharType="separate"/>
            </w:r>
            <w:r>
              <w:rPr>
                <w:rStyle w:val="19"/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绩效维度</w:t>
            </w:r>
            <w:r>
              <w:rPr>
                <w:rStyle w:val="19"/>
                <w:rFonts w:ascii="Calibri" w:hAnsi="Calibri" w:eastAsia="Times New Roman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fldChar w:fldCharType="end"/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91EB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权重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F832A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国内领先者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BD17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指标排名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387E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综合排名</w:t>
            </w:r>
          </w:p>
        </w:tc>
      </w:tr>
      <w:tr w14:paraId="45BEB897"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791567DD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社会影响力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453E90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45%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0C2D2693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复旦大学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3B2D99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191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5F5E75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140</w:t>
            </w:r>
          </w:p>
        </w:tc>
      </w:tr>
      <w:tr w14:paraId="3DDD47A7"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BC4C67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平等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CBD3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12%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7225D1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青岛大学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2198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490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D2C5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585</w:t>
            </w:r>
          </w:p>
        </w:tc>
      </w:tr>
      <w:tr w14:paraId="1BD820DC"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12AECD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知识交流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C8E6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10%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346349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上海交通大学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D1AD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48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0585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=183</w:t>
            </w:r>
          </w:p>
        </w:tc>
      </w:tr>
      <w:tr w14:paraId="21BF0F4A"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7166BF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教育影响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7F8A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7%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F2080D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清华大学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2BBE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264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3BF8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446</w:t>
            </w:r>
          </w:p>
        </w:tc>
      </w:tr>
      <w:tr w14:paraId="7D911BE4"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BA3D96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就业能力与成果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D963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11%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D2E3C9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清华大学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793F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72F0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446</w:t>
            </w:r>
          </w:p>
        </w:tc>
      </w:tr>
      <w:tr w14:paraId="6EAE7999"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E806B2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健康与福祉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55A0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5%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03ACAE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复旦大学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0450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378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7ED4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140</w:t>
            </w:r>
          </w:p>
        </w:tc>
      </w:tr>
      <w:tr w14:paraId="140AF0A5"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367BE422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环境影响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49EBC8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45%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75755397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复旦大学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3114BF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120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03F2C8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140</w:t>
            </w:r>
          </w:p>
        </w:tc>
      </w:tr>
      <w:tr w14:paraId="51180F58"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BEAD75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环境可持续性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1107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15%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67A97D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上海交通大学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DE09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145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0F61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=183</w:t>
            </w:r>
          </w:p>
        </w:tc>
      </w:tr>
      <w:tr w14:paraId="493AF975"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1190E4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环境教育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F040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17%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DC3919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复旦大学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875A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71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96D3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140</w:t>
            </w:r>
          </w:p>
        </w:tc>
      </w:tr>
      <w:tr w14:paraId="5B03A14C"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80E20E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环境研究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6D2A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13%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F6BF67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上海交通大学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19DD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167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473D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=183</w:t>
            </w:r>
          </w:p>
        </w:tc>
      </w:tr>
      <w:tr w14:paraId="716FF3E9"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354FBD4C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治理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4F1DDA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10%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47559003">
            <w:pPr>
              <w:spacing w:after="0" w:line="240" w:lineRule="auto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复旦大学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38829F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164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8C8C4"/>
            <w:noWrap/>
            <w:vAlign w:val="bottom"/>
          </w:tcPr>
          <w:p w14:paraId="062FC3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1D1D1B"/>
                <w:kern w:val="0"/>
                <w:sz w:val="18"/>
                <w:szCs w:val="18"/>
                <w:lang w:eastAsia="en-GB"/>
                <w14:ligatures w14:val="none"/>
              </w:rPr>
              <w:t>140</w:t>
            </w:r>
          </w:p>
        </w:tc>
      </w:tr>
    </w:tbl>
    <w:p w14:paraId="358EF1B1">
      <w:pPr>
        <w:rPr>
          <w:rFonts w:ascii="Calibri" w:hAnsi="Calibri" w:cs="Calibri"/>
        </w:rPr>
      </w:pPr>
    </w:p>
    <w:p w14:paraId="750CE6F5">
      <w:pPr>
        <w:spacing w:line="360" w:lineRule="auto"/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>全球背景：中国有望崛起为卓越的绿色超级大国</w:t>
      </w:r>
    </w:p>
    <w:p w14:paraId="6D28AF08">
      <w:pPr>
        <w:spacing w:line="360" w:lineRule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hint="eastAsia" w:ascii="Calibri" w:hAnsi="Calibri" w:cs="Calibri"/>
          <w:sz w:val="22"/>
          <w:szCs w:val="22"/>
          <w:lang w:eastAsia="zh-CN"/>
        </w:rPr>
        <w:t xml:space="preserve">尽管在部分领域仍与全球顶尖院校存在差距，近年来中国（内地）高校在世界大学排名中的表现持续提升，反映出位于中国经济战略核心的大规模投资与创新驱动。这一趋势不仅彰显中国教育实力的增长，也显示了其在可持续发展领域成为新领军者的潜力——在一些传统竞争者逐渐淡出之际，中国高校正加快布局。  </w:t>
      </w:r>
    </w:p>
    <w:p w14:paraId="58690381">
      <w:pPr>
        <w:spacing w:line="360" w:lineRule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hint="eastAsia" w:ascii="Calibri" w:hAnsi="Calibri" w:cs="Calibri"/>
          <w:sz w:val="22"/>
          <w:szCs w:val="22"/>
          <w:lang w:eastAsia="zh-CN"/>
        </w:rPr>
        <w:t>根据中国的“</w:t>
      </w:r>
      <w:r>
        <w:rPr>
          <w:rFonts w:ascii="Calibri" w:hAnsi="Calibri" w:cs="Calibri"/>
          <w:sz w:val="22"/>
          <w:szCs w:val="22"/>
          <w:lang w:eastAsia="zh-CN"/>
        </w:rPr>
        <w:fldChar w:fldCharType="begin"/>
      </w:r>
      <w:r>
        <w:rPr>
          <w:rFonts w:hint="eastAsia" w:ascii="Calibri" w:hAnsi="Calibri" w:cs="Calibri"/>
          <w:sz w:val="22"/>
          <w:szCs w:val="22"/>
          <w:lang w:eastAsia="zh-CN"/>
        </w:rPr>
        <w:instrText xml:space="preserve">HYPERLINK "https://en.ndrc.gov.cn/policies/202110/t20211024_1300725.html"</w:instrText>
      </w:r>
      <w:r>
        <w:rPr>
          <w:rFonts w:ascii="Calibri" w:hAnsi="Calibri" w:cs="Calibri"/>
          <w:sz w:val="22"/>
          <w:szCs w:val="22"/>
          <w:lang w:eastAsia="zh-CN"/>
        </w:rPr>
        <w:fldChar w:fldCharType="separate"/>
      </w:r>
      <w:r>
        <w:rPr>
          <w:rStyle w:val="19"/>
          <w:rFonts w:hint="eastAsia" w:ascii="Calibri" w:hAnsi="Calibri" w:cs="Calibri"/>
          <w:sz w:val="22"/>
          <w:szCs w:val="22"/>
          <w:lang w:eastAsia="zh-CN"/>
        </w:rPr>
        <w:t>双碳</w:t>
      </w:r>
      <w:r>
        <w:rPr>
          <w:rFonts w:ascii="Calibri" w:hAnsi="Calibri" w:cs="Calibri"/>
          <w:sz w:val="22"/>
          <w:szCs w:val="22"/>
          <w:lang w:eastAsia="zh-CN"/>
        </w:rPr>
        <w:fldChar w:fldCharType="end"/>
      </w:r>
      <w:r>
        <w:rPr>
          <w:rFonts w:hint="eastAsia" w:ascii="Calibri" w:hAnsi="Calibri" w:cs="Calibri"/>
          <w:sz w:val="22"/>
          <w:szCs w:val="22"/>
          <w:lang w:eastAsia="zh-CN"/>
        </w:rPr>
        <w:t>”治理框架，中国承诺在2030年前达到二氧化碳排放峰值，并在2060年前实现碳中和。最新数据显示，</w:t>
      </w:r>
      <w:r>
        <w:rPr>
          <w:rFonts w:ascii="Calibri" w:hAnsi="Calibri" w:cs="Calibri"/>
          <w:sz w:val="22"/>
          <w:szCs w:val="22"/>
          <w:lang w:eastAsia="zh-CN"/>
        </w:rPr>
        <w:fldChar w:fldCharType="begin"/>
      </w:r>
      <w:r>
        <w:rPr>
          <w:rFonts w:hint="eastAsia" w:ascii="Calibri" w:hAnsi="Calibri" w:cs="Calibri"/>
          <w:sz w:val="22"/>
          <w:szCs w:val="22"/>
          <w:lang w:eastAsia="zh-CN"/>
        </w:rPr>
        <w:instrText xml:space="preserve">HYPERLINK "https://www.weforum.org/stories/2025/07/chinas-green-transformation/"</w:instrText>
      </w:r>
      <w:r>
        <w:rPr>
          <w:rFonts w:ascii="Calibri" w:hAnsi="Calibri" w:cs="Calibri"/>
          <w:sz w:val="22"/>
          <w:szCs w:val="22"/>
          <w:lang w:eastAsia="zh-CN"/>
        </w:rPr>
        <w:fldChar w:fldCharType="separate"/>
      </w:r>
      <w:r>
        <w:rPr>
          <w:rStyle w:val="19"/>
          <w:rFonts w:hint="eastAsia" w:ascii="Calibri" w:hAnsi="Calibri" w:cs="Calibri"/>
          <w:sz w:val="22"/>
          <w:szCs w:val="22"/>
          <w:lang w:eastAsia="zh-CN"/>
        </w:rPr>
        <w:t xml:space="preserve">中国在2024年投入约8180亿美元用于相关领域，比其他任何经济体的投资额翻倍以上，支撑了其雄心勃勃的绿色转型目标。 </w:t>
      </w:r>
      <w:r>
        <w:rPr>
          <w:rFonts w:ascii="Calibri" w:hAnsi="Calibri" w:cs="Calibri"/>
          <w:sz w:val="22"/>
          <w:szCs w:val="22"/>
          <w:lang w:eastAsia="zh-CN"/>
        </w:rPr>
        <w:fldChar w:fldCharType="end"/>
      </w:r>
      <w:r>
        <w:rPr>
          <w:rFonts w:hint="eastAsia" w:ascii="Calibri" w:hAnsi="Calibri" w:cs="Calibri"/>
          <w:sz w:val="22"/>
          <w:szCs w:val="22"/>
          <w:lang w:eastAsia="zh-CN"/>
        </w:rPr>
        <w:t xml:space="preserve"> </w:t>
      </w:r>
    </w:p>
    <w:p w14:paraId="3E4E5BEC">
      <w:pPr>
        <w:spacing w:line="360" w:lineRule="auto"/>
        <w:rPr>
          <w:rFonts w:ascii="Calibri" w:hAnsi="Calibri" w:cs="Calibri"/>
          <w:sz w:val="22"/>
          <w:szCs w:val="22"/>
          <w:lang w:eastAsia="zh-CN"/>
        </w:rPr>
      </w:pPr>
      <w:r>
        <w:fldChar w:fldCharType="begin"/>
      </w:r>
      <w:r>
        <w:instrText xml:space="preserve"> HYPERLINK "https://policycn.com/public/commentaries/education-deemed-crucial-for-a-green-future" </w:instrText>
      </w:r>
      <w:r>
        <w:fldChar w:fldCharType="separate"/>
      </w:r>
      <w:r>
        <w:rPr>
          <w:rStyle w:val="19"/>
          <w:rFonts w:ascii="Calibri" w:hAnsi="Calibri" w:cs="Calibri"/>
          <w:sz w:val="22"/>
          <w:szCs w:val="22"/>
          <w:lang w:eastAsia="zh-CN"/>
        </w:rPr>
        <w:t>高等教育在中国</w:t>
      </w:r>
      <w:r>
        <w:rPr>
          <w:rStyle w:val="19"/>
          <w:rFonts w:ascii="Calibri" w:hAnsi="Calibri" w:cs="Calibri"/>
          <w:sz w:val="22"/>
          <w:szCs w:val="22"/>
          <w:lang w:eastAsia="zh-CN"/>
        </w:rPr>
        <w:fldChar w:fldCharType="end"/>
      </w:r>
      <w:r>
        <w:rPr>
          <w:rFonts w:ascii="Calibri" w:hAnsi="Calibri" w:cs="Calibri"/>
          <w:sz w:val="22"/>
          <w:szCs w:val="22"/>
          <w:lang w:eastAsia="zh-CN"/>
        </w:rPr>
        <w:t>政府此项议程中居于</w:t>
      </w:r>
      <w:r>
        <w:fldChar w:fldCharType="begin"/>
      </w:r>
      <w:r>
        <w:instrText xml:space="preserve"> HYPERLINK "https://policycn.com/public/commentaries/education-deemed-crucial-for-a-green-future" </w:instrText>
      </w:r>
      <w:r>
        <w:fldChar w:fldCharType="separate"/>
      </w:r>
      <w:r>
        <w:rPr>
          <w:rStyle w:val="19"/>
          <w:rFonts w:ascii="Calibri" w:hAnsi="Calibri" w:cs="Calibri"/>
          <w:sz w:val="22"/>
          <w:szCs w:val="22"/>
          <w:lang w:eastAsia="zh-CN"/>
        </w:rPr>
        <w:t>核心地位</w:t>
      </w:r>
      <w:r>
        <w:rPr>
          <w:rStyle w:val="19"/>
          <w:rFonts w:ascii="Calibri" w:hAnsi="Calibri" w:cs="Calibri"/>
          <w:sz w:val="22"/>
          <w:szCs w:val="22"/>
          <w:lang w:eastAsia="zh-CN"/>
        </w:rPr>
        <w:fldChar w:fldCharType="end"/>
      </w:r>
      <w:r>
        <w:rPr>
          <w:rFonts w:ascii="Calibri" w:hAnsi="Calibri" w:cs="Calibri"/>
          <w:sz w:val="22"/>
          <w:szCs w:val="22"/>
          <w:lang w:eastAsia="zh-CN"/>
        </w:rPr>
        <w:t>，高校被赋予</w:t>
      </w:r>
      <w:r>
        <w:fldChar w:fldCharType="begin"/>
      </w:r>
      <w:r>
        <w:instrText xml:space="preserve"> HYPERLINK "http://www.moe.gov.cn/srcsite/A08/s7056/202205/t20220506_625229.html" </w:instrText>
      </w:r>
      <w:r>
        <w:fldChar w:fldCharType="separate"/>
      </w:r>
      <w:r>
        <w:rPr>
          <w:rStyle w:val="19"/>
          <w:rFonts w:ascii="Calibri" w:hAnsi="Calibri" w:cs="Calibri"/>
          <w:sz w:val="22"/>
          <w:szCs w:val="22"/>
          <w:lang w:eastAsia="zh-CN"/>
        </w:rPr>
        <w:t>通过人才培养</w:t>
      </w:r>
      <w:r>
        <w:rPr>
          <w:rStyle w:val="19"/>
          <w:rFonts w:ascii="Calibri" w:hAnsi="Calibri" w:cs="Calibri"/>
          <w:sz w:val="22"/>
          <w:szCs w:val="22"/>
          <w:lang w:eastAsia="zh-CN"/>
        </w:rPr>
        <w:fldChar w:fldCharType="end"/>
      </w:r>
      <w:r>
        <w:rPr>
          <w:rFonts w:ascii="Calibri" w:hAnsi="Calibri" w:cs="Calibri"/>
          <w:sz w:val="22"/>
          <w:szCs w:val="22"/>
          <w:lang w:eastAsia="zh-CN"/>
        </w:rPr>
        <w:t>、科研创新及校园脱碳化推进可持续发展的重要使命，</w:t>
      </w:r>
      <w:r>
        <w:fldChar w:fldCharType="begin"/>
      </w:r>
      <w:r>
        <w:instrText xml:space="preserve"> HYPERLINK "https://english.www.gov.cn/news/202504/22/content_WS680748b8c6d0868f4e8f1f64.html" </w:instrText>
      </w:r>
      <w:r>
        <w:fldChar w:fldCharType="separate"/>
      </w:r>
      <w:r>
        <w:rPr>
          <w:rStyle w:val="19"/>
          <w:rFonts w:ascii="Calibri" w:hAnsi="Calibri" w:cs="Calibri"/>
          <w:sz w:val="22"/>
          <w:szCs w:val="22"/>
          <w:lang w:eastAsia="zh-CN"/>
        </w:rPr>
        <w:t>并增设</w:t>
      </w:r>
      <w:r>
        <w:rPr>
          <w:rStyle w:val="19"/>
          <w:rFonts w:ascii="Calibri" w:hAnsi="Calibri" w:cs="Calibri"/>
          <w:sz w:val="22"/>
          <w:szCs w:val="22"/>
          <w:lang w:eastAsia="zh-CN"/>
        </w:rPr>
        <w:fldChar w:fldCharType="end"/>
      </w:r>
      <w:r>
        <w:rPr>
          <w:rFonts w:ascii="Calibri" w:hAnsi="Calibri" w:cs="Calibri"/>
          <w:i/>
          <w:iCs/>
          <w:sz w:val="22"/>
          <w:szCs w:val="22"/>
          <w:lang w:eastAsia="zh-CN"/>
        </w:rPr>
        <w:t>碳中和科学与工程等</w:t>
      </w:r>
      <w:r>
        <w:fldChar w:fldCharType="begin"/>
      </w:r>
      <w:r>
        <w:instrText xml:space="preserve"> HYPERLINK "https://english.www.gov.cn/news/202504/22/content_WS680748b8c6d0868f4e8f1f64.html" </w:instrText>
      </w:r>
      <w:r>
        <w:fldChar w:fldCharType="separate"/>
      </w:r>
      <w:r>
        <w:rPr>
          <w:rStyle w:val="19"/>
          <w:rFonts w:ascii="Calibri" w:hAnsi="Calibri" w:cs="Calibri"/>
          <w:sz w:val="22"/>
          <w:szCs w:val="22"/>
          <w:lang w:eastAsia="zh-CN"/>
        </w:rPr>
        <w:t>新专业</w:t>
      </w:r>
      <w:r>
        <w:rPr>
          <w:rStyle w:val="19"/>
          <w:rFonts w:ascii="Calibri" w:hAnsi="Calibri" w:cs="Calibri"/>
          <w:sz w:val="22"/>
          <w:szCs w:val="22"/>
          <w:lang w:eastAsia="zh-CN"/>
        </w:rPr>
        <w:fldChar w:fldCharType="end"/>
      </w:r>
      <w:r>
        <w:rPr>
          <w:rFonts w:ascii="Calibri" w:hAnsi="Calibri" w:cs="Calibri"/>
          <w:sz w:val="22"/>
          <w:szCs w:val="22"/>
          <w:lang w:eastAsia="zh-CN"/>
        </w:rPr>
        <w:t xml:space="preserve">，以强化国家战略所需的绿色人才供给链。 </w:t>
      </w:r>
    </w:p>
    <w:p w14:paraId="01691C5A">
      <w:pPr>
        <w:spacing w:line="360" w:lineRule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近期研究凸显</w:t>
      </w:r>
      <w:r>
        <w:fldChar w:fldCharType="begin"/>
      </w:r>
      <w:r>
        <w:instrText xml:space="preserve"> HYPERLINK "https://www.pjoes.com/pdf-203052-124617?filename=Moving%20Toward%20Carbon.pdf" </w:instrText>
      </w:r>
      <w:r>
        <w:fldChar w:fldCharType="separate"/>
      </w:r>
      <w:r>
        <w:rPr>
          <w:rStyle w:val="19"/>
          <w:rFonts w:ascii="Calibri" w:hAnsi="Calibri" w:cs="Calibri"/>
          <w:sz w:val="22"/>
          <w:szCs w:val="22"/>
          <w:lang w:eastAsia="zh-CN"/>
        </w:rPr>
        <w:t>教育</w:t>
      </w:r>
      <w:r>
        <w:rPr>
          <w:rStyle w:val="19"/>
          <w:rFonts w:ascii="Calibri" w:hAnsi="Calibri" w:cs="Calibri"/>
          <w:sz w:val="22"/>
          <w:szCs w:val="22"/>
          <w:lang w:eastAsia="zh-CN"/>
        </w:rPr>
        <w:fldChar w:fldCharType="end"/>
      </w:r>
      <w:r>
        <w:rPr>
          <w:rFonts w:ascii="Calibri" w:hAnsi="Calibri" w:cs="Calibri"/>
          <w:sz w:val="22"/>
          <w:szCs w:val="22"/>
          <w:lang w:eastAsia="zh-CN"/>
        </w:rPr>
        <w:t>在实现中国目标中的</w:t>
      </w:r>
      <w:r>
        <w:fldChar w:fldCharType="begin"/>
      </w:r>
      <w:r>
        <w:instrText xml:space="preserve"> HYPERLINK "https://www.pjoes.com/pdf-203052-124617?filename=Moving%20Toward%20Carbon.pdf" </w:instrText>
      </w:r>
      <w:r>
        <w:fldChar w:fldCharType="separate"/>
      </w:r>
      <w:r>
        <w:rPr>
          <w:rStyle w:val="19"/>
          <w:rFonts w:ascii="Calibri" w:hAnsi="Calibri" w:cs="Calibri"/>
          <w:sz w:val="22"/>
          <w:szCs w:val="22"/>
          <w:lang w:eastAsia="zh-CN"/>
        </w:rPr>
        <w:t>关键</w:t>
      </w:r>
      <w:r>
        <w:rPr>
          <w:rStyle w:val="19"/>
          <w:rFonts w:ascii="Calibri" w:hAnsi="Calibri" w:cs="Calibri"/>
          <w:sz w:val="22"/>
          <w:szCs w:val="22"/>
          <w:lang w:eastAsia="zh-CN"/>
        </w:rPr>
        <w:fldChar w:fldCharType="end"/>
      </w:r>
      <w:r>
        <w:fldChar w:fldCharType="begin"/>
      </w:r>
      <w:r>
        <w:instrText xml:space="preserve"> HYPERLINK "https://journals.plos.org/plosone/article?id=10.1371/journal.pone.0309546" </w:instrText>
      </w:r>
      <w:r>
        <w:fldChar w:fldCharType="separate"/>
      </w:r>
      <w:r>
        <w:rPr>
          <w:rStyle w:val="19"/>
          <w:rFonts w:ascii="Calibri" w:hAnsi="Calibri" w:cs="Calibri"/>
          <w:sz w:val="22"/>
          <w:szCs w:val="22"/>
          <w:lang w:eastAsia="zh-CN"/>
        </w:rPr>
        <w:t>作用，证据</w:t>
      </w:r>
      <w:r>
        <w:rPr>
          <w:rStyle w:val="19"/>
          <w:rFonts w:ascii="Calibri" w:hAnsi="Calibri" w:cs="Calibri"/>
          <w:sz w:val="22"/>
          <w:szCs w:val="22"/>
          <w:lang w:eastAsia="zh-CN"/>
        </w:rPr>
        <w:fldChar w:fldCharType="end"/>
      </w:r>
      <w:r>
        <w:rPr>
          <w:rFonts w:ascii="Calibri" w:hAnsi="Calibri" w:cs="Calibri"/>
          <w:sz w:val="22"/>
          <w:szCs w:val="22"/>
          <w:lang w:eastAsia="zh-CN"/>
        </w:rPr>
        <w:t>表明高等教育投入与碳强度降低呈正相关。与此同时，</w:t>
      </w:r>
      <w:r>
        <w:fldChar w:fldCharType="begin"/>
      </w:r>
      <w:r>
        <w:instrText xml:space="preserve"> HYPERLINK "https://www.unepfi.org/industries/banking/china-embarks-on-a-journey-of-esg-disclosure/" </w:instrText>
      </w:r>
      <w:r>
        <w:fldChar w:fldCharType="separate"/>
      </w:r>
      <w:r>
        <w:rPr>
          <w:rStyle w:val="19"/>
          <w:rFonts w:ascii="Calibri" w:hAnsi="Calibri" w:cs="Calibri"/>
          <w:sz w:val="22"/>
          <w:szCs w:val="22"/>
          <w:lang w:eastAsia="zh-CN"/>
        </w:rPr>
        <w:t>最新的ESG改革和强制披露</w:t>
      </w:r>
      <w:r>
        <w:rPr>
          <w:rStyle w:val="19"/>
          <w:rFonts w:ascii="Calibri" w:hAnsi="Calibri" w:cs="Calibri"/>
          <w:sz w:val="22"/>
          <w:szCs w:val="22"/>
          <w:lang w:eastAsia="zh-CN"/>
        </w:rPr>
        <w:fldChar w:fldCharType="end"/>
      </w:r>
      <w:r>
        <w:rPr>
          <w:rFonts w:ascii="Calibri" w:hAnsi="Calibri" w:cs="Calibri"/>
          <w:sz w:val="22"/>
          <w:szCs w:val="22"/>
          <w:lang w:eastAsia="zh-CN"/>
        </w:rPr>
        <w:t>框架正强化各行业的透明度，推动金融与可持续发展相融合。</w:t>
      </w:r>
    </w:p>
    <w:p w14:paraId="4208D8C7">
      <w:pPr>
        <w:spacing w:line="360" w:lineRule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在此背景下，传统竞争对手</w:t>
      </w:r>
      <w:r>
        <w:fldChar w:fldCharType="begin"/>
      </w:r>
      <w:r>
        <w:rPr>
          <w:lang w:eastAsia="zh-CN"/>
        </w:rPr>
        <w:instrText xml:space="preserve">HYPERLINK "https://eelp.law.harvard.edu/tracker/rollback-dhs-fema-ordered-to-eliminate-climate-related-work-language/"</w:instrText>
      </w:r>
      <w:r>
        <w:fldChar w:fldCharType="separate"/>
      </w:r>
      <w:r>
        <w:rPr>
          <w:rStyle w:val="19"/>
          <w:rFonts w:ascii="Calibri" w:hAnsi="Calibri" w:cs="Calibri"/>
          <w:sz w:val="22"/>
          <w:szCs w:val="22"/>
          <w:lang w:eastAsia="zh-CN"/>
        </w:rPr>
        <w:t>正撤回</w:t>
      </w:r>
      <w:r>
        <w:fldChar w:fldCharType="end"/>
      </w:r>
      <w:r>
        <w:rPr>
          <w:rFonts w:ascii="Calibri" w:hAnsi="Calibri" w:cs="Calibri"/>
          <w:sz w:val="22"/>
          <w:szCs w:val="22"/>
          <w:lang w:eastAsia="zh-CN"/>
        </w:rPr>
        <w:t>关键可持续发展措施、</w:t>
      </w:r>
      <w:r>
        <w:fldChar w:fldCharType="begin"/>
      </w:r>
      <w:r>
        <w:instrText xml:space="preserve"> HYPERLINK "https://ser-europe.org/2024/12/04/eu-green-deal-at-a-crossroads-scientists-sound-the-alarm-for-immediate-action/" </w:instrText>
      </w:r>
      <w:r>
        <w:fldChar w:fldCharType="separate"/>
      </w:r>
      <w:r>
        <w:rPr>
          <w:rStyle w:val="19"/>
          <w:rFonts w:ascii="Calibri" w:hAnsi="Calibri" w:cs="Calibri"/>
          <w:sz w:val="22"/>
          <w:szCs w:val="22"/>
          <w:lang w:eastAsia="zh-CN"/>
        </w:rPr>
        <w:t>削弱气候</w:t>
      </w:r>
      <w:r>
        <w:rPr>
          <w:rStyle w:val="19"/>
          <w:rFonts w:ascii="Calibri" w:hAnsi="Calibri" w:cs="Calibri"/>
          <w:sz w:val="22"/>
          <w:szCs w:val="22"/>
          <w:lang w:eastAsia="zh-CN"/>
        </w:rPr>
        <w:fldChar w:fldCharType="end"/>
      </w:r>
      <w:r>
        <w:rPr>
          <w:rFonts w:ascii="Calibri" w:hAnsi="Calibri" w:cs="Calibri"/>
          <w:sz w:val="22"/>
          <w:szCs w:val="22"/>
          <w:lang w:eastAsia="zh-CN"/>
        </w:rPr>
        <w:t xml:space="preserve">承诺并降低绿色倡议优先级——这些转变为中国奠定绿色超级大国地位创造了肥沃土壤。 </w:t>
      </w:r>
    </w:p>
    <w:p w14:paraId="563AF861">
      <w:pPr>
        <w:spacing w:line="360" w:lineRule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然而，中国仍是全球</w:t>
      </w:r>
      <w:r>
        <w:fldChar w:fldCharType="begin"/>
      </w:r>
      <w:r>
        <w:instrText xml:space="preserve"> HYPERLINK "https://www.ecowatch.com/china-coal-development-clean-energy.html" \h </w:instrText>
      </w:r>
      <w:r>
        <w:fldChar w:fldCharType="separate"/>
      </w:r>
      <w:r>
        <w:rPr>
          <w:rStyle w:val="19"/>
          <w:rFonts w:ascii="Calibri" w:hAnsi="Calibri" w:cs="Calibri"/>
          <w:sz w:val="22"/>
          <w:szCs w:val="22"/>
          <w:lang w:eastAsia="zh-CN"/>
        </w:rPr>
        <w:t>最大的温室气体排放</w:t>
      </w:r>
      <w:r>
        <w:rPr>
          <w:rStyle w:val="19"/>
          <w:rFonts w:ascii="Calibri" w:hAnsi="Calibri" w:cs="Calibri"/>
          <w:sz w:val="22"/>
          <w:szCs w:val="22"/>
          <w:lang w:eastAsia="zh-CN"/>
        </w:rPr>
        <w:fldChar w:fldCharType="end"/>
      </w:r>
      <w:r>
        <w:rPr>
          <w:rFonts w:ascii="Calibri" w:hAnsi="Calibri" w:cs="Calibri"/>
          <w:sz w:val="22"/>
          <w:szCs w:val="22"/>
          <w:lang w:eastAsia="zh-CN"/>
        </w:rPr>
        <w:t>国，其成功需要兑现承诺、赋能高等教育以推动创新、缩小区域资源差距、降低对煤炭的依赖、使新兴绿色技能与劳动力市场需求相匹配，并加强治理机制以确保公平高效的转型。</w:t>
      </w:r>
    </w:p>
    <w:p w14:paraId="3610FF98">
      <w:pPr>
        <w:spacing w:line="360" w:lineRule="auto"/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>中国在社会影响领域面临的挑战——健康与福祉/平等/教育影响</w:t>
      </w:r>
    </w:p>
    <w:p w14:paraId="4DB2FE18">
      <w:pPr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hint="eastAsia" w:ascii="Calibri" w:hAnsi="Calibri" w:cs="Calibri"/>
          <w:b/>
          <w:bCs/>
          <w:sz w:val="22"/>
          <w:szCs w:val="22"/>
          <w:u w:val="single"/>
          <w:lang w:eastAsia="zh-CN"/>
        </w:rPr>
        <w:t>聚焦中国（内地）</w:t>
      </w:r>
    </w:p>
    <w:p w14:paraId="68E7E19A">
      <w:pPr>
        <w:pStyle w:val="34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中国面临的主要挑战集中在社会影响方面，尤其是平等、教育影响以及健康与福祉这几个领域——在这些领域，中国</w:t>
      </w:r>
      <w:r>
        <w:rPr>
          <w:rFonts w:hint="eastAsia" w:ascii="Calibri" w:hAnsi="Calibri" w:cs="Calibri"/>
          <w:b/>
          <w:bCs/>
          <w:sz w:val="22"/>
          <w:szCs w:val="22"/>
          <w:lang w:eastAsia="zh-CN"/>
        </w:rPr>
        <w:t>（内地）</w:t>
      </w:r>
      <w:r>
        <w:rPr>
          <w:rFonts w:ascii="Calibri" w:hAnsi="Calibri" w:cs="Calibri"/>
          <w:b/>
          <w:bCs/>
          <w:sz w:val="22"/>
          <w:szCs w:val="22"/>
          <w:lang w:eastAsia="zh-CN"/>
        </w:rPr>
        <w:t>高校无一进入全球前 200 名。</w:t>
      </w:r>
      <w:r>
        <w:rPr>
          <w:rFonts w:ascii="Calibri" w:hAnsi="Calibri" w:cs="Calibri"/>
          <w:sz w:val="22"/>
          <w:szCs w:val="22"/>
          <w:lang w:eastAsia="zh-CN"/>
        </w:rPr>
        <w:br w:type="textWrapping"/>
      </w:r>
      <w:r>
        <w:rPr>
          <w:rFonts w:ascii="Calibri" w:hAnsi="Calibri" w:cs="Calibri"/>
          <w:sz w:val="22"/>
          <w:szCs w:val="22"/>
          <w:lang w:eastAsia="zh-CN"/>
        </w:rPr>
        <w:t>然而，在</w:t>
      </w:r>
      <w:r>
        <w:rPr>
          <w:rFonts w:ascii="Calibri" w:hAnsi="Calibri" w:cs="Calibri"/>
          <w:b/>
          <w:bCs/>
          <w:sz w:val="22"/>
          <w:szCs w:val="22"/>
          <w:lang w:eastAsia="zh-CN"/>
        </w:rPr>
        <w:t>知识交流</w:t>
      </w:r>
      <w:r>
        <w:rPr>
          <w:rFonts w:ascii="Calibri" w:hAnsi="Calibri" w:cs="Calibri"/>
          <w:sz w:val="22"/>
          <w:szCs w:val="22"/>
          <w:lang w:eastAsia="zh-CN"/>
        </w:rPr>
        <w:t>方面，中国</w:t>
      </w:r>
      <w:r>
        <w:rPr>
          <w:rFonts w:hint="eastAsia" w:ascii="Calibri" w:hAnsi="Calibri" w:cs="Calibri"/>
          <w:sz w:val="22"/>
          <w:szCs w:val="22"/>
          <w:lang w:eastAsia="zh-CN"/>
        </w:rPr>
        <w:t>（内地）高校</w:t>
      </w:r>
      <w:r>
        <w:rPr>
          <w:rFonts w:ascii="Calibri" w:hAnsi="Calibri" w:cs="Calibri"/>
          <w:sz w:val="22"/>
          <w:szCs w:val="22"/>
          <w:lang w:eastAsia="zh-CN"/>
        </w:rPr>
        <w:t>表现突出，有五所大学跻身该维度的全球前 100 名，这一数字与韩国并列</w:t>
      </w:r>
      <w:r>
        <w:rPr>
          <w:rFonts w:hint="eastAsia" w:ascii="Calibri" w:hAnsi="Calibri" w:cs="Calibri"/>
          <w:sz w:val="22"/>
          <w:szCs w:val="22"/>
          <w:lang w:eastAsia="zh-CN"/>
        </w:rPr>
        <w:t>，</w:t>
      </w:r>
      <w:r>
        <w:rPr>
          <w:rFonts w:ascii="Calibri" w:hAnsi="Calibri" w:cs="Calibri"/>
          <w:sz w:val="22"/>
          <w:szCs w:val="22"/>
          <w:lang w:eastAsia="zh-CN"/>
        </w:rPr>
        <w:t>为亚洲最高。</w:t>
      </w:r>
    </w:p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684"/>
        <w:gridCol w:w="1125"/>
        <w:gridCol w:w="1050"/>
        <w:gridCol w:w="1020"/>
      </w:tblGrid>
      <w:tr w14:paraId="6C9A1AAC">
        <w:trPr>
          <w:trHeight w:val="300" w:hRule="atLeast"/>
          <w:jc w:val="center"/>
        </w:trPr>
        <w:tc>
          <w:tcPr>
            <w:tcW w:w="7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6F8831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eastAsia="zh-CN"/>
              </w:rPr>
              <w:t>表5：就业能力与成果领域中国</w:t>
            </w:r>
            <w:r>
              <w:rPr>
                <w:rFonts w:hint="eastAsia" w:ascii="Microsoft JhengHei" w:hAnsi="Microsoft JhengHei" w:eastAsia="Microsoft JhengHei" w:cs="Microsoft JhengHei"/>
                <w:b/>
                <w:bCs/>
                <w:sz w:val="20"/>
                <w:szCs w:val="20"/>
                <w:lang w:eastAsia="zh-CN"/>
              </w:rPr>
              <w:t>（内地）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eastAsia="zh-CN"/>
              </w:rPr>
              <w:t>高校百强榜单</w:t>
            </w:r>
          </w:p>
        </w:tc>
      </w:tr>
      <w:tr w14:paraId="6E411137">
        <w:trPr>
          <w:trHeight w:val="30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BDD8">
            <w:pPr>
              <w:spacing w:after="0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综合排名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81F7">
            <w:pPr>
              <w:spacing w:after="0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院校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1681">
            <w:pPr>
              <w:spacing w:after="0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指标得分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BA57">
            <w:pPr>
              <w:spacing w:after="0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指标排名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26E7">
            <w:pPr>
              <w:spacing w:after="0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变化</w:t>
            </w:r>
          </w:p>
        </w:tc>
      </w:tr>
      <w:tr w14:paraId="5CC1F8BC">
        <w:trPr>
          <w:trHeight w:val="30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D839">
            <w:pPr>
              <w:spacing w:after="0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446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4C3E">
            <w:pPr>
              <w:spacing w:after="0"/>
            </w:pPr>
            <w:r>
              <w:rPr>
                <w:rFonts w:ascii="Calibri" w:hAnsi="Calibri" w:eastAsia="Calibri" w:cs="Calibri"/>
                <w:sz w:val="20"/>
                <w:szCs w:val="20"/>
              </w:rPr>
              <w:t>清华大学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04CA">
            <w:pPr>
              <w:spacing w:after="0"/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</w:rPr>
              <w:t>98.6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0EE5">
            <w:pPr>
              <w:spacing w:after="0"/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554B">
            <w:pPr>
              <w:spacing w:after="0"/>
              <w:jc w:val="center"/>
            </w:pPr>
            <w:r>
              <w:rPr>
                <w:rFonts w:ascii="Calibri" w:hAnsi="Calibri" w:eastAsia="Calibri" w:cs="Calibri"/>
                <w:color w:val="FF0000"/>
                <w:sz w:val="20"/>
                <w:szCs w:val="20"/>
              </w:rPr>
              <w:t>7</w:t>
            </w:r>
          </w:p>
        </w:tc>
      </w:tr>
      <w:tr w14:paraId="23DFBF23">
        <w:trPr>
          <w:trHeight w:val="30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33E1">
            <w:pPr>
              <w:spacing w:after="0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=533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BB78">
            <w:pPr>
              <w:spacing w:after="0"/>
            </w:pPr>
            <w:r>
              <w:rPr>
                <w:rFonts w:ascii="Calibri" w:hAnsi="Calibri" w:eastAsia="Calibri" w:cs="Calibri"/>
                <w:sz w:val="20"/>
                <w:szCs w:val="20"/>
              </w:rPr>
              <w:t>浙江大学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AB12">
            <w:pPr>
              <w:spacing w:after="0"/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</w:rPr>
              <w:t>98.5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651D">
            <w:pPr>
              <w:spacing w:after="0"/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</w:rPr>
              <w:t>53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48D1">
            <w:pPr>
              <w:spacing w:after="0"/>
              <w:jc w:val="center"/>
            </w:pPr>
            <w:r>
              <w:rPr>
                <w:rFonts w:ascii="Calibri" w:hAnsi="Calibri" w:eastAsia="Calibri" w:cs="Calibri"/>
                <w:color w:val="FF0000"/>
                <w:sz w:val="20"/>
                <w:szCs w:val="20"/>
              </w:rPr>
              <w:t>10</w:t>
            </w:r>
          </w:p>
        </w:tc>
      </w:tr>
      <w:tr w14:paraId="7D8BF405">
        <w:trPr>
          <w:trHeight w:val="30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D9E4">
            <w:pPr>
              <w:spacing w:after="0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=183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65A7">
            <w:pPr>
              <w:spacing w:after="0"/>
            </w:pPr>
            <w:r>
              <w:rPr>
                <w:rFonts w:ascii="Calibri" w:hAnsi="Calibri" w:eastAsia="Calibri" w:cs="Calibri"/>
                <w:sz w:val="20"/>
                <w:szCs w:val="20"/>
              </w:rPr>
              <w:t>上海交通大学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D2AE">
            <w:pPr>
              <w:spacing w:after="0"/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</w:rPr>
              <w:t>98.5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05EA">
            <w:pPr>
              <w:spacing w:after="0"/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</w:rPr>
              <w:t>53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B9C8">
            <w:pPr>
              <w:spacing w:after="0"/>
              <w:jc w:val="center"/>
            </w:pPr>
            <w:r>
              <w:rPr>
                <w:rFonts w:ascii="Calibri" w:hAnsi="Calibri" w:eastAsia="Calibri" w:cs="Calibri"/>
                <w:color w:val="FF0000"/>
                <w:sz w:val="20"/>
                <w:szCs w:val="20"/>
              </w:rPr>
              <w:t>3</w:t>
            </w:r>
          </w:p>
        </w:tc>
      </w:tr>
      <w:tr w14:paraId="3ECF9DC1">
        <w:trPr>
          <w:trHeight w:val="30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38A5">
            <w:pPr>
              <w:spacing w:after="0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=431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07F6">
            <w:pPr>
              <w:spacing w:after="0"/>
            </w:pPr>
            <w:r>
              <w:rPr>
                <w:rFonts w:ascii="Calibri" w:hAnsi="Calibri" w:eastAsia="Calibri" w:cs="Calibri"/>
                <w:sz w:val="20"/>
                <w:szCs w:val="20"/>
              </w:rPr>
              <w:t>北京大学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588C">
            <w:pPr>
              <w:spacing w:after="0"/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</w:rPr>
              <w:t>98.4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E256">
            <w:pPr>
              <w:spacing w:after="0"/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</w:rPr>
              <w:t>59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603B">
            <w:pPr>
              <w:spacing w:after="0"/>
              <w:jc w:val="center"/>
            </w:pPr>
            <w:r>
              <w:rPr>
                <w:rFonts w:ascii="Calibri" w:hAnsi="Calibri" w:eastAsia="Calibri" w:cs="Calibri"/>
                <w:color w:val="FF0000"/>
                <w:sz w:val="20"/>
                <w:szCs w:val="20"/>
              </w:rPr>
              <w:t>9</w:t>
            </w:r>
          </w:p>
        </w:tc>
      </w:tr>
      <w:tr w14:paraId="7D39347D">
        <w:trPr>
          <w:trHeight w:val="30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B3ED">
            <w:pPr>
              <w:spacing w:after="0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C46E">
            <w:pPr>
              <w:spacing w:after="0"/>
            </w:pPr>
            <w:r>
              <w:rPr>
                <w:rFonts w:ascii="Calibri" w:hAnsi="Calibri" w:eastAsia="Calibri" w:cs="Calibri"/>
                <w:sz w:val="20"/>
                <w:szCs w:val="20"/>
              </w:rPr>
              <w:t>复旦大学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CA08">
            <w:pPr>
              <w:spacing w:after="0"/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</w:rPr>
              <w:t>98.3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A2AB">
            <w:pPr>
              <w:spacing w:after="0"/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</w:rPr>
              <w:t>62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A541">
            <w:pPr>
              <w:spacing w:after="0"/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</w:rPr>
              <w:t>0</w:t>
            </w:r>
          </w:p>
        </w:tc>
      </w:tr>
    </w:tbl>
    <w:p w14:paraId="057E892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2122ED5">
      <w:pPr>
        <w:pStyle w:val="34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知识交流同样是中国大学的优势领域，共有两所高校跻身全球百强，位居亚洲之首。除表现突出的上海交通大学外，复旦大学在此维度排名</w:t>
      </w:r>
      <w:r>
        <w:rPr>
          <w:rFonts w:hint="eastAsia" w:ascii="Calibri" w:hAnsi="Calibri" w:cs="Calibri"/>
          <w:sz w:val="22"/>
          <w:szCs w:val="22"/>
          <w:lang w:eastAsia="zh-CN"/>
        </w:rPr>
        <w:t>第69位</w:t>
      </w:r>
      <w:r>
        <w:rPr>
          <w:rFonts w:ascii="Calibri" w:hAnsi="Calibri" w:cs="Calibri"/>
          <w:sz w:val="22"/>
          <w:szCs w:val="22"/>
          <w:lang w:eastAsia="zh-CN"/>
        </w:rPr>
        <w:t xml:space="preserve">。 </w:t>
      </w:r>
    </w:p>
    <w:p w14:paraId="4DCB5065">
      <w:pPr>
        <w:pStyle w:val="34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西北工业大学是排名提升幅度最大的高校，</w:t>
      </w:r>
      <w:r>
        <w:rPr>
          <w:rFonts w:hint="eastAsia" w:ascii="Calibri" w:hAnsi="Calibri" w:cs="Calibri"/>
          <w:sz w:val="22"/>
          <w:szCs w:val="22"/>
          <w:lang w:eastAsia="zh-CN"/>
        </w:rPr>
        <w:t>从</w:t>
      </w:r>
      <w:r>
        <w:rPr>
          <w:rFonts w:ascii="Calibri" w:hAnsi="Calibri" w:cs="Calibri"/>
          <w:sz w:val="22"/>
          <w:szCs w:val="22"/>
          <w:lang w:eastAsia="zh-CN"/>
        </w:rPr>
        <w:t>去年1101-1120区间的排名跃升</w:t>
      </w:r>
      <w:r>
        <w:rPr>
          <w:rFonts w:hint="eastAsia" w:ascii="Calibri" w:hAnsi="Calibri" w:cs="Calibri"/>
          <w:sz w:val="22"/>
          <w:szCs w:val="22"/>
          <w:lang w:eastAsia="zh-CN"/>
        </w:rPr>
        <w:t>至</w:t>
      </w:r>
      <w:r>
        <w:rPr>
          <w:rFonts w:ascii="Calibri" w:hAnsi="Calibri" w:cs="Calibri"/>
          <w:sz w:val="22"/>
          <w:szCs w:val="22"/>
          <w:lang w:eastAsia="zh-CN"/>
        </w:rPr>
        <w:t>432位，跻身500强之列</w:t>
      </w:r>
      <w:r>
        <w:rPr>
          <w:rFonts w:hint="eastAsia" w:ascii="Calibri" w:hAnsi="Calibri" w:cs="Calibri"/>
          <w:sz w:val="22"/>
          <w:szCs w:val="22"/>
          <w:lang w:eastAsia="zh-CN"/>
        </w:rPr>
        <w:t>，位居第484位</w:t>
      </w:r>
      <w:r>
        <w:rPr>
          <w:rFonts w:ascii="Calibri" w:hAnsi="Calibri" w:cs="Calibri"/>
          <w:sz w:val="22"/>
          <w:szCs w:val="22"/>
          <w:vertAlign w:val="superscript"/>
          <w:lang w:eastAsia="zh-CN"/>
        </w:rPr>
        <w:t>，位居第484位</w:t>
      </w:r>
      <w:r>
        <w:rPr>
          <w:rFonts w:ascii="Calibri" w:hAnsi="Calibri" w:cs="Calibri"/>
          <w:sz w:val="22"/>
          <w:szCs w:val="22"/>
          <w:lang w:eastAsia="zh-CN"/>
        </w:rPr>
        <w:t>。</w:t>
      </w:r>
    </w:p>
    <w:p w14:paraId="4CA0B35A">
      <w:pPr>
        <w:pStyle w:val="40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41"/>
          <w:rFonts w:ascii="Calibri" w:hAnsi="Calibri" w:cs="Calibri" w:eastAsiaTheme="majorEastAsia"/>
          <w:b/>
          <w:bCs/>
          <w:sz w:val="22"/>
          <w:szCs w:val="22"/>
          <w:u w:val="single"/>
          <w:lang w:val="en-US"/>
        </w:rPr>
        <w:t>ENDS</w:t>
      </w:r>
      <w:r>
        <w:rPr>
          <w:rStyle w:val="42"/>
          <w:rFonts w:ascii="Calibri" w:hAnsi="Calibri" w:cs="Calibri" w:eastAsiaTheme="majorEastAsia"/>
          <w:sz w:val="22"/>
          <w:szCs w:val="22"/>
        </w:rPr>
        <w:t> </w:t>
      </w:r>
    </w:p>
    <w:p w14:paraId="75C72ABE">
      <w:pPr>
        <w:pStyle w:val="40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22"/>
          <w:szCs w:val="22"/>
          <w:lang w:eastAsia="zh-CN"/>
        </w:rPr>
      </w:pPr>
      <w:r>
        <w:rPr>
          <w:rStyle w:val="41"/>
          <w:rFonts w:ascii="Calibri" w:hAnsi="Calibri" w:cs="Calibri" w:eastAsiaTheme="majorEastAsia"/>
          <w:b/>
          <w:bCs/>
          <w:sz w:val="22"/>
          <w:szCs w:val="22"/>
          <w:u w:val="single"/>
          <w:lang w:val="en-US" w:eastAsia="zh-CN"/>
        </w:rPr>
        <w:t xml:space="preserve"> </w:t>
      </w:r>
    </w:p>
    <w:p w14:paraId="74BFC0D8">
      <w:pPr>
        <w:pStyle w:val="40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  <w:lang w:eastAsia="zh-CN"/>
        </w:rPr>
      </w:pPr>
      <w:r>
        <w:rPr>
          <w:rStyle w:val="41"/>
          <w:rFonts w:ascii="Calibri" w:hAnsi="Calibri" w:cs="Calibri" w:eastAsiaTheme="majorEastAsia"/>
          <w:color w:val="000000"/>
          <w:sz w:val="22"/>
          <w:szCs w:val="22"/>
          <w:lang w:val="en-US" w:eastAsia="zh-CN"/>
        </w:rPr>
        <w:t>详细方法论信息请参阅</w:t>
      </w:r>
      <w:r>
        <w:fldChar w:fldCharType="begin"/>
      </w:r>
      <w:r>
        <w:instrText xml:space="preserve"> HYPERLINK "https://support.qs.com/hc/en-gb/articles/8551503200668-QS-Sustainability-Rankings" \t "_blank" </w:instrText>
      </w:r>
      <w:r>
        <w:fldChar w:fldCharType="separate"/>
      </w:r>
      <w:r>
        <w:rPr>
          <w:rStyle w:val="41"/>
          <w:rFonts w:ascii="Calibri" w:hAnsi="Calibri" w:cs="Calibri" w:eastAsiaTheme="majorEastAsia"/>
          <w:color w:val="467886"/>
          <w:sz w:val="22"/>
          <w:szCs w:val="22"/>
          <w:u w:val="single"/>
          <w:lang w:val="en-US" w:eastAsia="zh-CN"/>
        </w:rPr>
        <w:t>此处</w:t>
      </w:r>
      <w:r>
        <w:rPr>
          <w:rStyle w:val="41"/>
          <w:rFonts w:ascii="Calibri" w:hAnsi="Calibri" w:cs="Calibri" w:eastAsiaTheme="majorEastAsia"/>
          <w:color w:val="467886"/>
          <w:sz w:val="22"/>
          <w:szCs w:val="22"/>
          <w:u w:val="single"/>
          <w:lang w:val="en-US" w:eastAsia="zh-CN"/>
        </w:rPr>
        <w:fldChar w:fldCharType="end"/>
      </w:r>
      <w:r>
        <w:rPr>
          <w:rStyle w:val="41"/>
          <w:rFonts w:ascii="Calibri" w:hAnsi="Calibri" w:cs="Calibri" w:eastAsiaTheme="majorEastAsia"/>
          <w:color w:val="000000"/>
          <w:sz w:val="22"/>
          <w:szCs w:val="22"/>
          <w:lang w:val="en-US" w:eastAsia="zh-CN"/>
        </w:rPr>
        <w:t xml:space="preserve">。 </w:t>
      </w:r>
    </w:p>
    <w:p w14:paraId="7B560830">
      <w:pPr>
        <w:pStyle w:val="40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  <w:lang w:eastAsia="zh-CN"/>
        </w:rPr>
      </w:pPr>
      <w:r>
        <w:rPr>
          <w:rStyle w:val="41"/>
          <w:rFonts w:ascii="Calibri" w:hAnsi="Calibri" w:cs="Calibri" w:eastAsiaTheme="majorEastAsia"/>
          <w:color w:val="000000"/>
          <w:sz w:val="22"/>
          <w:szCs w:val="22"/>
          <w:lang w:val="en-US" w:eastAsia="zh-CN"/>
        </w:rPr>
        <w:t>完整排名</w:t>
      </w:r>
      <w:r>
        <w:rPr>
          <w:rStyle w:val="41"/>
          <w:rFonts w:ascii="Calibri" w:hAnsi="Calibri" w:cs="Calibri" w:eastAsiaTheme="majorEastAsia"/>
          <w:b/>
          <w:bCs/>
          <w:color w:val="000000"/>
          <w:sz w:val="22"/>
          <w:szCs w:val="22"/>
          <w:lang w:val="en-US" w:eastAsia="zh-CN"/>
        </w:rPr>
        <w:t>将于</w:t>
      </w:r>
      <w:r>
        <w:rPr>
          <w:rStyle w:val="41"/>
          <w:rFonts w:hint="eastAsia" w:ascii="Calibri" w:hAnsi="Calibri" w:cs="Calibri" w:eastAsiaTheme="majorEastAsia"/>
          <w:b/>
          <w:bCs/>
          <w:color w:val="000000"/>
          <w:sz w:val="22"/>
          <w:szCs w:val="22"/>
          <w:lang w:val="en-US" w:eastAsia="zh-CN"/>
        </w:rPr>
        <w:t>11月18日北京时间18:00发布</w:t>
      </w:r>
      <w:r>
        <w:rPr>
          <w:rStyle w:val="41"/>
          <w:rFonts w:ascii="Calibri" w:hAnsi="Calibri" w:cs="Calibri" w:eastAsiaTheme="majorEastAsia"/>
          <w:color w:val="000000"/>
          <w:sz w:val="22"/>
          <w:szCs w:val="22"/>
          <w:lang w:val="en-US" w:eastAsia="zh-CN"/>
        </w:rPr>
        <w:t>，</w:t>
      </w:r>
      <w:r>
        <w:fldChar w:fldCharType="begin"/>
      </w:r>
      <w:r>
        <w:instrText xml:space="preserve"> HYPERLINK "https://www.topuniversities.com/university-rankings/sustainability-rankings/2025" \t "_blank" </w:instrText>
      </w:r>
      <w:r>
        <w:fldChar w:fldCharType="separate"/>
      </w:r>
      <w:r>
        <w:rPr>
          <w:rStyle w:val="41"/>
          <w:rFonts w:ascii="Calibri" w:hAnsi="Calibri" w:cs="Calibri" w:eastAsiaTheme="majorEastAsia"/>
          <w:color w:val="467886"/>
          <w:sz w:val="22"/>
          <w:szCs w:val="22"/>
          <w:u w:val="single"/>
          <w:lang w:val="en-US" w:eastAsia="zh-CN"/>
        </w:rPr>
        <w:t>详见QS可持续发展大学排名2025 | Top Universities</w:t>
      </w:r>
      <w:r>
        <w:rPr>
          <w:rStyle w:val="41"/>
          <w:rFonts w:ascii="Calibri" w:hAnsi="Calibri" w:cs="Calibri" w:eastAsiaTheme="majorEastAsia"/>
          <w:color w:val="467886"/>
          <w:sz w:val="22"/>
          <w:szCs w:val="22"/>
          <w:u w:val="single"/>
          <w:lang w:val="en-US" w:eastAsia="zh-CN"/>
        </w:rPr>
        <w:fldChar w:fldCharType="end"/>
      </w:r>
      <w:r>
        <w:rPr>
          <w:rStyle w:val="41"/>
          <w:rFonts w:ascii="Calibri" w:hAnsi="Calibri" w:cs="Calibri" w:eastAsiaTheme="majorEastAsia"/>
          <w:color w:val="000000"/>
          <w:sz w:val="22"/>
          <w:szCs w:val="22"/>
          <w:lang w:val="en-US" w:eastAsia="zh-CN"/>
        </w:rPr>
        <w:t>。                   </w:t>
      </w:r>
    </w:p>
    <w:p w14:paraId="65801464">
      <w:pPr>
        <w:pStyle w:val="40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41"/>
          <w:rFonts w:ascii="Calibri" w:hAnsi="Calibri" w:cs="Calibri" w:eastAsiaTheme="majorEastAsia"/>
          <w:color w:val="000000"/>
          <w:sz w:val="22"/>
          <w:szCs w:val="22"/>
          <w:lang w:val="en-US"/>
        </w:rPr>
        <w:t>For further information or to request interviews with QS’ analysts, please contact:   </w:t>
      </w:r>
      <w:r>
        <w:rPr>
          <w:rStyle w:val="42"/>
          <w:rFonts w:ascii="Calibri" w:hAnsi="Calibri" w:cs="Calibri" w:eastAsiaTheme="majorEastAsia"/>
          <w:color w:val="000000"/>
          <w:sz w:val="22"/>
          <w:szCs w:val="22"/>
        </w:rPr>
        <w:t> </w:t>
      </w:r>
    </w:p>
    <w:p w14:paraId="2166E3B8">
      <w:pPr>
        <w:pStyle w:val="40"/>
        <w:spacing w:before="0" w:beforeAutospacing="0" w:after="0" w:afterAutospacing="0"/>
        <w:textAlignment w:val="baseline"/>
        <w:rPr>
          <w:rStyle w:val="41"/>
          <w:rFonts w:ascii="Calibri" w:hAnsi="Calibri" w:cs="Calibri" w:eastAsiaTheme="majorEastAsia"/>
          <w:b/>
          <w:bCs/>
          <w:color w:val="000000"/>
          <w:sz w:val="22"/>
          <w:szCs w:val="22"/>
          <w:lang w:val="en-US"/>
        </w:rPr>
      </w:pPr>
    </w:p>
    <w:p w14:paraId="44EA66AB">
      <w:pPr>
        <w:pStyle w:val="40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41"/>
          <w:rFonts w:ascii="Calibri" w:hAnsi="Calibri" w:cs="Calibri" w:eastAsiaTheme="majorEastAsia"/>
          <w:b/>
          <w:bCs/>
          <w:color w:val="000000"/>
          <w:sz w:val="22"/>
          <w:szCs w:val="22"/>
          <w:lang w:val="en-US"/>
        </w:rPr>
        <w:t>Simona Bizzozero</w:t>
      </w:r>
      <w:r>
        <w:rPr>
          <w:rStyle w:val="41"/>
          <w:rFonts w:ascii="Calibri" w:hAnsi="Calibri" w:cs="Calibri" w:eastAsiaTheme="majorEastAsia"/>
          <w:color w:val="000000"/>
          <w:sz w:val="22"/>
          <w:szCs w:val="22"/>
          <w:lang w:val="en-US"/>
        </w:rPr>
        <w:t>                 </w:t>
      </w:r>
      <w:r>
        <w:rPr>
          <w:rStyle w:val="42"/>
          <w:rFonts w:ascii="Calibri" w:hAnsi="Calibri" w:cs="Calibri" w:eastAsiaTheme="majorEastAsia"/>
          <w:color w:val="000000"/>
          <w:sz w:val="22"/>
          <w:szCs w:val="22"/>
        </w:rPr>
        <w:t> </w:t>
      </w:r>
    </w:p>
    <w:p w14:paraId="0F7E0585">
      <w:pPr>
        <w:pStyle w:val="40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41"/>
          <w:rFonts w:ascii="Calibri" w:hAnsi="Calibri" w:cs="Calibri" w:eastAsiaTheme="majorEastAsia"/>
          <w:color w:val="000000"/>
          <w:sz w:val="22"/>
          <w:szCs w:val="22"/>
          <w:lang w:val="en-US"/>
        </w:rPr>
        <w:t>Director of Communications                   </w:t>
      </w:r>
      <w:r>
        <w:rPr>
          <w:rStyle w:val="42"/>
          <w:rFonts w:ascii="Calibri" w:hAnsi="Calibri" w:cs="Calibri" w:eastAsiaTheme="majorEastAsia"/>
          <w:color w:val="000000"/>
          <w:sz w:val="22"/>
          <w:szCs w:val="22"/>
        </w:rPr>
        <w:t> </w:t>
      </w:r>
    </w:p>
    <w:p w14:paraId="51A873EF">
      <w:pPr>
        <w:pStyle w:val="40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41"/>
          <w:rFonts w:ascii="Calibri" w:hAnsi="Calibri" w:cs="Calibri" w:eastAsiaTheme="majorEastAsia"/>
          <w:color w:val="000000"/>
          <w:sz w:val="22"/>
          <w:szCs w:val="22"/>
          <w:lang w:val="en-US"/>
        </w:rPr>
        <w:t>QS Quacquarelli Symonds                   </w:t>
      </w:r>
      <w:r>
        <w:rPr>
          <w:rStyle w:val="42"/>
          <w:rFonts w:ascii="Calibri" w:hAnsi="Calibri" w:cs="Calibri" w:eastAsiaTheme="majorEastAsia"/>
          <w:color w:val="000000"/>
          <w:sz w:val="22"/>
          <w:szCs w:val="22"/>
        </w:rPr>
        <w:t> </w:t>
      </w:r>
    </w:p>
    <w:p w14:paraId="76936E81">
      <w:pPr>
        <w:pStyle w:val="40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41"/>
          <w:rFonts w:ascii="Calibri" w:hAnsi="Calibri" w:cs="Calibri" w:eastAsiaTheme="majorEastAsia"/>
          <w:color w:val="467886"/>
          <w:sz w:val="22"/>
          <w:szCs w:val="22"/>
          <w:u w:val="single"/>
          <w:lang w:val="en-US"/>
        </w:rPr>
        <w:t>simona@qs.com</w:t>
      </w:r>
    </w:p>
    <w:p w14:paraId="19F027A9">
      <w:pPr>
        <w:pStyle w:val="40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en-US"/>
        </w:rPr>
      </w:pPr>
      <w:r>
        <w:rPr>
          <w:rStyle w:val="41"/>
          <w:rFonts w:ascii="Calibri" w:hAnsi="Calibri" w:cs="Calibri" w:eastAsiaTheme="majorEastAsia"/>
          <w:color w:val="000000"/>
          <w:sz w:val="22"/>
          <w:szCs w:val="22"/>
          <w:lang w:val="en-US"/>
        </w:rPr>
        <w:t>+44 (0) 7880620856</w:t>
      </w:r>
    </w:p>
    <w:p w14:paraId="1E673F57">
      <w:pPr>
        <w:pStyle w:val="40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en-US"/>
        </w:rPr>
      </w:pPr>
      <w:r>
        <w:rPr>
          <w:rStyle w:val="41"/>
          <w:rFonts w:ascii="Calibri" w:hAnsi="Calibri" w:cs="Calibri" w:eastAsiaTheme="maj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                   </w:t>
      </w:r>
      <w:r>
        <w:rPr>
          <w:rStyle w:val="42"/>
          <w:rFonts w:ascii="Calibri" w:hAnsi="Calibri" w:cs="Calibri" w:eastAsiaTheme="maj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 </w:t>
      </w:r>
    </w:p>
    <w:p w14:paraId="4B44CEF6">
      <w:pPr>
        <w:pStyle w:val="40"/>
        <w:spacing w:before="0" w:beforeAutospacing="0" w:after="0" w:afterAutospacing="0"/>
      </w:pPr>
      <w:r>
        <w:rPr>
          <w:rStyle w:val="41"/>
          <w:rFonts w:ascii="Calibri" w:hAnsi="Calibri" w:cs="Calibri" w:eastAsiaTheme="majorEastAsia"/>
          <w:b/>
          <w:bCs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Will Barbieri</w:t>
      </w:r>
    </w:p>
    <w:p w14:paraId="6CA7CE39">
      <w:pPr>
        <w:pStyle w:val="40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en-US"/>
        </w:rPr>
      </w:pPr>
      <w:r>
        <w:rPr>
          <w:rStyle w:val="41"/>
          <w:rFonts w:ascii="Calibri" w:hAnsi="Calibri" w:cs="Calibri" w:eastAsiaTheme="maj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Communications Manager</w:t>
      </w:r>
      <w:r>
        <w:br w:type="textWrapping"/>
      </w:r>
      <w:r>
        <w:rPr>
          <w:rStyle w:val="41"/>
          <w:rFonts w:ascii="Calibri" w:hAnsi="Calibri" w:cs="Calibri" w:eastAsiaTheme="majorEastAsia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QS Quacquarelli Symonds</w:t>
      </w:r>
    </w:p>
    <w:p w14:paraId="429DCA38">
      <w:pPr>
        <w:pStyle w:val="40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fldChar w:fldCharType="begin"/>
      </w:r>
      <w:r>
        <w:instrText xml:space="preserve"> HYPERLINK "mailto:William.barbieri@qs.com" \h </w:instrText>
      </w:r>
      <w:r>
        <w:fldChar w:fldCharType="separate"/>
      </w:r>
      <w:r>
        <w:rPr>
          <w:rStyle w:val="19"/>
          <w:rFonts w:ascii="Calibri" w:hAnsi="Calibri" w:cs="Calibri" w:eastAsiaTheme="majorEastAsia"/>
          <w:sz w:val="22"/>
          <w:szCs w:val="22"/>
        </w:rPr>
        <w:t>William.barbieri@qs.com</w:t>
      </w:r>
      <w:r>
        <w:rPr>
          <w:rStyle w:val="19"/>
          <w:rFonts w:ascii="Calibri" w:hAnsi="Calibri" w:cs="Calibri" w:eastAsiaTheme="majorEastAsia"/>
          <w:sz w:val="22"/>
          <w:szCs w:val="22"/>
        </w:rPr>
        <w:fldChar w:fldCharType="end"/>
      </w:r>
      <w:r>
        <w:rPr>
          <w:rStyle w:val="41"/>
          <w:rFonts w:ascii="Calibri" w:hAnsi="Calibri" w:cs="Calibri" w:eastAsiaTheme="maj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   </w:t>
      </w:r>
      <w:r>
        <w:rPr>
          <w:rStyle w:val="42"/>
          <w:rFonts w:ascii="Calibri" w:hAnsi="Calibri" w:cs="Calibri" w:eastAsiaTheme="maj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</w:t>
      </w:r>
    </w:p>
    <w:p w14:paraId="44926A94">
      <w:pPr>
        <w:pStyle w:val="40"/>
        <w:spacing w:before="0" w:beforeAutospacing="0" w:after="0" w:afterAutospacing="0" w:line="360" w:lineRule="auto"/>
        <w:rPr>
          <w:rStyle w:val="41"/>
          <w:rFonts w:ascii="Calibri" w:hAnsi="Calibri" w:cs="Calibri" w:eastAsiaTheme="majorEastAsia"/>
          <w:b/>
          <w:bCs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</w:p>
    <w:p w14:paraId="77556C94">
      <w:pPr>
        <w:pStyle w:val="40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41"/>
          <w:rFonts w:ascii="Calibri" w:hAnsi="Calibri" w:cs="Calibri" w:eastAsiaTheme="majorEastAsia"/>
          <w:b/>
          <w:bCs/>
          <w:color w:val="000000"/>
          <w:sz w:val="22"/>
          <w:szCs w:val="22"/>
          <w:lang w:val="en-US"/>
        </w:rPr>
        <w:t>QS Quacquarelli Symonds</w:t>
      </w:r>
    </w:p>
    <w:p w14:paraId="0B67E2DF">
      <w:pPr>
        <w:pStyle w:val="40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41"/>
          <w:rFonts w:ascii="Calibri" w:hAnsi="Calibri" w:cs="Calibri" w:eastAsiaTheme="majorEastAsia"/>
          <w:sz w:val="22"/>
          <w:szCs w:val="22"/>
          <w:lang w:val="en-US"/>
        </w:rPr>
        <w:t>QS Quacquarelli Symonds is the world’s leading provider of services, analytics, and insight to the global higher education sector, whose mission is to </w:t>
      </w:r>
      <w:r>
        <w:rPr>
          <w:rStyle w:val="41"/>
          <w:rFonts w:ascii="Calibri" w:hAnsi="Calibri" w:cs="Calibri" w:eastAsiaTheme="majorEastAsia"/>
          <w:sz w:val="22"/>
          <w:szCs w:val="22"/>
        </w:rPr>
        <w:t>empower motivated people anywhere in the world to fulfil their potential through educational achievement, international mobility, and career development</w:t>
      </w:r>
      <w:r>
        <w:rPr>
          <w:rStyle w:val="41"/>
          <w:rFonts w:ascii="Calibri" w:hAnsi="Calibri" w:cs="Calibri" w:eastAsiaTheme="majorEastAsia"/>
          <w:i/>
          <w:iCs/>
          <w:sz w:val="22"/>
          <w:szCs w:val="22"/>
        </w:rPr>
        <w:t>.</w:t>
      </w:r>
      <w:r>
        <w:rPr>
          <w:rStyle w:val="41"/>
          <w:rFonts w:ascii="Calibri" w:hAnsi="Calibri" w:cs="Calibri" w:eastAsiaTheme="majorEastAsia"/>
          <w:sz w:val="22"/>
          <w:szCs w:val="22"/>
        </w:rPr>
        <w:t>         </w:t>
      </w:r>
      <w:r>
        <w:rPr>
          <w:rStyle w:val="41"/>
          <w:rFonts w:ascii="Calibri" w:hAnsi="Calibri" w:cs="Calibri" w:eastAsiaTheme="majorEastAsia"/>
          <w:sz w:val="22"/>
          <w:szCs w:val="22"/>
          <w:lang w:val="en-US"/>
        </w:rPr>
        <w:t>  </w:t>
      </w:r>
      <w:r>
        <w:rPr>
          <w:rStyle w:val="43"/>
          <w:rFonts w:ascii="Calibri" w:hAnsi="Calibri" w:cs="Calibri" w:eastAsiaTheme="majorEastAsia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 w:type="textWrapping"/>
      </w:r>
      <w:r>
        <w:rPr>
          <w:rStyle w:val="41"/>
          <w:rFonts w:ascii="Calibri" w:hAnsi="Calibri" w:cs="Calibri" w:eastAsiaTheme="majorEastAsia"/>
          <w:color w:val="000000"/>
          <w:sz w:val="22"/>
          <w:szCs w:val="22"/>
          <w:shd w:val="clear" w:color="auto" w:fill="FFFFFF"/>
          <w:lang w:val="en-US"/>
        </w:rPr>
        <w:t>The </w:t>
      </w:r>
      <w:r>
        <w:rPr>
          <w:rStyle w:val="41"/>
          <w:rFonts w:ascii="Calibri" w:hAnsi="Calibri" w:cs="Calibri" w:eastAsiaTheme="majorEastAsia"/>
          <w:i/>
          <w:iCs/>
          <w:color w:val="000000"/>
          <w:sz w:val="22"/>
          <w:szCs w:val="22"/>
          <w:shd w:val="clear" w:color="auto" w:fill="FFFFFF"/>
          <w:lang w:val="en-US"/>
        </w:rPr>
        <w:t>QS World University Rankings </w:t>
      </w:r>
      <w:r>
        <w:rPr>
          <w:rStyle w:val="41"/>
          <w:rFonts w:ascii="Calibri" w:hAnsi="Calibri" w:cs="Calibri" w:eastAsiaTheme="majorEastAsia"/>
          <w:color w:val="000000"/>
          <w:sz w:val="22"/>
          <w:szCs w:val="22"/>
          <w:shd w:val="clear" w:color="auto" w:fill="FFFFFF"/>
          <w:lang w:val="en-US"/>
        </w:rPr>
        <w:t>portfolio, inaugurated in 2004, is the world’s most popular source of comparative data about university performance.</w:t>
      </w:r>
      <w:r>
        <w:rPr>
          <w:rStyle w:val="41"/>
          <w:rFonts w:ascii="Calibri" w:hAnsi="Calibri" w:cs="Calibri" w:eastAsiaTheme="majorEastAsia"/>
          <w:color w:val="000000"/>
          <w:sz w:val="22"/>
          <w:szCs w:val="22"/>
          <w:lang w:val="en-US"/>
        </w:rPr>
        <w:t> </w:t>
      </w:r>
      <w:r>
        <w:rPr>
          <w:rStyle w:val="42"/>
          <w:rFonts w:ascii="Calibri" w:hAnsi="Calibri" w:cs="Calibri" w:eastAsiaTheme="majorEastAsia"/>
          <w:color w:val="000000"/>
          <w:sz w:val="22"/>
          <w:szCs w:val="22"/>
        </w:rPr>
        <w:t> </w:t>
      </w:r>
    </w:p>
    <w:p w14:paraId="261CF32F">
      <w:pPr>
        <w:pStyle w:val="40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41"/>
          <w:rFonts w:ascii="Calibri" w:hAnsi="Calibri" w:cs="Calibri" w:eastAsiaTheme="majorEastAsia"/>
          <w:color w:val="000000"/>
          <w:sz w:val="22"/>
          <w:szCs w:val="22"/>
          <w:shd w:val="clear" w:color="auto" w:fill="FFFFFF"/>
        </w:rPr>
        <w:t xml:space="preserve">Their flagship website, </w:t>
      </w:r>
      <w:r>
        <w:fldChar w:fldCharType="begin"/>
      </w:r>
      <w:r>
        <w:instrText xml:space="preserve"> HYPERLINK "https://eacea.ec.europa.eu/national-policies/eurydice/france/glossary_fr" \t "_blank" </w:instrText>
      </w:r>
      <w:r>
        <w:fldChar w:fldCharType="separate"/>
      </w:r>
      <w:r>
        <w:rPr>
          <w:rStyle w:val="41"/>
          <w:rFonts w:ascii="Calibri" w:hAnsi="Calibri" w:cs="Calibri" w:eastAsiaTheme="majorEastAsia"/>
          <w:color w:val="467886"/>
          <w:sz w:val="22"/>
          <w:szCs w:val="22"/>
          <w:u w:val="single"/>
          <w:shd w:val="clear" w:color="auto" w:fill="FFFFFF"/>
          <w:lang w:val="en-US"/>
        </w:rPr>
        <w:t>www.TopUniversities.com</w:t>
      </w:r>
      <w:r>
        <w:rPr>
          <w:rStyle w:val="41"/>
          <w:rFonts w:ascii="Calibri" w:hAnsi="Calibri" w:cs="Calibri" w:eastAsiaTheme="majorEastAsia"/>
          <w:color w:val="467886"/>
          <w:sz w:val="22"/>
          <w:szCs w:val="22"/>
          <w:u w:val="single"/>
          <w:shd w:val="clear" w:color="auto" w:fill="FFFFFF"/>
          <w:lang w:val="en-US"/>
        </w:rPr>
        <w:fldChar w:fldCharType="end"/>
      </w:r>
      <w:r>
        <w:rPr>
          <w:rStyle w:val="41"/>
          <w:rFonts w:ascii="Calibri" w:hAnsi="Calibri" w:cs="Calibri" w:eastAsiaTheme="majorEastAsia"/>
          <w:color w:val="000000"/>
          <w:sz w:val="22"/>
          <w:szCs w:val="22"/>
          <w:shd w:val="clear" w:color="auto" w:fill="FFFFFF"/>
          <w:lang w:val="en-US"/>
        </w:rPr>
        <w:t> – the home of their rankings – was viewed more than 170 million times in 2024, and over 134,000 media clippings pertaining to, or mentioning, QS were published by media outlets worldwide in 2024.</w:t>
      </w:r>
      <w:r>
        <w:rPr>
          <w:rStyle w:val="41"/>
          <w:rFonts w:ascii="Calibri" w:hAnsi="Calibri" w:cs="Calibri" w:eastAsiaTheme="majorEastAsia"/>
          <w:color w:val="000000"/>
          <w:sz w:val="22"/>
          <w:szCs w:val="22"/>
          <w:lang w:val="en-US"/>
        </w:rPr>
        <w:t>  </w:t>
      </w:r>
      <w:r>
        <w:rPr>
          <w:rStyle w:val="42"/>
          <w:rFonts w:ascii="Calibri" w:hAnsi="Calibri" w:cs="Calibri" w:eastAsiaTheme="majorEastAsia"/>
          <w:color w:val="000000"/>
          <w:sz w:val="22"/>
          <w:szCs w:val="22"/>
        </w:rPr>
        <w:t> </w:t>
      </w:r>
    </w:p>
    <w:p w14:paraId="0DE94793">
      <w:pPr>
        <w:pStyle w:val="4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ascii="Aptos" w:hAnsi="Aptos" w:cs="Segoe UI" w:eastAsiaTheme="majorEastAsia"/>
        </w:rPr>
        <w:t> </w:t>
      </w:r>
    </w:p>
    <w:p w14:paraId="7713506A">
      <w:pPr>
        <w:spacing w:line="360" w:lineRule="auto"/>
        <w:rPr>
          <w:rFonts w:ascii="Calibri" w:hAnsi="Calibri" w:cs="Calibri"/>
          <w:b/>
          <w:bCs/>
          <w:u w:val="single"/>
        </w:rPr>
      </w:pPr>
    </w:p>
    <w:p w14:paraId="7A9F88EE">
      <w:pPr>
        <w:pStyle w:val="40"/>
        <w:spacing w:before="0" w:beforeAutospacing="0" w:after="0" w:afterAutospacing="0" w:line="360" w:lineRule="auto"/>
        <w:textAlignment w:val="baseline"/>
        <w:rPr>
          <w:rFonts w:ascii="Calibri" w:hAnsi="Calibri" w:cs="Calibri"/>
          <w:b/>
          <w:bCs/>
          <w:u w:val="single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93F0E"/>
    <w:multiLevelType w:val="multilevel"/>
    <w:tmpl w:val="01193F0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CA14442"/>
    <w:multiLevelType w:val="multilevel"/>
    <w:tmpl w:val="0CA14442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5E56B2B"/>
    <w:multiLevelType w:val="multilevel"/>
    <w:tmpl w:val="45E56B2B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trackRevisio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9C"/>
    <w:rsid w:val="0009789C"/>
    <w:rsid w:val="0010063E"/>
    <w:rsid w:val="00125580"/>
    <w:rsid w:val="001E1102"/>
    <w:rsid w:val="001E25E0"/>
    <w:rsid w:val="00227B13"/>
    <w:rsid w:val="00364E96"/>
    <w:rsid w:val="00407636"/>
    <w:rsid w:val="00550DD4"/>
    <w:rsid w:val="005E2393"/>
    <w:rsid w:val="0061624C"/>
    <w:rsid w:val="0068189F"/>
    <w:rsid w:val="00702BCB"/>
    <w:rsid w:val="00731234"/>
    <w:rsid w:val="00766DF7"/>
    <w:rsid w:val="00773FEE"/>
    <w:rsid w:val="00811B04"/>
    <w:rsid w:val="00812A85"/>
    <w:rsid w:val="00847A40"/>
    <w:rsid w:val="00886E73"/>
    <w:rsid w:val="00892B1C"/>
    <w:rsid w:val="009049F1"/>
    <w:rsid w:val="0092034E"/>
    <w:rsid w:val="00957CAC"/>
    <w:rsid w:val="009766D4"/>
    <w:rsid w:val="00984CB0"/>
    <w:rsid w:val="009A33A5"/>
    <w:rsid w:val="009A409B"/>
    <w:rsid w:val="00A51FB4"/>
    <w:rsid w:val="00A54164"/>
    <w:rsid w:val="00A746D8"/>
    <w:rsid w:val="00B1669C"/>
    <w:rsid w:val="00B50E98"/>
    <w:rsid w:val="00BC537F"/>
    <w:rsid w:val="00C00FA0"/>
    <w:rsid w:val="00C16CB8"/>
    <w:rsid w:val="00C3032F"/>
    <w:rsid w:val="00CC5D56"/>
    <w:rsid w:val="00D21319"/>
    <w:rsid w:val="00D876D1"/>
    <w:rsid w:val="00DD7A0D"/>
    <w:rsid w:val="00E66DB5"/>
    <w:rsid w:val="00EC5B0A"/>
    <w:rsid w:val="00F068F0"/>
    <w:rsid w:val="00FC7A30"/>
    <w:rsid w:val="026420F1"/>
    <w:rsid w:val="02CE30C1"/>
    <w:rsid w:val="051EABA9"/>
    <w:rsid w:val="05D7B944"/>
    <w:rsid w:val="078BA43D"/>
    <w:rsid w:val="08DC98F5"/>
    <w:rsid w:val="097C4FAF"/>
    <w:rsid w:val="0BA3754B"/>
    <w:rsid w:val="0C33F39A"/>
    <w:rsid w:val="0CC60CED"/>
    <w:rsid w:val="10001DDF"/>
    <w:rsid w:val="1478F729"/>
    <w:rsid w:val="153C84CE"/>
    <w:rsid w:val="156D2DC0"/>
    <w:rsid w:val="15E82AD0"/>
    <w:rsid w:val="16F13ABB"/>
    <w:rsid w:val="1C7FD44D"/>
    <w:rsid w:val="1CACB302"/>
    <w:rsid w:val="1F2304A1"/>
    <w:rsid w:val="2113083A"/>
    <w:rsid w:val="23ADECCC"/>
    <w:rsid w:val="241F9CF8"/>
    <w:rsid w:val="2804DB78"/>
    <w:rsid w:val="2850E55A"/>
    <w:rsid w:val="2907F154"/>
    <w:rsid w:val="294D4E9A"/>
    <w:rsid w:val="2977655F"/>
    <w:rsid w:val="2A11E080"/>
    <w:rsid w:val="2C85FC35"/>
    <w:rsid w:val="2EFBEF4A"/>
    <w:rsid w:val="2FB5E3F8"/>
    <w:rsid w:val="315FD52F"/>
    <w:rsid w:val="3365FF57"/>
    <w:rsid w:val="345732A5"/>
    <w:rsid w:val="34EEF645"/>
    <w:rsid w:val="355BFB34"/>
    <w:rsid w:val="35B5481B"/>
    <w:rsid w:val="3664A12B"/>
    <w:rsid w:val="38497409"/>
    <w:rsid w:val="398890E8"/>
    <w:rsid w:val="399B0AB1"/>
    <w:rsid w:val="3BC29C98"/>
    <w:rsid w:val="3C808D3B"/>
    <w:rsid w:val="3DFEC5DD"/>
    <w:rsid w:val="415C48EA"/>
    <w:rsid w:val="4343B0E0"/>
    <w:rsid w:val="43C16485"/>
    <w:rsid w:val="44CF5BDF"/>
    <w:rsid w:val="44E7A509"/>
    <w:rsid w:val="45B1669C"/>
    <w:rsid w:val="46782774"/>
    <w:rsid w:val="47409BC7"/>
    <w:rsid w:val="47D3C252"/>
    <w:rsid w:val="4C95FDA7"/>
    <w:rsid w:val="4D5BF01E"/>
    <w:rsid w:val="4D9CD0BF"/>
    <w:rsid w:val="50A08BE4"/>
    <w:rsid w:val="52CE4D6C"/>
    <w:rsid w:val="5711D721"/>
    <w:rsid w:val="577CF3F9"/>
    <w:rsid w:val="582D060D"/>
    <w:rsid w:val="5854D6B3"/>
    <w:rsid w:val="58CEB455"/>
    <w:rsid w:val="59BC4848"/>
    <w:rsid w:val="59E03801"/>
    <w:rsid w:val="5A1BC0A1"/>
    <w:rsid w:val="5A42C496"/>
    <w:rsid w:val="5A685970"/>
    <w:rsid w:val="5BBF80AE"/>
    <w:rsid w:val="5CBA5782"/>
    <w:rsid w:val="5E3384C5"/>
    <w:rsid w:val="5E58CA85"/>
    <w:rsid w:val="5F5679B4"/>
    <w:rsid w:val="613C91CE"/>
    <w:rsid w:val="63DE84D8"/>
    <w:rsid w:val="64F3B9BF"/>
    <w:rsid w:val="670EEE34"/>
    <w:rsid w:val="6C219977"/>
    <w:rsid w:val="6C7DA821"/>
    <w:rsid w:val="6D481A8A"/>
    <w:rsid w:val="6E570F4A"/>
    <w:rsid w:val="70680BE6"/>
    <w:rsid w:val="7127B5DF"/>
    <w:rsid w:val="737A79EA"/>
    <w:rsid w:val="740DFECE"/>
    <w:rsid w:val="75095D6C"/>
    <w:rsid w:val="7769D3B6"/>
    <w:rsid w:val="7AB72BDA"/>
    <w:rsid w:val="7B0BC03E"/>
    <w:rsid w:val="7CE0083A"/>
    <w:rsid w:val="7D99798D"/>
    <w:rsid w:val="FEDFF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eastAsia="宋体" w:asciiTheme="minorHAnsi" w:hAnsiTheme="minorHAnsi" w:cstheme="minorBidi"/>
      <w:kern w:val="2"/>
      <w:sz w:val="24"/>
      <w:szCs w:val="24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unhideWhenUsed/>
    <w:uiPriority w:val="99"/>
    <w:pPr>
      <w:spacing w:line="240" w:lineRule="auto"/>
    </w:pPr>
    <w:rPr>
      <w:sz w:val="20"/>
      <w:szCs w:val="20"/>
    </w:rPr>
  </w:style>
  <w:style w:type="paragraph" w:styleId="12">
    <w:name w:val="Subtitle"/>
    <w:basedOn w:val="1"/>
    <w:next w:val="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annotation subject"/>
    <w:basedOn w:val="11"/>
    <w:next w:val="11"/>
    <w:link w:val="46"/>
    <w:semiHidden/>
    <w:unhideWhenUsed/>
    <w:uiPriority w:val="99"/>
    <w:rPr>
      <w:b/>
      <w:bCs/>
    </w:rPr>
  </w:style>
  <w:style w:type="table" w:styleId="16">
    <w:name w:val="Table Grid"/>
    <w:basedOn w:val="1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8">
    <w:name w:val="FollowedHyperlink"/>
    <w:basedOn w:val="17"/>
    <w:semiHidden/>
    <w:unhideWhenUsed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basedOn w:val="17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semiHidden/>
    <w:unhideWhenUsed/>
    <w:uiPriority w:val="99"/>
    <w:rPr>
      <w:sz w:val="16"/>
      <w:szCs w:val="16"/>
    </w:rPr>
  </w:style>
  <w:style w:type="character" w:customStyle="1" w:styleId="21">
    <w:name w:val="Heading 1 Char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Heading 2 Char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Heading 3 Char"/>
    <w:basedOn w:val="17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4">
    <w:name w:val="Heading 4 Char"/>
    <w:basedOn w:val="17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5">
    <w:name w:val="Heading 5 Char"/>
    <w:basedOn w:val="17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6">
    <w:name w:val="Heading 6 Char"/>
    <w:basedOn w:val="17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7 Char"/>
    <w:basedOn w:val="17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Heading 8 Char"/>
    <w:basedOn w:val="17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Heading 9 Char"/>
    <w:basedOn w:val="17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Title Char"/>
    <w:basedOn w:val="17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Subtitle Char"/>
    <w:basedOn w:val="17"/>
    <w:link w:val="1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Quote Char"/>
    <w:basedOn w:val="17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Intense Quote Char"/>
    <w:basedOn w:val="17"/>
    <w:link w:val="36"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Unresolved Mention"/>
    <w:basedOn w:val="17"/>
    <w:semiHidden/>
    <w:unhideWhenUsed/>
    <w:uiPriority w:val="99"/>
    <w:rPr>
      <w:color w:val="605E5C"/>
      <w:shd w:val="clear" w:color="auto" w:fill="E1DFDD"/>
    </w:rPr>
  </w:style>
  <w:style w:type="paragraph" w:customStyle="1" w:styleId="40">
    <w:name w:val="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customStyle="1" w:styleId="41">
    <w:name w:val="normaltextrun"/>
    <w:basedOn w:val="17"/>
    <w:uiPriority w:val="0"/>
  </w:style>
  <w:style w:type="character" w:customStyle="1" w:styleId="42">
    <w:name w:val="eop"/>
    <w:basedOn w:val="17"/>
    <w:uiPriority w:val="0"/>
  </w:style>
  <w:style w:type="character" w:customStyle="1" w:styleId="43">
    <w:name w:val="scxw91098531"/>
    <w:basedOn w:val="17"/>
    <w:uiPriority w:val="0"/>
  </w:style>
  <w:style w:type="paragraph" w:customStyle="1" w:styleId="44">
    <w:name w:val="Revision"/>
    <w:hidden/>
    <w:semiHidden/>
    <w:uiPriority w:val="99"/>
    <w:pPr>
      <w:spacing w:after="0" w:line="240" w:lineRule="auto"/>
    </w:pPr>
    <w:rPr>
      <w:rFonts w:eastAsia="宋体" w:asciiTheme="minorHAnsi" w:hAnsiTheme="minorHAnsi" w:cstheme="minorBidi"/>
      <w:kern w:val="2"/>
      <w:sz w:val="24"/>
      <w:szCs w:val="24"/>
      <w:lang w:val="en-GB" w:eastAsia="en-US" w:bidi="ar-SA"/>
      <w14:ligatures w14:val="standardContextual"/>
    </w:rPr>
  </w:style>
  <w:style w:type="character" w:customStyle="1" w:styleId="45">
    <w:name w:val="Comment Text Char"/>
    <w:basedOn w:val="17"/>
    <w:link w:val="11"/>
    <w:uiPriority w:val="99"/>
    <w:rPr>
      <w:sz w:val="20"/>
      <w:szCs w:val="20"/>
    </w:rPr>
  </w:style>
  <w:style w:type="character" w:customStyle="1" w:styleId="46">
    <w:name w:val="Comment Subject Char"/>
    <w:basedOn w:val="45"/>
    <w:link w:val="14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ma="http://schemas.microsoft.com/office/2006/metadata/properties/metaAttributes" xmlns:ct="http://schemas.microsoft.com/office/2006/metadata/contentType" ma:contentTypeID="0x0101003E0E7D80358B05498AAD86436FFF3841" ct:_="" ma:_="" ma:contentTypeName="Document" ma:contentTypeVersion="18" ma:contentTypeScope="" ma:contentTypeDescription="Create a new document." ma:versionID="747f43af03aba09e27d9c45e851b52ae">
  <xsd:schema xmlns:xs="http://www.w3.org/2001/XMLSchema" xmlns:p="http://schemas.microsoft.com/office/2006/metadata/properties" xmlns:ns2="0bfbcbea-6f95-4c61-b234-a6bbe804a9e6" xmlns:ns3="d1395174-bdeb-4ce1-892c-65ecf02aaaf8" xmlns:xsd="http://www.w3.org/2001/XMLSchema" ns2:_="" ma:fieldsID="83b78dd7463e625c6ee6581975f86e23" ma:root="true" ns3:_="" targetNamespace="http://schemas.microsoft.com/office/2006/metadata/properties">
    <xsd:import namespace="0bfbcbea-6f95-4c61-b234-a6bbe804a9e6"/>
    <xsd:import namespace="d1395174-bdeb-4ce1-892c-65ecf02aaaf8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  <xsd:element minOccurs="0" ref="ns3:MediaServiceOCR"/>
                <xsd:element minOccurs="0" ref="ns3:MediaServiceLocation"/>
                <xsd:element minOccurs="0" ref="ns3:MediaServiceGenerationTime"/>
                <xsd:element minOccurs="0" ref="ns3:MediaServiceEventHashCode"/>
                <xsd:element minOccurs="0" ref="ns3:MediaServiceAutoKeyPoints"/>
                <xsd:element minOccurs="0" ref="ns3:MediaServiceKeyPoints"/>
                <xsd:element minOccurs="0" ref="ns3:lcf76f155ced4ddcb4097134ff3c332f"/>
                <xsd:element minOccurs="0" ref="ns2:TaxCatchAll"/>
                <xsd:element minOccurs="0" ref="ns3:MediaLengthInSeconds"/>
                <xsd:element minOccurs="0" ref="ns3:MediaServiceObjectDetectorVersions"/>
                <xsd:element minOccurs="0" ref="ns3:MediaServiceSearchProperties"/>
              </xsd:all>
            </xsd:complexType>
          </xsd:element>
        </xsd:sequence>
      </xsd:complex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elementFormDefault="qualified" targetNamespace="0bfbcbea-6f95-4c61-b234-a6bbe804a9e6">
    <xsd:import namespace="http://schemas.microsoft.com/office/2006/documentManagement/types"/>
    <xsd:import namespace="http://schemas.microsoft.com/office/infopath/2007/PartnerControls"/>
    <xsd:element ma:readOnly="true" ma:displayName="Shared With" nillable="true" ma:internalName="SharedWithUsers" ma:index="8" name="SharedWithUsers">
      <xsd:complexType>
        <xsd:complexContent>
          <xsd:extension base="dms:UserMulti">
            <xsd:sequence>
              <xsd:element minOccurs="0" name="UserInfo" maxOccurs="unbounded">
                <xsd:complexType>
                  <xsd:sequence>
                    <xsd:element minOccurs="0" type="xsd:string" name="DisplayName"/>
                    <xsd:element minOccurs="0" nillable="true" type="dms:UserId" name="AccountId"/>
                    <xsd:element minOccurs="0" type="xsd:string" name="AccountType"/>
                  </xsd:sequence>
                </xsd:complexType>
              </xsd:element>
            </xsd:sequence>
          </xsd:extension>
        </xsd:complexContent>
      </xsd:complexType>
    </xsd:element>
    <xsd:element ma:readOnly="true" ma:displayName="Shared With Details" nillable="true" ma:internalName="SharedWithDetails" ma:index="9" name="SharedWithDetails">
      <xsd:simpleType>
        <xsd:restriction base="dms:Note">
          <xsd:maxLength value="255"/>
        </xsd:restriction>
      </xsd:simpleType>
    </xsd:element>
    <xsd:element ma:list="{99a89a7e-35a0-4c85-9e66-9ece76e32d86}" ma:displayName="Taxonomy Catch All Column" nillable="true" ma:hidden="true" ma:internalName="TaxCatchAll" ma:index="22" ma:web="0bfbcbea-6f95-4c61-b234-a6bbe804a9e6" name="TaxCatchAll" ma:showField="CatchAllData">
      <xsd:complexType>
        <xsd:complexContent>
          <xsd:extension base="dms:MultiChoiceLookup">
            <xsd:sequence>
              <xsd:element minOccurs="0" nillable="true" type="dms:Lookup" name="Value" maxOccurs="unbounded"/>
            </xsd:sequence>
          </xsd:extension>
        </xsd:complexContent>
      </xsd:complex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elementFormDefault="qualified" targetNamespace="d1395174-bdeb-4ce1-892c-65ecf02aaaf8">
    <xsd:import namespace="http://schemas.microsoft.com/office/2006/documentManagement/types"/>
    <xsd:import namespace="http://schemas.microsoft.com/office/infopath/2007/PartnerControls"/>
    <xsd:element ma:readOnly="true" ma:displayName="MediaServiceMetadata" nillable="true" ma:hidden="true" ma:internalName="MediaServiceMetadata" ma:index="10" name="MediaServiceMetadata">
      <xsd:simpleType>
        <xsd:restriction base="dms:Note"/>
      </xsd:simpleType>
    </xsd:element>
    <xsd:element ma:readOnly="true" ma:displayName="MediaServiceFastMetadata" nillable="true" ma:hidden="true" ma:internalName="MediaServiceFastMetadata" ma:index="11" name="MediaServiceFastMetadata">
      <xsd:simpleType>
        <xsd:restriction base="dms:Note"/>
      </xsd:simpleType>
    </xsd:element>
    <xsd:element ma:readOnly="true" ma:displayName="MediaServiceDateTaken" nillable="true" ma:hidden="true" ma:internalName="MediaServiceDateTaken" ma:index="12" name="MediaServiceDateTaken">
      <xsd:simpleType>
        <xsd:restriction base="dms:Text"/>
      </xsd:simpleType>
    </xsd:element>
    <xsd:element ma:readOnly="true" ma:displayName="MediaServiceAutoTags" nillable="true" ma:internalName="MediaServiceAutoTags" ma:index="13" name="MediaServiceAutoTags">
      <xsd:simpleType>
        <xsd:restriction base="dms:Text"/>
      </xsd:simpleType>
    </xsd:element>
    <xsd:element ma:readOnly="true" ma:displayName="MediaServiceOCR" nillable="true" ma:internalName="MediaServiceOCR" ma:index="14" name="MediaServiceOCR">
      <xsd:simpleType>
        <xsd:restriction base="dms:Note">
          <xsd:maxLength value="255"/>
        </xsd:restriction>
      </xsd:simpleType>
    </xsd:element>
    <xsd:element ma:readOnly="true" ma:displayName="MediaServiceLocation" nillable="true" ma:internalName="MediaServiceLocation" ma:index="15" name="MediaServiceLocation">
      <xsd:simpleType>
        <xsd:restriction base="dms:Text"/>
      </xsd:simpleType>
    </xsd:element>
    <xsd:element ma:readOnly="true" ma:displayName="MediaServiceGenerationTime" nillable="true" ma:hidden="true" ma:internalName="MediaServiceGenerationTime" ma:index="16" name="MediaServiceGenerationTime">
      <xsd:simpleType>
        <xsd:restriction base="dms:Text"/>
      </xsd:simpleType>
    </xsd:element>
    <xsd:element ma:readOnly="true" ma:displayName="MediaServiceEventHashCode" nillable="true" ma:hidden="true" ma:internalName="MediaServiceEventHashCode" ma:index="17" name="MediaServiceEventHashCode">
      <xsd:simpleType>
        <xsd:restriction base="dms:Text"/>
      </xsd:simpleType>
    </xsd:element>
    <xsd:element ma:readOnly="true" ma:displayName="MediaServiceAutoKeyPoints" nillable="true" ma:hidden="true" ma:internalName="MediaServiceAutoKeyPoints" ma:index="18" name="MediaServiceAutoKeyPoints">
      <xsd:simpleType>
        <xsd:restriction base="dms:Note"/>
      </xsd:simpleType>
    </xsd:element>
    <xsd:element ma:readOnly="true" ma:displayName="KeyPoints" nillable="true" ma:internalName="MediaServiceKeyPoints" ma:index="19" name="MediaServiceKeyPoints">
      <xsd:simpleType>
        <xsd:restriction base="dms:Note">
          <xsd:maxLength value="255"/>
        </xsd:restriction>
      </xsd:simpleType>
    </xsd:element>
    <xsd:element ma:isKeyword="false" ma:open="true" ma:anchorId="fba54fb3-c3e1-fe81-a776-ca4b69148c4d" ma:readOnly="false" ma:taxonomyMulti="true" ma:termSetId="09814cd3-568e-fe90-9814-8d621ff8fb84" ma:displayName="Image Tags" nillable="true" ma:taxonomy="true" ma:sspId="9c0a45ee-8771-4b9b-8262-76eb4a5fdb71" ma:internalName="lcf76f155ced4ddcb4097134ff3c332f" ma:index="21" ma:taxonomyFieldName="MediaServiceImageTags" ma:fieldId="{5cf76f15-5ced-4ddc-b409-7134ff3c332f}" name="lcf76f155ced4ddcb4097134ff3c332f">
      <xsd:complexType>
        <xsd:sequence>
          <xsd:element minOccurs="0" ref="pc:Terms" maxOccurs="1"/>
        </xsd:sequence>
      </xsd:complexType>
    </xsd:element>
    <xsd:element ma:readOnly="true" ma:displayName="MediaLengthInSeconds" nillable="true" ma:hidden="true" ma:internalName="MediaLengthInSeconds" ma:index="23" name="MediaLengthInSeconds">
      <xsd:simpleType>
        <xsd:restriction base="dms:Unknown"/>
      </xsd:simpleType>
    </xsd:element>
    <xsd:element ma:readOnly="true" ma:displayName="MediaServiceObjectDetectorVersions" nillable="true" ma:hidden="true" ma:internalName="MediaServiceObjectDetectorVersions" ma:index="24" ma:indexed="true" name="MediaServiceObjectDetectorVersions">
      <xsd:simpleType>
        <xsd:restriction base="dms:Text"/>
      </xsd:simpleType>
    </xsd:element>
    <xsd:element ma:readOnly="true" ma:displayName="MediaServiceSearchProperties" nillable="true" ma:hidden="true" ma:internalName="MediaServiceSearchProperties" ma:index="25" name="MediaServiceSearchProperties">
      <xsd:simpleType>
        <xsd:restriction base="dms:Note"/>
      </xsd:simpleType>
    </xsd:element>
  </xsd:schema>
  <xsd:schema xmlns:dcterms="http://purl.org/dc/terms/" xmlns:xsi="http://www.w3.org/2001/XMLSchema-instance" xmlns="http://schemas.openxmlformats.org/package/2006/metadata/core-properties" xmlns:dc="http://purl.org/dc/elements/1.1/" xmlns:xsd="http://www.w3.org/2001/XMLSchema" xmlns:odoc="http://schemas.microsoft.com/internal/obd" blockDefault="#all" elementFormDefault="qualified" attributeFormDefault="unqualified" targetNamespace="http://schemas.openxmlformats.org/package/2006/metadata/core-properties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type="CT_coreProperties" name="coreProperties"/>
    <xsd:complexType name="CT_coreProperties">
      <xsd:all>
        <xsd:element minOccurs="0" ref="dc:creator" maxOccurs="1"/>
        <xsd:element minOccurs="0" ref="dcterms:created" maxOccurs="1"/>
        <xsd:element minOccurs="0" ref="dc:identifier" maxOccurs="1"/>
        <xsd:element minOccurs="0" ma:displayName="Content Type" type="xsd:string" ma:index="0" name="contentType" maxOccurs="1"/>
        <xsd:element minOccurs="0" ma:displayName="Title" ma:index="4" ref="dc:title" maxOccurs="1"/>
        <xsd:element minOccurs="0" ref="dc:subject" maxOccurs="1"/>
        <xsd:element minOccurs="0" ref="dc:description" maxOccurs="1"/>
        <xsd:element minOccurs="0" type="xsd:string" name="keywords" maxOccurs="1"/>
        <xsd:element minOccurs="0" ref="dc:language" maxOccurs="1"/>
        <xsd:element minOccurs="0" type="xsd:string" name="category" maxOccurs="1"/>
        <xsd:element minOccurs="0" type="xsd:string" name="version" maxOccurs="1"/>
        <xsd:element minOccurs="0" type="xsd:string" name="revision" maxOccurs="1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minOccurs="0" type="xsd:string" name="lastModifiedBy" maxOccurs="1"/>
        <xsd:element minOccurs="0" ref="dcterms:modified" maxOccurs="1"/>
        <xsd:element minOccurs="0" type="xsd:string" name="contentStatus" maxOccurs="1"/>
      </xsd:all>
    </xsd:complexType>
  </xsd:schema>
  <xs:schema xmlns:xs="http://www.w3.org/2001/XMLSchema" xmlns:pc="http://schemas.microsoft.com/office/infopath/2007/PartnerControls" elementFormDefault="qualified" attributeFormDefault="un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minOccurs="0" ref="pc:BDCEntity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minOccurs="0" ref="pc:TermInfo" maxOccurs="unbounded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type="xs:string" name="TermName"/>
    <xs:element type="xs:string" name="TermId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xsi="http://www.w3.org/2001/XMLSchema-instance" xmlns:p="http://schemas.microsoft.com/office/2006/metadata/properties" xmlns:pc="http://schemas.microsoft.com/office/infopath/2007/PartnerControls">
  <documentManagement>
    <TaxCatchAll xmlns="0bfbcbea-6f95-4c61-b234-a6bbe804a9e6" xsi:nil="true"/>
    <lcf76f155ced4ddcb4097134ff3c332f xmlns="d1395174-bdeb-4ce1-892c-65ecf02aa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5C4049-3406-4874-8811-BB84B7995ECC}">
  <ds:schemaRefs/>
</ds:datastoreItem>
</file>

<file path=customXml/itemProps2.xml><?xml version="1.0" encoding="utf-8"?>
<ds:datastoreItem xmlns:ds="http://schemas.openxmlformats.org/officeDocument/2006/customXml" ds:itemID="{559EA139-7B41-48F1-9990-5C8D3A4B7600}">
  <ds:schemaRefs/>
</ds:datastoreItem>
</file>

<file path=customXml/itemProps3.xml><?xml version="1.0" encoding="utf-8"?>
<ds:datastoreItem xmlns:ds="http://schemas.openxmlformats.org/officeDocument/2006/customXml" ds:itemID="{0632711E-2EB7-454C-9A1A-D6293A056F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Quacquarelli-Symonds</Company>
  <Pages>4</Pages>
  <Words>2825</Words>
  <Characters>5171</Characters>
  <Lines>517</Lines>
  <Paragraphs>615</Paragraphs>
  <TotalTime>1</TotalTime>
  <ScaleCrop>false</ScaleCrop>
  <LinksUpToDate>false</LinksUpToDate>
  <CharactersWithSpaces>7381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2025-11-18T14:26:00Z</dcterms:created>
  <dc:creator>William Barbieri</dc:creator>
  <cp:keywords>, docId:6FE9BE91014E811332CC568744674182</cp:keywords>
  <cp:lastModifiedBy>Phoebe</cp:lastModifiedBy>
  <dcterms:modified xsi:type="dcterms:W3CDTF">2025-11-18T10:52:36Z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0x0101003E0E7D80358B05498AAD86436FFF3841</vt:lpwstr>
  </property>
  <property fmtid="{D5CDD505-2E9C-101B-9397-08002B2CF9AE}" pid="3" name="MediaServiceImageTags">
    <vt:lpwstr/>
  </property>
  <property fmtid="{D5CDD505-2E9C-101B-9397-08002B2CF9AE}" pid="4" name="KSOProductBuildVer">
    <vt:lpwstr>2052-12.1.23540.23540</vt:lpwstr>
  </property>
  <property fmtid="{D5CDD505-2E9C-101B-9397-08002B2CF9AE}" pid="5" name="ICV">
    <vt:lpwstr>D2EE2A9BAB40AC6496D91B6985C70D4C_42</vt:lpwstr>
  </property>
</Properties>
</file>