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8D6B" w14:textId="77777777" w:rsidR="006D2A6C" w:rsidRDefault="00000000">
      <w:pPr>
        <w:spacing w:after="120"/>
      </w:pPr>
      <w:r>
        <w:rPr>
          <w:noProof/>
        </w:rPr>
        <w:drawing>
          <wp:inline distT="0" distB="0" distL="0" distR="0" wp14:anchorId="150C38AC" wp14:editId="10E6EC57">
            <wp:extent cx="2381250" cy="771525"/>
            <wp:effectExtent l="0" t="0" r="0" b="0"/>
            <wp:docPr id="1" name="QSWUR" descr="QS WUR logo" title="QS World University Ran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381250" cy="771525"/>
                    </a:xfrm>
                    <a:prstGeom prst="rect">
                      <a:avLst/>
                    </a:prstGeom>
                  </pic:spPr>
                </pic:pic>
              </a:graphicData>
            </a:graphic>
          </wp:inline>
        </w:drawing>
      </w:r>
    </w:p>
    <w:tbl>
      <w:tblPr>
        <w:tblW w:w="960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602"/>
      </w:tblGrid>
      <w:tr w:rsidR="006D2A6C" w14:paraId="4302EE3D" w14:textId="77777777" w:rsidTr="00DB2D4F">
        <w:tblPrEx>
          <w:tblCellMar>
            <w:top w:w="0" w:type="dxa"/>
            <w:bottom w:w="0" w:type="dxa"/>
          </w:tblCellMar>
        </w:tblPrEx>
        <w:tc>
          <w:tcPr>
            <w:tcW w:w="9602" w:type="dxa"/>
            <w:shd w:val="clear" w:color="auto" w:fill="C00000"/>
            <w:tcMar>
              <w:top w:w="90" w:type="dxa"/>
              <w:left w:w="140" w:type="dxa"/>
              <w:bottom w:w="90" w:type="dxa"/>
              <w:right w:w="140" w:type="dxa"/>
            </w:tcMar>
          </w:tcPr>
          <w:p w14:paraId="79B22A05" w14:textId="77777777" w:rsidR="006D2A6C" w:rsidRDefault="00000000">
            <w:pPr>
              <w:jc w:val="center"/>
            </w:pPr>
            <w:r w:rsidRPr="00DB2D4F">
              <w:rPr>
                <w:b/>
                <w:bCs/>
                <w:color w:val="FFFFFF" w:themeColor="background1"/>
              </w:rPr>
              <w:t>UNDER STRICT EMBARGO UNTIL THURSDAY 18 JUNE 2026 AT 02:01 AST</w:t>
            </w:r>
          </w:p>
        </w:tc>
      </w:tr>
    </w:tbl>
    <w:p w14:paraId="627A6DB4" w14:textId="77777777" w:rsidR="006D2A6C" w:rsidRDefault="00000000">
      <w:pPr>
        <w:spacing w:after="80"/>
      </w:pPr>
      <w:r>
        <w:rPr>
          <w:b/>
          <w:bCs/>
          <w:color w:val="6B6B6A"/>
          <w:sz w:val="18"/>
          <w:szCs w:val="18"/>
        </w:rPr>
        <w:t>QS World University Rankings 2027</w:t>
      </w:r>
    </w:p>
    <w:p w14:paraId="0DCF808A" w14:textId="500A88D2" w:rsidR="006D2A6C" w:rsidRDefault="00000000">
      <w:pPr>
        <w:spacing w:after="160" w:line="300" w:lineRule="auto"/>
      </w:pPr>
      <w:r>
        <w:rPr>
          <w:b/>
          <w:bCs/>
          <w:sz w:val="38"/>
          <w:szCs w:val="38"/>
        </w:rPr>
        <w:t>Arab Region soars as 21 universities place in the top 500 and 2</w:t>
      </w:r>
      <w:r w:rsidR="000D5692">
        <w:rPr>
          <w:b/>
          <w:bCs/>
          <w:sz w:val="38"/>
          <w:szCs w:val="38"/>
        </w:rPr>
        <w:t>4</w:t>
      </w:r>
      <w:r>
        <w:rPr>
          <w:b/>
          <w:bCs/>
          <w:sz w:val="38"/>
          <w:szCs w:val="38"/>
        </w:rPr>
        <w:t xml:space="preserve"> achieve record ranks</w:t>
      </w:r>
    </w:p>
    <w:p w14:paraId="6C82E20E" w14:textId="77777777" w:rsidR="006D2A6C" w:rsidRDefault="00000000">
      <w:pPr>
        <w:spacing w:after="120" w:line="264" w:lineRule="auto"/>
      </w:pPr>
      <w:r>
        <w:rPr>
          <w:b/>
          <w:bCs/>
        </w:rPr>
        <w:t xml:space="preserve">London, 18 June 2026: </w:t>
      </w:r>
      <w:r>
        <w:t xml:space="preserve">Some 109 universities from 15 higher education systems across the Arab-speaking world have featured in the latest </w:t>
      </w:r>
      <w:hyperlink r:id="rId8" w:history="1">
        <w:r>
          <w:rPr>
            <w:b/>
            <w:bCs/>
            <w:color w:val="F7A600"/>
            <w:u w:val="single"/>
          </w:rPr>
          <w:t>QS World University Rankings 2027</w:t>
        </w:r>
      </w:hyperlink>
      <w:r>
        <w:t>*, released today. A total of 38 universities from the region included in the ranking have improved their position this year, with KFUPM the top ranked institution across the region and the only one to feature among the global top 100.</w:t>
      </w:r>
    </w:p>
    <w:p w14:paraId="74272E91" w14:textId="77777777" w:rsidR="006D2A6C" w:rsidRPr="00DB2D4F" w:rsidRDefault="00000000">
      <w:pPr>
        <w:spacing w:after="200"/>
        <w:rPr>
          <w:color w:val="C00000"/>
        </w:rPr>
      </w:pPr>
      <w:r w:rsidRPr="00DB2D4F">
        <w:rPr>
          <w:i/>
          <w:iCs/>
          <w:color w:val="C00000"/>
          <w:sz w:val="17"/>
          <w:szCs w:val="17"/>
        </w:rPr>
        <w:t>* The link will be updated with the 2027 results when the embargo is lifted (the full rankings for the Arab Region can be found in the appendix to this release).</w:t>
      </w:r>
    </w:p>
    <w:tbl>
      <w:tblPr>
        <w:tblW w:w="9602" w:type="dxa"/>
        <w:tblBorders>
          <w:top w:val="none" w:sz="0" w:space="0" w:color="FFFFFF"/>
          <w:left w:val="none" w:sz="0" w:space="0" w:color="FFFFFF"/>
          <w:bottom w:val="none" w:sz="0" w:space="0" w:color="FFFFFF"/>
          <w:right w:val="none" w:sz="0" w:space="0" w:color="FFFFFF"/>
          <w:insideH w:val="none" w:sz="0" w:space="0" w:color="FFFFFF"/>
          <w:insideV w:val="single" w:sz="8" w:space="0" w:color="FFFFFF"/>
        </w:tblBorders>
        <w:tblCellMar>
          <w:left w:w="10" w:type="dxa"/>
          <w:right w:w="10" w:type="dxa"/>
        </w:tblCellMar>
        <w:tblLook w:val="04A0" w:firstRow="1" w:lastRow="0" w:firstColumn="1" w:lastColumn="0" w:noHBand="0" w:noVBand="1"/>
      </w:tblPr>
      <w:tblGrid>
        <w:gridCol w:w="2400"/>
        <w:gridCol w:w="2400"/>
        <w:gridCol w:w="2400"/>
        <w:gridCol w:w="2402"/>
      </w:tblGrid>
      <w:tr w:rsidR="006D2A6C" w14:paraId="495CAAC8" w14:textId="77777777">
        <w:tblPrEx>
          <w:tblCellMar>
            <w:top w:w="0" w:type="dxa"/>
            <w:bottom w:w="0" w:type="dxa"/>
          </w:tblCellMar>
        </w:tblPrEx>
        <w:tc>
          <w:tcPr>
            <w:tcW w:w="2400" w:type="dxa"/>
            <w:shd w:val="clear" w:color="auto" w:fill="FDEED0"/>
            <w:tcMar>
              <w:top w:w="120" w:type="dxa"/>
              <w:left w:w="100" w:type="dxa"/>
              <w:bottom w:w="120" w:type="dxa"/>
              <w:right w:w="100" w:type="dxa"/>
            </w:tcMar>
            <w:vAlign w:val="center"/>
          </w:tcPr>
          <w:p w14:paraId="1E3257B4" w14:textId="77777777" w:rsidR="006D2A6C" w:rsidRDefault="00000000">
            <w:pPr>
              <w:spacing w:after="20"/>
              <w:jc w:val="center"/>
            </w:pPr>
            <w:r>
              <w:rPr>
                <w:b/>
                <w:bCs/>
                <w:color w:val="F7A600"/>
                <w:sz w:val="36"/>
                <w:szCs w:val="36"/>
              </w:rPr>
              <w:t>109</w:t>
            </w:r>
          </w:p>
          <w:p w14:paraId="0C5B64F1" w14:textId="77777777" w:rsidR="006D2A6C" w:rsidRDefault="00000000">
            <w:pPr>
              <w:jc w:val="center"/>
            </w:pPr>
            <w:r>
              <w:rPr>
                <w:sz w:val="15"/>
                <w:szCs w:val="15"/>
              </w:rPr>
              <w:t>ranked universities</w:t>
            </w:r>
          </w:p>
        </w:tc>
        <w:tc>
          <w:tcPr>
            <w:tcW w:w="2400" w:type="dxa"/>
            <w:shd w:val="clear" w:color="auto" w:fill="FDEED0"/>
            <w:tcMar>
              <w:top w:w="120" w:type="dxa"/>
              <w:left w:w="100" w:type="dxa"/>
              <w:bottom w:w="120" w:type="dxa"/>
              <w:right w:w="100" w:type="dxa"/>
            </w:tcMar>
            <w:vAlign w:val="center"/>
          </w:tcPr>
          <w:p w14:paraId="293C2F25" w14:textId="77777777" w:rsidR="006D2A6C" w:rsidRDefault="00000000">
            <w:pPr>
              <w:spacing w:after="20"/>
              <w:jc w:val="center"/>
            </w:pPr>
            <w:r>
              <w:rPr>
                <w:b/>
                <w:bCs/>
                <w:color w:val="F7A600"/>
                <w:sz w:val="36"/>
                <w:szCs w:val="36"/>
              </w:rPr>
              <w:t>21</w:t>
            </w:r>
          </w:p>
          <w:p w14:paraId="04E95DC2" w14:textId="77777777" w:rsidR="006D2A6C" w:rsidRDefault="00000000">
            <w:pPr>
              <w:jc w:val="center"/>
            </w:pPr>
            <w:r>
              <w:rPr>
                <w:sz w:val="15"/>
                <w:szCs w:val="15"/>
              </w:rPr>
              <w:t>in the global top 500</w:t>
            </w:r>
          </w:p>
        </w:tc>
        <w:tc>
          <w:tcPr>
            <w:tcW w:w="2400" w:type="dxa"/>
            <w:shd w:val="clear" w:color="auto" w:fill="FDEED0"/>
            <w:tcMar>
              <w:top w:w="120" w:type="dxa"/>
              <w:left w:w="100" w:type="dxa"/>
              <w:bottom w:w="120" w:type="dxa"/>
              <w:right w:w="100" w:type="dxa"/>
            </w:tcMar>
            <w:vAlign w:val="center"/>
          </w:tcPr>
          <w:p w14:paraId="07BEA19D" w14:textId="77777777" w:rsidR="006D2A6C" w:rsidRDefault="00000000">
            <w:pPr>
              <w:spacing w:after="20"/>
              <w:jc w:val="center"/>
            </w:pPr>
            <w:r>
              <w:rPr>
                <w:b/>
                <w:bCs/>
                <w:color w:val="F7A600"/>
                <w:sz w:val="36"/>
                <w:szCs w:val="36"/>
              </w:rPr>
              <w:t>38</w:t>
            </w:r>
          </w:p>
          <w:p w14:paraId="374AB81C" w14:textId="77777777" w:rsidR="006D2A6C" w:rsidRDefault="00000000">
            <w:pPr>
              <w:jc w:val="center"/>
            </w:pPr>
            <w:r>
              <w:rPr>
                <w:sz w:val="15"/>
                <w:szCs w:val="15"/>
              </w:rPr>
              <w:t>improved their rank</w:t>
            </w:r>
          </w:p>
        </w:tc>
        <w:tc>
          <w:tcPr>
            <w:tcW w:w="2402" w:type="dxa"/>
            <w:shd w:val="clear" w:color="auto" w:fill="FDEED0"/>
            <w:tcMar>
              <w:top w:w="120" w:type="dxa"/>
              <w:left w:w="100" w:type="dxa"/>
              <w:bottom w:w="120" w:type="dxa"/>
              <w:right w:w="100" w:type="dxa"/>
            </w:tcMar>
            <w:vAlign w:val="center"/>
          </w:tcPr>
          <w:p w14:paraId="4885ED3A" w14:textId="6D7EB9C6" w:rsidR="006D2A6C" w:rsidRDefault="00000000">
            <w:pPr>
              <w:spacing w:after="20"/>
              <w:jc w:val="center"/>
            </w:pPr>
            <w:r>
              <w:rPr>
                <w:b/>
                <w:bCs/>
                <w:color w:val="F7A600"/>
                <w:sz w:val="36"/>
                <w:szCs w:val="36"/>
              </w:rPr>
              <w:t>2</w:t>
            </w:r>
            <w:r w:rsidR="00B548AD">
              <w:rPr>
                <w:b/>
                <w:bCs/>
                <w:color w:val="F7A600"/>
                <w:sz w:val="36"/>
                <w:szCs w:val="36"/>
              </w:rPr>
              <w:t>4</w:t>
            </w:r>
          </w:p>
          <w:p w14:paraId="54EAA8DB" w14:textId="77777777" w:rsidR="006D2A6C" w:rsidRDefault="00000000">
            <w:pPr>
              <w:jc w:val="center"/>
            </w:pPr>
            <w:r>
              <w:rPr>
                <w:sz w:val="15"/>
                <w:szCs w:val="15"/>
              </w:rPr>
              <w:t>at record highs</w:t>
            </w:r>
          </w:p>
        </w:tc>
      </w:tr>
    </w:tbl>
    <w:p w14:paraId="0310909A" w14:textId="77777777" w:rsidR="006D2A6C" w:rsidRDefault="006D2A6C">
      <w:pPr>
        <w:spacing w:after="160"/>
      </w:pPr>
    </w:p>
    <w:p w14:paraId="2D882489" w14:textId="77777777" w:rsidR="006D2A6C" w:rsidRDefault="00000000">
      <w:pPr>
        <w:spacing w:after="160" w:line="264" w:lineRule="auto"/>
      </w:pPr>
      <w:r>
        <w:t xml:space="preserve">In addition to the 38 institutions that improved their positions in 2027, 36 universities from the region dropped and 32 maintained their respective positions. Three universities entered the ranking this year: Egypt Japan University of Science &amp; Technology, in the 801-850 range; and Oman’s National University of Science and Technology and </w:t>
      </w:r>
      <w:proofErr w:type="spellStart"/>
      <w:r>
        <w:t>A’Sharqiyah</w:t>
      </w:r>
      <w:proofErr w:type="spellEnd"/>
      <w:r>
        <w:t xml:space="preserve"> University, both ranked in the 1201-1400 range.</w:t>
      </w:r>
    </w:p>
    <w:p w14:paraId="5AEE6546" w14:textId="6DFB0B4A" w:rsidR="006D2A6C" w:rsidRDefault="00000000">
      <w:pPr>
        <w:spacing w:after="160" w:line="264" w:lineRule="auto"/>
      </w:pPr>
      <w:r>
        <w:t xml:space="preserve">A number of institutions across </w:t>
      </w:r>
      <w:r w:rsidRPr="000D5692">
        <w:t>the region broke records this year. Saudi Arabia’s KFUPM (63rd) climbs, having entered the top 100 for the first time last year, and King Saud</w:t>
      </w:r>
      <w:r>
        <w:t xml:space="preserve"> University (107th) reaches a historic high alongside Qatar University (109th) and the UAE’s Khalifa University (147th). This marks the first time an </w:t>
      </w:r>
      <w:r w:rsidRPr="000D5692">
        <w:t>institution from the UAE has appeared among the top 150 in the world. In total, 2</w:t>
      </w:r>
      <w:r w:rsidR="00DB2D4F" w:rsidRPr="000D5692">
        <w:t>4</w:t>
      </w:r>
      <w:r w:rsidRPr="000D5692">
        <w:t xml:space="preserve"> institutions across the region achieved historic highs, including eight from the UAE, eight from Saudi Arabia, four from Jordan, and one each from Lebanon, Oman, Qatar and Tunisia.</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500"/>
        <w:gridCol w:w="1500"/>
        <w:gridCol w:w="5102"/>
      </w:tblGrid>
      <w:tr w:rsidR="006D2A6C" w14:paraId="2EC35C7E" w14:textId="77777777">
        <w:tblPrEx>
          <w:tblCellMar>
            <w:top w:w="0" w:type="dxa"/>
            <w:bottom w:w="0" w:type="dxa"/>
          </w:tblCellMar>
        </w:tblPrEx>
        <w:tc>
          <w:tcPr>
            <w:tcW w:w="9602" w:type="dxa"/>
            <w:gridSpan w:val="4"/>
            <w:tcBorders>
              <w:top w:val="single" w:sz="2" w:space="0" w:color="E2E2E2"/>
              <w:left w:val="single" w:sz="2" w:space="0" w:color="E2E2E2"/>
              <w:bottom w:val="single" w:sz="2" w:space="0" w:color="E2E2E2"/>
              <w:right w:val="single" w:sz="2" w:space="0" w:color="E2E2E2"/>
            </w:tcBorders>
            <w:shd w:val="clear" w:color="auto" w:fill="1D1D1B"/>
            <w:tcMar>
              <w:top w:w="80" w:type="dxa"/>
              <w:left w:w="120" w:type="dxa"/>
              <w:bottom w:w="80" w:type="dxa"/>
              <w:right w:w="120" w:type="dxa"/>
            </w:tcMar>
          </w:tcPr>
          <w:p w14:paraId="06B0268B" w14:textId="77777777" w:rsidR="006D2A6C" w:rsidRDefault="00000000">
            <w:r>
              <w:rPr>
                <w:b/>
                <w:bCs/>
                <w:color w:val="FFFFFF"/>
                <w:sz w:val="19"/>
                <w:szCs w:val="19"/>
              </w:rPr>
              <w:t>20 best-performing universities across the Arab Region in the QS World University Rankings 2027</w:t>
            </w:r>
          </w:p>
        </w:tc>
      </w:tr>
      <w:tr w:rsidR="006D2A6C" w14:paraId="5E542563" w14:textId="77777777">
        <w:tblPrEx>
          <w:tblCellMar>
            <w:top w:w="0" w:type="dxa"/>
            <w:bottom w:w="0" w:type="dxa"/>
          </w:tblCellMar>
        </w:tblPrEx>
        <w:trPr>
          <w:tblHeader/>
        </w:trPr>
        <w:tc>
          <w:tcPr>
            <w:tcW w:w="15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17C017E1" w14:textId="77777777" w:rsidR="006D2A6C" w:rsidRDefault="00000000">
            <w:r>
              <w:rPr>
                <w:b/>
                <w:bCs/>
                <w:sz w:val="17"/>
                <w:szCs w:val="17"/>
              </w:rPr>
              <w:t>National Rank</w:t>
            </w:r>
          </w:p>
        </w:tc>
        <w:tc>
          <w:tcPr>
            <w:tcW w:w="15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3F60DEDE" w14:textId="77777777" w:rsidR="006D2A6C" w:rsidRDefault="00000000">
            <w:pPr>
              <w:jc w:val="center"/>
            </w:pPr>
            <w:r>
              <w:rPr>
                <w:b/>
                <w:bCs/>
                <w:sz w:val="17"/>
                <w:szCs w:val="17"/>
              </w:rPr>
              <w:t>2027 Rank</w:t>
            </w:r>
          </w:p>
        </w:tc>
        <w:tc>
          <w:tcPr>
            <w:tcW w:w="15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0252B31C" w14:textId="77777777" w:rsidR="006D2A6C" w:rsidRDefault="00000000">
            <w:pPr>
              <w:jc w:val="center"/>
            </w:pPr>
            <w:r>
              <w:rPr>
                <w:b/>
                <w:bCs/>
                <w:sz w:val="17"/>
                <w:szCs w:val="17"/>
              </w:rPr>
              <w:t>2026 Rank</w:t>
            </w:r>
          </w:p>
        </w:tc>
        <w:tc>
          <w:tcPr>
            <w:tcW w:w="5102"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39ADDF16" w14:textId="77777777" w:rsidR="006D2A6C" w:rsidRDefault="00000000">
            <w:pPr>
              <w:jc w:val="center"/>
            </w:pPr>
            <w:r>
              <w:rPr>
                <w:b/>
                <w:bCs/>
                <w:sz w:val="17"/>
                <w:szCs w:val="17"/>
              </w:rPr>
              <w:t>Institution</w:t>
            </w:r>
          </w:p>
        </w:tc>
      </w:tr>
      <w:tr w:rsidR="006D2A6C" w14:paraId="458A6EC8"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D2B2200" w14:textId="77777777" w:rsidR="006D2A6C" w:rsidRDefault="00000000">
            <w:pPr>
              <w:jc w:val="center"/>
            </w:pPr>
            <w:r>
              <w:rPr>
                <w:b/>
                <w:bCs/>
                <w:sz w:val="18"/>
                <w:szCs w:val="18"/>
              </w:rPr>
              <w:t>1</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AC44E70" w14:textId="77777777" w:rsidR="006D2A6C" w:rsidRDefault="00000000">
            <w:pPr>
              <w:jc w:val="center"/>
            </w:pPr>
            <w:r>
              <w:rPr>
                <w:sz w:val="18"/>
                <w:szCs w:val="18"/>
              </w:rPr>
              <w:t>63</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80202DE" w14:textId="77777777" w:rsidR="006D2A6C" w:rsidRDefault="00000000">
            <w:pPr>
              <w:jc w:val="center"/>
            </w:pPr>
            <w:r>
              <w:rPr>
                <w:sz w:val="18"/>
                <w:szCs w:val="18"/>
              </w:rPr>
              <w:t>67</w:t>
            </w:r>
          </w:p>
        </w:tc>
        <w:tc>
          <w:tcPr>
            <w:tcW w:w="51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034D2DE" w14:textId="77777777" w:rsidR="006D2A6C" w:rsidRPr="00F96966" w:rsidRDefault="00000000">
            <w:pPr>
              <w:rPr>
                <w:b/>
                <w:bCs/>
              </w:rPr>
            </w:pPr>
            <w:r w:rsidRPr="00F96966">
              <w:rPr>
                <w:b/>
                <w:bCs/>
                <w:sz w:val="18"/>
                <w:szCs w:val="18"/>
              </w:rPr>
              <w:t>KFUPM</w:t>
            </w:r>
          </w:p>
        </w:tc>
      </w:tr>
      <w:tr w:rsidR="006D2A6C" w14:paraId="5504DAC2"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AC8CA37" w14:textId="77777777" w:rsidR="006D2A6C" w:rsidRDefault="00000000">
            <w:pPr>
              <w:jc w:val="center"/>
            </w:pPr>
            <w:r>
              <w:rPr>
                <w:b/>
                <w:bCs/>
                <w:sz w:val="18"/>
                <w:szCs w:val="18"/>
              </w:rPr>
              <w:t>2</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4029ED6" w14:textId="77777777" w:rsidR="006D2A6C" w:rsidRDefault="00000000">
            <w:pPr>
              <w:jc w:val="center"/>
            </w:pPr>
            <w:r>
              <w:rPr>
                <w:sz w:val="18"/>
                <w:szCs w:val="18"/>
              </w:rPr>
              <w:t>107</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3943F26" w14:textId="77777777" w:rsidR="006D2A6C" w:rsidRDefault="00000000">
            <w:pPr>
              <w:jc w:val="center"/>
            </w:pPr>
            <w:r>
              <w:rPr>
                <w:sz w:val="18"/>
                <w:szCs w:val="18"/>
              </w:rPr>
              <w:t>143</w:t>
            </w:r>
          </w:p>
        </w:tc>
        <w:tc>
          <w:tcPr>
            <w:tcW w:w="51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947729D" w14:textId="77777777" w:rsidR="006D2A6C" w:rsidRPr="00F96966" w:rsidRDefault="00000000">
            <w:pPr>
              <w:rPr>
                <w:b/>
                <w:bCs/>
              </w:rPr>
            </w:pPr>
            <w:r w:rsidRPr="00F96966">
              <w:rPr>
                <w:b/>
                <w:bCs/>
                <w:sz w:val="18"/>
                <w:szCs w:val="18"/>
              </w:rPr>
              <w:t>King Saud University</w:t>
            </w:r>
          </w:p>
        </w:tc>
      </w:tr>
      <w:tr w:rsidR="006D2A6C" w14:paraId="50B7AE8B"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64929A1" w14:textId="77777777" w:rsidR="006D2A6C" w:rsidRDefault="00000000">
            <w:pPr>
              <w:jc w:val="center"/>
            </w:pPr>
            <w:r>
              <w:rPr>
                <w:b/>
                <w:bCs/>
                <w:sz w:val="18"/>
                <w:szCs w:val="18"/>
              </w:rPr>
              <w:t>1</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FCEE792" w14:textId="77777777" w:rsidR="006D2A6C" w:rsidRDefault="00000000">
            <w:pPr>
              <w:jc w:val="center"/>
            </w:pPr>
            <w:r>
              <w:rPr>
                <w:sz w:val="18"/>
                <w:szCs w:val="18"/>
              </w:rPr>
              <w:t>109</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F969CF7" w14:textId="77777777" w:rsidR="006D2A6C" w:rsidRDefault="00000000">
            <w:pPr>
              <w:jc w:val="center"/>
            </w:pPr>
            <w:r>
              <w:rPr>
                <w:sz w:val="18"/>
                <w:szCs w:val="18"/>
              </w:rPr>
              <w:t>112</w:t>
            </w:r>
          </w:p>
        </w:tc>
        <w:tc>
          <w:tcPr>
            <w:tcW w:w="51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01069CD" w14:textId="77777777" w:rsidR="006D2A6C" w:rsidRPr="00F96966" w:rsidRDefault="00000000">
            <w:pPr>
              <w:rPr>
                <w:b/>
                <w:bCs/>
              </w:rPr>
            </w:pPr>
            <w:r w:rsidRPr="00F96966">
              <w:rPr>
                <w:b/>
                <w:bCs/>
                <w:sz w:val="18"/>
                <w:szCs w:val="18"/>
              </w:rPr>
              <w:t>Qatar University</w:t>
            </w:r>
          </w:p>
        </w:tc>
      </w:tr>
      <w:tr w:rsidR="006D2A6C" w14:paraId="53B2D603"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1AFF8DE" w14:textId="77777777" w:rsidR="006D2A6C" w:rsidRDefault="00000000">
            <w:pPr>
              <w:jc w:val="center"/>
            </w:pPr>
            <w:r>
              <w:rPr>
                <w:b/>
                <w:bCs/>
                <w:sz w:val="18"/>
                <w:szCs w:val="18"/>
              </w:rPr>
              <w:t>1</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6EB257B" w14:textId="77777777" w:rsidR="006D2A6C" w:rsidRDefault="00000000">
            <w:pPr>
              <w:jc w:val="center"/>
            </w:pPr>
            <w:r>
              <w:rPr>
                <w:sz w:val="18"/>
                <w:szCs w:val="18"/>
              </w:rPr>
              <w:t>147</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609A870" w14:textId="77777777" w:rsidR="006D2A6C" w:rsidRDefault="00000000">
            <w:pPr>
              <w:jc w:val="center"/>
            </w:pPr>
            <w:r>
              <w:rPr>
                <w:sz w:val="18"/>
                <w:szCs w:val="18"/>
              </w:rPr>
              <w:t>177</w:t>
            </w:r>
          </w:p>
        </w:tc>
        <w:tc>
          <w:tcPr>
            <w:tcW w:w="51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B8FB8D6" w14:textId="77777777" w:rsidR="006D2A6C" w:rsidRPr="00F96966" w:rsidRDefault="00000000">
            <w:pPr>
              <w:rPr>
                <w:b/>
                <w:bCs/>
              </w:rPr>
            </w:pPr>
            <w:r w:rsidRPr="00F96966">
              <w:rPr>
                <w:b/>
                <w:bCs/>
                <w:sz w:val="18"/>
                <w:szCs w:val="18"/>
              </w:rPr>
              <w:t>Khalifa University</w:t>
            </w:r>
          </w:p>
        </w:tc>
      </w:tr>
      <w:tr w:rsidR="006D2A6C" w14:paraId="7EA79472"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EC91D11" w14:textId="77777777" w:rsidR="006D2A6C" w:rsidRDefault="00000000">
            <w:pPr>
              <w:jc w:val="center"/>
            </w:pPr>
            <w:r>
              <w:rPr>
                <w:b/>
                <w:bCs/>
                <w:sz w:val="18"/>
                <w:szCs w:val="18"/>
              </w:rPr>
              <w:t>3</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46CBED6" w14:textId="77777777" w:rsidR="006D2A6C" w:rsidRDefault="00000000">
            <w:pPr>
              <w:jc w:val="center"/>
            </w:pPr>
            <w:r>
              <w:rPr>
                <w:sz w:val="18"/>
                <w:szCs w:val="18"/>
              </w:rPr>
              <w:t>200</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AE1F147" w14:textId="77777777" w:rsidR="006D2A6C" w:rsidRDefault="00000000">
            <w:pPr>
              <w:jc w:val="center"/>
            </w:pPr>
            <w:r>
              <w:rPr>
                <w:sz w:val="18"/>
                <w:szCs w:val="18"/>
              </w:rPr>
              <w:t>163</w:t>
            </w:r>
          </w:p>
        </w:tc>
        <w:tc>
          <w:tcPr>
            <w:tcW w:w="51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8F23351" w14:textId="77777777" w:rsidR="006D2A6C" w:rsidRDefault="00000000">
            <w:r>
              <w:rPr>
                <w:sz w:val="18"/>
                <w:szCs w:val="18"/>
              </w:rPr>
              <w:t>King Abdulaziz University (KAU)</w:t>
            </w:r>
          </w:p>
        </w:tc>
      </w:tr>
      <w:tr w:rsidR="006D2A6C" w14:paraId="5C477437"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DF6DA83" w14:textId="77777777" w:rsidR="006D2A6C" w:rsidRDefault="00000000">
            <w:pPr>
              <w:jc w:val="center"/>
            </w:pPr>
            <w:r>
              <w:rPr>
                <w:b/>
                <w:bCs/>
                <w:sz w:val="18"/>
                <w:szCs w:val="18"/>
              </w:rPr>
              <w:t>2</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229D299" w14:textId="77777777" w:rsidR="006D2A6C" w:rsidRDefault="00000000">
            <w:pPr>
              <w:jc w:val="center"/>
            </w:pPr>
            <w:r>
              <w:rPr>
                <w:sz w:val="18"/>
                <w:szCs w:val="18"/>
              </w:rPr>
              <w:t>213</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980E691" w14:textId="77777777" w:rsidR="006D2A6C" w:rsidRDefault="00000000">
            <w:pPr>
              <w:jc w:val="center"/>
            </w:pPr>
            <w:r>
              <w:rPr>
                <w:sz w:val="18"/>
                <w:szCs w:val="18"/>
              </w:rPr>
              <w:t>244</w:t>
            </w:r>
          </w:p>
        </w:tc>
        <w:tc>
          <w:tcPr>
            <w:tcW w:w="51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119F7E3" w14:textId="77777777" w:rsidR="006D2A6C" w:rsidRDefault="00000000">
            <w:r>
              <w:rPr>
                <w:sz w:val="18"/>
                <w:szCs w:val="18"/>
              </w:rPr>
              <w:t>Hamad Bin Khalifa University (HBKU)</w:t>
            </w:r>
          </w:p>
        </w:tc>
      </w:tr>
      <w:tr w:rsidR="006D2A6C" w14:paraId="5C1EBA8D"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C423707" w14:textId="77777777" w:rsidR="006D2A6C" w:rsidRDefault="00000000">
            <w:pPr>
              <w:jc w:val="center"/>
            </w:pPr>
            <w:r>
              <w:rPr>
                <w:b/>
                <w:bCs/>
                <w:sz w:val="18"/>
                <w:szCs w:val="18"/>
              </w:rPr>
              <w:t>2</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345CCB3" w14:textId="77777777" w:rsidR="006D2A6C" w:rsidRDefault="00000000">
            <w:pPr>
              <w:jc w:val="center"/>
            </w:pPr>
            <w:r>
              <w:rPr>
                <w:sz w:val="18"/>
                <w:szCs w:val="18"/>
              </w:rPr>
              <w:t>217</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7CAE1F8" w14:textId="77777777" w:rsidR="006D2A6C" w:rsidRDefault="00000000">
            <w:pPr>
              <w:jc w:val="center"/>
            </w:pPr>
            <w:r>
              <w:rPr>
                <w:sz w:val="18"/>
                <w:szCs w:val="18"/>
              </w:rPr>
              <w:t>229</w:t>
            </w:r>
          </w:p>
        </w:tc>
        <w:tc>
          <w:tcPr>
            <w:tcW w:w="51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D4BB2FE" w14:textId="77777777" w:rsidR="006D2A6C" w:rsidRPr="00F96966" w:rsidRDefault="00000000">
            <w:pPr>
              <w:rPr>
                <w:b/>
                <w:bCs/>
              </w:rPr>
            </w:pPr>
            <w:r w:rsidRPr="00F96966">
              <w:rPr>
                <w:b/>
                <w:bCs/>
                <w:sz w:val="18"/>
                <w:szCs w:val="18"/>
              </w:rPr>
              <w:t>United Arab Emirates University</w:t>
            </w:r>
          </w:p>
        </w:tc>
      </w:tr>
      <w:tr w:rsidR="006D2A6C" w14:paraId="381272DB"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1E78BDD" w14:textId="77777777" w:rsidR="006D2A6C" w:rsidRDefault="00000000">
            <w:pPr>
              <w:jc w:val="center"/>
            </w:pPr>
            <w:r>
              <w:rPr>
                <w:b/>
                <w:bCs/>
                <w:sz w:val="18"/>
                <w:szCs w:val="18"/>
              </w:rPr>
              <w:t>1</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AED728E" w14:textId="77777777" w:rsidR="006D2A6C" w:rsidRDefault="00000000">
            <w:pPr>
              <w:jc w:val="center"/>
            </w:pPr>
            <w:r>
              <w:rPr>
                <w:sz w:val="18"/>
                <w:szCs w:val="18"/>
              </w:rPr>
              <w:t>223</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2508030" w14:textId="77777777" w:rsidR="006D2A6C" w:rsidRDefault="00000000">
            <w:pPr>
              <w:jc w:val="center"/>
            </w:pPr>
            <w:r>
              <w:rPr>
                <w:sz w:val="18"/>
                <w:szCs w:val="18"/>
              </w:rPr>
              <w:t>237</w:t>
            </w:r>
          </w:p>
        </w:tc>
        <w:tc>
          <w:tcPr>
            <w:tcW w:w="51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55279AB" w14:textId="77777777" w:rsidR="006D2A6C" w:rsidRDefault="00000000">
            <w:r>
              <w:rPr>
                <w:sz w:val="18"/>
                <w:szCs w:val="18"/>
              </w:rPr>
              <w:t>American University of Beirut (AUB)</w:t>
            </w:r>
          </w:p>
        </w:tc>
      </w:tr>
      <w:tr w:rsidR="006D2A6C" w14:paraId="65E2EDF4"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6CD1E51" w14:textId="77777777" w:rsidR="006D2A6C" w:rsidRDefault="00000000">
            <w:pPr>
              <w:jc w:val="center"/>
            </w:pPr>
            <w:r>
              <w:rPr>
                <w:b/>
                <w:bCs/>
                <w:sz w:val="18"/>
                <w:szCs w:val="18"/>
              </w:rPr>
              <w:t>3</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610CC55" w14:textId="77777777" w:rsidR="006D2A6C" w:rsidRDefault="00000000">
            <w:pPr>
              <w:jc w:val="center"/>
            </w:pPr>
            <w:r>
              <w:rPr>
                <w:sz w:val="18"/>
                <w:szCs w:val="18"/>
              </w:rPr>
              <w:t>258</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D7BE0F2" w14:textId="77777777" w:rsidR="006D2A6C" w:rsidRDefault="00000000">
            <w:pPr>
              <w:jc w:val="center"/>
            </w:pPr>
            <w:r>
              <w:rPr>
                <w:sz w:val="18"/>
                <w:szCs w:val="18"/>
              </w:rPr>
              <w:t>272</w:t>
            </w:r>
          </w:p>
        </w:tc>
        <w:tc>
          <w:tcPr>
            <w:tcW w:w="51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4719EB9" w14:textId="77777777" w:rsidR="006D2A6C" w:rsidRPr="00F96966" w:rsidRDefault="00000000">
            <w:pPr>
              <w:rPr>
                <w:b/>
                <w:bCs/>
              </w:rPr>
            </w:pPr>
            <w:r w:rsidRPr="00F96966">
              <w:rPr>
                <w:b/>
                <w:bCs/>
                <w:sz w:val="18"/>
                <w:szCs w:val="18"/>
              </w:rPr>
              <w:t>American University of Sharjah</w:t>
            </w:r>
          </w:p>
        </w:tc>
      </w:tr>
      <w:tr w:rsidR="006D2A6C" w14:paraId="566AA6F6"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DCFA62C" w14:textId="77777777" w:rsidR="006D2A6C" w:rsidRDefault="00000000">
            <w:pPr>
              <w:jc w:val="center"/>
            </w:pPr>
            <w:r>
              <w:rPr>
                <w:b/>
                <w:bCs/>
                <w:sz w:val="18"/>
                <w:szCs w:val="18"/>
              </w:rPr>
              <w:t>4</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226BB7B" w14:textId="77777777" w:rsidR="006D2A6C" w:rsidRDefault="00000000">
            <w:pPr>
              <w:jc w:val="center"/>
            </w:pPr>
            <w:r>
              <w:rPr>
                <w:sz w:val="18"/>
                <w:szCs w:val="18"/>
              </w:rPr>
              <w:t>283</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2F31AD4" w14:textId="77777777" w:rsidR="006D2A6C" w:rsidRDefault="00000000">
            <w:pPr>
              <w:jc w:val="center"/>
            </w:pPr>
            <w:r>
              <w:rPr>
                <w:sz w:val="18"/>
                <w:szCs w:val="18"/>
              </w:rPr>
              <w:t>328</w:t>
            </w:r>
          </w:p>
        </w:tc>
        <w:tc>
          <w:tcPr>
            <w:tcW w:w="51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358F2E3" w14:textId="77777777" w:rsidR="006D2A6C" w:rsidRPr="00F96966" w:rsidRDefault="00000000">
            <w:pPr>
              <w:rPr>
                <w:b/>
                <w:bCs/>
              </w:rPr>
            </w:pPr>
            <w:r w:rsidRPr="00F96966">
              <w:rPr>
                <w:b/>
                <w:bCs/>
                <w:sz w:val="18"/>
                <w:szCs w:val="18"/>
              </w:rPr>
              <w:t>University of Sharjah</w:t>
            </w:r>
          </w:p>
        </w:tc>
      </w:tr>
      <w:tr w:rsidR="006D2A6C" w14:paraId="62925FFF"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494038F" w14:textId="77777777" w:rsidR="006D2A6C" w:rsidRDefault="00000000">
            <w:pPr>
              <w:jc w:val="center"/>
            </w:pPr>
            <w:r>
              <w:rPr>
                <w:b/>
                <w:bCs/>
                <w:sz w:val="18"/>
                <w:szCs w:val="18"/>
              </w:rPr>
              <w:t>1</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D5956C5" w14:textId="77777777" w:rsidR="006D2A6C" w:rsidRDefault="00000000">
            <w:pPr>
              <w:jc w:val="center"/>
            </w:pPr>
            <w:r>
              <w:rPr>
                <w:sz w:val="18"/>
                <w:szCs w:val="18"/>
              </w:rPr>
              <w:t>306</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762AAE4" w14:textId="77777777" w:rsidR="006D2A6C" w:rsidRDefault="00000000">
            <w:pPr>
              <w:jc w:val="center"/>
            </w:pPr>
            <w:r>
              <w:rPr>
                <w:sz w:val="18"/>
                <w:szCs w:val="18"/>
              </w:rPr>
              <w:t>334</w:t>
            </w:r>
          </w:p>
        </w:tc>
        <w:tc>
          <w:tcPr>
            <w:tcW w:w="51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F42D92D" w14:textId="77777777" w:rsidR="006D2A6C" w:rsidRPr="00F96966" w:rsidRDefault="00000000">
            <w:pPr>
              <w:rPr>
                <w:b/>
                <w:bCs/>
              </w:rPr>
            </w:pPr>
            <w:r w:rsidRPr="00F96966">
              <w:rPr>
                <w:b/>
                <w:bCs/>
                <w:sz w:val="18"/>
                <w:szCs w:val="18"/>
              </w:rPr>
              <w:t>Sultan Qaboos University</w:t>
            </w:r>
          </w:p>
        </w:tc>
      </w:tr>
      <w:tr w:rsidR="006D2A6C" w14:paraId="476C4AE9"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479B2DF" w14:textId="77777777" w:rsidR="006D2A6C" w:rsidRDefault="00000000">
            <w:pPr>
              <w:jc w:val="center"/>
            </w:pPr>
            <w:r>
              <w:rPr>
                <w:b/>
                <w:bCs/>
                <w:sz w:val="18"/>
                <w:szCs w:val="18"/>
              </w:rPr>
              <w:t>1</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BCFEACD" w14:textId="77777777" w:rsidR="006D2A6C" w:rsidRDefault="00000000">
            <w:pPr>
              <w:jc w:val="center"/>
            </w:pPr>
            <w:r>
              <w:rPr>
                <w:sz w:val="18"/>
                <w:szCs w:val="18"/>
              </w:rPr>
              <w:t>326</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26FB9DA" w14:textId="77777777" w:rsidR="006D2A6C" w:rsidRDefault="00000000">
            <w:pPr>
              <w:jc w:val="center"/>
            </w:pPr>
            <w:r>
              <w:rPr>
                <w:sz w:val="18"/>
                <w:szCs w:val="18"/>
              </w:rPr>
              <w:t>324</w:t>
            </w:r>
          </w:p>
        </w:tc>
        <w:tc>
          <w:tcPr>
            <w:tcW w:w="51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339B1F1" w14:textId="77777777" w:rsidR="006D2A6C" w:rsidRDefault="00000000">
            <w:r>
              <w:rPr>
                <w:sz w:val="18"/>
                <w:szCs w:val="18"/>
              </w:rPr>
              <w:t>University of Jordan</w:t>
            </w:r>
          </w:p>
        </w:tc>
      </w:tr>
      <w:tr w:rsidR="006D2A6C" w14:paraId="79897297"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08296C0" w14:textId="77777777" w:rsidR="006D2A6C" w:rsidRDefault="00000000">
            <w:pPr>
              <w:jc w:val="center"/>
            </w:pPr>
            <w:r>
              <w:rPr>
                <w:b/>
                <w:bCs/>
                <w:sz w:val="18"/>
                <w:szCs w:val="18"/>
              </w:rPr>
              <w:lastRenderedPageBreak/>
              <w:t>5</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CDE0FE0" w14:textId="77777777" w:rsidR="006D2A6C" w:rsidRDefault="00000000">
            <w:pPr>
              <w:jc w:val="center"/>
            </w:pPr>
            <w:r>
              <w:rPr>
                <w:sz w:val="18"/>
                <w:szCs w:val="18"/>
              </w:rPr>
              <w:t>348</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E13F331" w14:textId="77777777" w:rsidR="006D2A6C" w:rsidRDefault="00000000">
            <w:pPr>
              <w:jc w:val="center"/>
            </w:pPr>
            <w:r>
              <w:rPr>
                <w:sz w:val="18"/>
                <w:szCs w:val="18"/>
              </w:rPr>
              <w:t>391</w:t>
            </w:r>
          </w:p>
        </w:tc>
        <w:tc>
          <w:tcPr>
            <w:tcW w:w="51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E659171" w14:textId="77777777" w:rsidR="006D2A6C" w:rsidRPr="00F96966" w:rsidRDefault="00000000">
            <w:pPr>
              <w:rPr>
                <w:b/>
                <w:bCs/>
              </w:rPr>
            </w:pPr>
            <w:r w:rsidRPr="00F96966">
              <w:rPr>
                <w:b/>
                <w:bCs/>
                <w:sz w:val="18"/>
                <w:szCs w:val="18"/>
              </w:rPr>
              <w:t>Abu Dhabi University</w:t>
            </w:r>
          </w:p>
        </w:tc>
      </w:tr>
      <w:tr w:rsidR="006D2A6C" w14:paraId="6E2EA99A"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8FE0331" w14:textId="77777777" w:rsidR="006D2A6C" w:rsidRDefault="00000000">
            <w:pPr>
              <w:jc w:val="center"/>
            </w:pPr>
            <w:r>
              <w:rPr>
                <w:b/>
                <w:bCs/>
                <w:sz w:val="18"/>
                <w:szCs w:val="18"/>
              </w:rPr>
              <w:t>1</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3CD3DDA" w14:textId="77777777" w:rsidR="006D2A6C" w:rsidRDefault="00000000">
            <w:pPr>
              <w:jc w:val="center"/>
            </w:pPr>
            <w:r>
              <w:rPr>
                <w:sz w:val="18"/>
                <w:szCs w:val="18"/>
              </w:rPr>
              <w:t>363</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3CA9FDF" w14:textId="77777777" w:rsidR="006D2A6C" w:rsidRDefault="00000000">
            <w:pPr>
              <w:jc w:val="center"/>
            </w:pPr>
            <w:r>
              <w:rPr>
                <w:sz w:val="18"/>
                <w:szCs w:val="18"/>
              </w:rPr>
              <w:t>347</w:t>
            </w:r>
          </w:p>
        </w:tc>
        <w:tc>
          <w:tcPr>
            <w:tcW w:w="51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F641962" w14:textId="77777777" w:rsidR="006D2A6C" w:rsidRDefault="00000000">
            <w:r>
              <w:rPr>
                <w:sz w:val="18"/>
                <w:szCs w:val="18"/>
              </w:rPr>
              <w:t>Cairo University</w:t>
            </w:r>
          </w:p>
        </w:tc>
      </w:tr>
      <w:tr w:rsidR="006D2A6C" w14:paraId="237EE0E2"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F2D7375" w14:textId="77777777" w:rsidR="006D2A6C" w:rsidRDefault="00000000">
            <w:pPr>
              <w:jc w:val="center"/>
            </w:pPr>
            <w:r>
              <w:rPr>
                <w:b/>
                <w:bCs/>
                <w:sz w:val="18"/>
                <w:szCs w:val="18"/>
              </w:rPr>
              <w:t>2</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DB30261" w14:textId="77777777" w:rsidR="006D2A6C" w:rsidRDefault="00000000">
            <w:pPr>
              <w:jc w:val="center"/>
            </w:pPr>
            <w:r>
              <w:rPr>
                <w:sz w:val="18"/>
                <w:szCs w:val="18"/>
              </w:rPr>
              <w:t>390</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76F29E4" w14:textId="77777777" w:rsidR="006D2A6C" w:rsidRDefault="00000000">
            <w:pPr>
              <w:jc w:val="center"/>
            </w:pPr>
            <w:r>
              <w:rPr>
                <w:sz w:val="18"/>
                <w:szCs w:val="18"/>
              </w:rPr>
              <w:t>381</w:t>
            </w:r>
          </w:p>
        </w:tc>
        <w:tc>
          <w:tcPr>
            <w:tcW w:w="51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EA6E3D3" w14:textId="77777777" w:rsidR="006D2A6C" w:rsidRDefault="00000000">
            <w:r>
              <w:rPr>
                <w:sz w:val="18"/>
                <w:szCs w:val="18"/>
              </w:rPr>
              <w:t>The American University in Cairo</w:t>
            </w:r>
          </w:p>
        </w:tc>
      </w:tr>
      <w:tr w:rsidR="006D2A6C" w14:paraId="117F3DE6"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585FFAA" w14:textId="77777777" w:rsidR="006D2A6C" w:rsidRDefault="00000000">
            <w:pPr>
              <w:jc w:val="center"/>
            </w:pPr>
            <w:r>
              <w:rPr>
                <w:b/>
                <w:bCs/>
                <w:sz w:val="18"/>
                <w:szCs w:val="18"/>
              </w:rPr>
              <w:t>6</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0ADF421" w14:textId="77777777" w:rsidR="006D2A6C" w:rsidRDefault="00000000">
            <w:pPr>
              <w:jc w:val="center"/>
            </w:pPr>
            <w:r>
              <w:rPr>
                <w:sz w:val="18"/>
                <w:szCs w:val="18"/>
              </w:rPr>
              <w:t>397</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C7B4185" w14:textId="77777777" w:rsidR="006D2A6C" w:rsidRDefault="00000000">
            <w:pPr>
              <w:jc w:val="center"/>
            </w:pPr>
            <w:r>
              <w:rPr>
                <w:sz w:val="18"/>
                <w:szCs w:val="18"/>
              </w:rPr>
              <w:t>440</w:t>
            </w:r>
          </w:p>
        </w:tc>
        <w:tc>
          <w:tcPr>
            <w:tcW w:w="51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F8D799D" w14:textId="77777777" w:rsidR="006D2A6C" w:rsidRPr="00F96966" w:rsidRDefault="00000000">
            <w:pPr>
              <w:rPr>
                <w:b/>
                <w:bCs/>
              </w:rPr>
            </w:pPr>
            <w:r w:rsidRPr="00F96966">
              <w:rPr>
                <w:b/>
                <w:bCs/>
                <w:sz w:val="18"/>
                <w:szCs w:val="18"/>
              </w:rPr>
              <w:t>Ajman University</w:t>
            </w:r>
          </w:p>
        </w:tc>
      </w:tr>
      <w:tr w:rsidR="006D2A6C" w14:paraId="51BB5351"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9766D6E" w14:textId="77777777" w:rsidR="006D2A6C" w:rsidRDefault="00000000">
            <w:pPr>
              <w:jc w:val="center"/>
            </w:pPr>
            <w:r>
              <w:rPr>
                <w:b/>
                <w:bCs/>
                <w:sz w:val="18"/>
                <w:szCs w:val="18"/>
              </w:rPr>
              <w:t>4</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F50FCBD" w14:textId="77777777" w:rsidR="006D2A6C" w:rsidRDefault="00000000">
            <w:pPr>
              <w:jc w:val="center"/>
            </w:pPr>
            <w:r>
              <w:rPr>
                <w:sz w:val="18"/>
                <w:szCs w:val="18"/>
              </w:rPr>
              <w:t>421</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0FCA817" w14:textId="77777777" w:rsidR="006D2A6C" w:rsidRDefault="00000000">
            <w:pPr>
              <w:jc w:val="center"/>
            </w:pPr>
            <w:r>
              <w:rPr>
                <w:sz w:val="18"/>
                <w:szCs w:val="18"/>
              </w:rPr>
              <w:t>436</w:t>
            </w:r>
          </w:p>
        </w:tc>
        <w:tc>
          <w:tcPr>
            <w:tcW w:w="51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7C9547F" w14:textId="77777777" w:rsidR="006D2A6C" w:rsidRPr="00F96966" w:rsidRDefault="00000000">
            <w:pPr>
              <w:rPr>
                <w:b/>
                <w:bCs/>
              </w:rPr>
            </w:pPr>
            <w:r w:rsidRPr="00F96966">
              <w:rPr>
                <w:b/>
                <w:bCs/>
                <w:sz w:val="18"/>
                <w:szCs w:val="18"/>
              </w:rPr>
              <w:t>Prince Mohammad Bin Fahd University</w:t>
            </w:r>
          </w:p>
        </w:tc>
      </w:tr>
      <w:tr w:rsidR="006D2A6C" w14:paraId="0531E1C0"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A7839B2" w14:textId="77777777" w:rsidR="006D2A6C" w:rsidRDefault="00000000">
            <w:pPr>
              <w:jc w:val="center"/>
            </w:pPr>
            <w:r>
              <w:rPr>
                <w:b/>
                <w:bCs/>
                <w:sz w:val="18"/>
                <w:szCs w:val="18"/>
              </w:rPr>
              <w:t>2</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14A3164" w14:textId="77777777" w:rsidR="006D2A6C" w:rsidRDefault="00000000">
            <w:pPr>
              <w:jc w:val="center"/>
            </w:pPr>
            <w:r>
              <w:rPr>
                <w:sz w:val="18"/>
                <w:szCs w:val="18"/>
              </w:rPr>
              <w:t>449</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65586FE" w14:textId="77777777" w:rsidR="006D2A6C" w:rsidRDefault="00000000">
            <w:pPr>
              <w:jc w:val="center"/>
            </w:pPr>
            <w:r>
              <w:rPr>
                <w:sz w:val="18"/>
                <w:szCs w:val="18"/>
              </w:rPr>
              <w:t>461</w:t>
            </w:r>
          </w:p>
        </w:tc>
        <w:tc>
          <w:tcPr>
            <w:tcW w:w="51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A28AAEB" w14:textId="77777777" w:rsidR="006D2A6C" w:rsidRPr="00F96966" w:rsidRDefault="00000000">
            <w:pPr>
              <w:rPr>
                <w:b/>
                <w:bCs/>
              </w:rPr>
            </w:pPr>
            <w:r w:rsidRPr="00F96966">
              <w:rPr>
                <w:b/>
                <w:bCs/>
                <w:sz w:val="18"/>
                <w:szCs w:val="18"/>
              </w:rPr>
              <w:t>Jordan University of Science &amp; Technology</w:t>
            </w:r>
          </w:p>
        </w:tc>
      </w:tr>
      <w:tr w:rsidR="006D2A6C" w14:paraId="6C6BB137"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5AE3746" w14:textId="77777777" w:rsidR="006D2A6C" w:rsidRDefault="00000000">
            <w:pPr>
              <w:jc w:val="center"/>
            </w:pPr>
            <w:r>
              <w:rPr>
                <w:b/>
                <w:bCs/>
                <w:sz w:val="18"/>
                <w:szCs w:val="18"/>
              </w:rPr>
              <w:t>2</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78B5EEE" w14:textId="77777777" w:rsidR="006D2A6C" w:rsidRDefault="00000000">
            <w:pPr>
              <w:jc w:val="center"/>
            </w:pPr>
            <w:r>
              <w:rPr>
                <w:sz w:val="18"/>
                <w:szCs w:val="18"/>
              </w:rPr>
              <w:t>477</w:t>
            </w:r>
          </w:p>
        </w:tc>
        <w:tc>
          <w:tcPr>
            <w:tcW w:w="15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8C5BCE1" w14:textId="77777777" w:rsidR="006D2A6C" w:rsidRDefault="00000000">
            <w:pPr>
              <w:jc w:val="center"/>
            </w:pPr>
            <w:r>
              <w:rPr>
                <w:sz w:val="18"/>
                <w:szCs w:val="18"/>
              </w:rPr>
              <w:t>535</w:t>
            </w:r>
          </w:p>
        </w:tc>
        <w:tc>
          <w:tcPr>
            <w:tcW w:w="51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4EBFD93" w14:textId="77777777" w:rsidR="006D2A6C" w:rsidRPr="00F96966" w:rsidRDefault="00000000">
            <w:pPr>
              <w:rPr>
                <w:b/>
                <w:bCs/>
              </w:rPr>
            </w:pPr>
            <w:r w:rsidRPr="00F96966">
              <w:rPr>
                <w:b/>
                <w:bCs/>
                <w:sz w:val="18"/>
                <w:szCs w:val="18"/>
              </w:rPr>
              <w:t>Lebanese American University</w:t>
            </w:r>
          </w:p>
        </w:tc>
      </w:tr>
      <w:tr w:rsidR="006D2A6C" w14:paraId="12AAD7B2" w14:textId="77777777">
        <w:tblPrEx>
          <w:tblCellMar>
            <w:top w:w="0" w:type="dxa"/>
            <w:bottom w:w="0" w:type="dxa"/>
          </w:tblCellMar>
        </w:tblPrEx>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A7A6963" w14:textId="77777777" w:rsidR="006D2A6C" w:rsidRDefault="00000000">
            <w:pPr>
              <w:jc w:val="center"/>
            </w:pPr>
            <w:r>
              <w:rPr>
                <w:b/>
                <w:bCs/>
                <w:sz w:val="18"/>
                <w:szCs w:val="18"/>
              </w:rPr>
              <w:t>6</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529F612" w14:textId="77777777" w:rsidR="006D2A6C" w:rsidRDefault="00000000">
            <w:pPr>
              <w:jc w:val="center"/>
            </w:pPr>
            <w:r>
              <w:rPr>
                <w:sz w:val="18"/>
                <w:szCs w:val="18"/>
              </w:rPr>
              <w:t>488</w:t>
            </w:r>
          </w:p>
        </w:tc>
        <w:tc>
          <w:tcPr>
            <w:tcW w:w="15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5D1FB29" w14:textId="77777777" w:rsidR="006D2A6C" w:rsidRDefault="00000000">
            <w:pPr>
              <w:jc w:val="center"/>
            </w:pPr>
            <w:r>
              <w:rPr>
                <w:sz w:val="18"/>
                <w:szCs w:val="18"/>
              </w:rPr>
              <w:t>535</w:t>
            </w:r>
          </w:p>
        </w:tc>
        <w:tc>
          <w:tcPr>
            <w:tcW w:w="51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39D3FF2" w14:textId="77777777" w:rsidR="006D2A6C" w:rsidRPr="00F96966" w:rsidRDefault="00000000">
            <w:pPr>
              <w:rPr>
                <w:b/>
                <w:bCs/>
              </w:rPr>
            </w:pPr>
            <w:r w:rsidRPr="00F96966">
              <w:rPr>
                <w:b/>
                <w:bCs/>
                <w:sz w:val="18"/>
                <w:szCs w:val="18"/>
              </w:rPr>
              <w:t>Prince Sultan University</w:t>
            </w:r>
          </w:p>
        </w:tc>
      </w:tr>
      <w:tr w:rsidR="006D2A6C" w14:paraId="03EAF554" w14:textId="77777777">
        <w:tblPrEx>
          <w:tblCellMar>
            <w:top w:w="0" w:type="dxa"/>
            <w:bottom w:w="0" w:type="dxa"/>
          </w:tblCellMar>
        </w:tblPrEx>
        <w:tc>
          <w:tcPr>
            <w:tcW w:w="9602" w:type="dxa"/>
            <w:gridSpan w:val="4"/>
            <w:tcBorders>
              <w:top w:val="single" w:sz="2" w:space="0" w:color="E2E2E2"/>
              <w:left w:val="single" w:sz="2" w:space="0" w:color="E2E2E2"/>
              <w:bottom w:val="single" w:sz="2" w:space="0" w:color="E2E2E2"/>
              <w:right w:val="single" w:sz="2" w:space="0" w:color="E2E2E2"/>
            </w:tcBorders>
            <w:shd w:val="clear" w:color="auto" w:fill="FBF6EE"/>
            <w:tcMar>
              <w:top w:w="50" w:type="dxa"/>
              <w:left w:w="120" w:type="dxa"/>
              <w:bottom w:w="50" w:type="dxa"/>
              <w:right w:w="120" w:type="dxa"/>
            </w:tcMar>
          </w:tcPr>
          <w:p w14:paraId="3F2184A8" w14:textId="77777777" w:rsidR="006D2A6C" w:rsidRDefault="00000000">
            <w:r>
              <w:rPr>
                <w:i/>
                <w:iCs/>
                <w:color w:val="6B6B6A"/>
                <w:sz w:val="15"/>
                <w:szCs w:val="15"/>
              </w:rPr>
              <w:t>© QS Quacquarelli Symonds 2004-2027, TopUniversities.com</w:t>
            </w:r>
          </w:p>
        </w:tc>
      </w:tr>
    </w:tbl>
    <w:p w14:paraId="67D25840" w14:textId="77777777" w:rsidR="006D2A6C" w:rsidRDefault="006D2A6C">
      <w:pPr>
        <w:spacing w:after="160"/>
      </w:pPr>
    </w:p>
    <w:p w14:paraId="29D77478" w14:textId="00469626" w:rsidR="00F96966" w:rsidRDefault="00000000" w:rsidP="00584DCF">
      <w:r>
        <w:t xml:space="preserve">In addition to the record-high institutions in the table above, </w:t>
      </w:r>
      <w:r w:rsidR="00584DCF">
        <w:t>ten</w:t>
      </w:r>
      <w:r>
        <w:t xml:space="preserve"> further universities reached their best-ever positions this year:</w:t>
      </w:r>
      <w:r w:rsidR="00F96966">
        <w:br/>
      </w:r>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345"/>
        <w:gridCol w:w="3690"/>
        <w:gridCol w:w="2520"/>
      </w:tblGrid>
      <w:tr w:rsidR="00584DCF" w:rsidRPr="00F96966" w14:paraId="3C44FBF6" w14:textId="77777777" w:rsidTr="00584DCF">
        <w:trPr>
          <w:trHeight w:val="285"/>
          <w:jc w:val="center"/>
        </w:trPr>
        <w:tc>
          <w:tcPr>
            <w:tcW w:w="1345" w:type="dxa"/>
            <w:vAlign w:val="bottom"/>
          </w:tcPr>
          <w:p w14:paraId="3FC04B5B" w14:textId="22988483" w:rsidR="00584DCF" w:rsidRPr="00245D48" w:rsidRDefault="00584DCF" w:rsidP="00584DCF">
            <w:pPr>
              <w:rPr>
                <w:sz w:val="18"/>
                <w:szCs w:val="18"/>
              </w:rPr>
            </w:pPr>
            <w:r w:rsidRPr="00245D48">
              <w:rPr>
                <w:sz w:val="18"/>
                <w:szCs w:val="18"/>
              </w:rPr>
              <w:t>474</w:t>
            </w:r>
          </w:p>
        </w:tc>
        <w:tc>
          <w:tcPr>
            <w:tcW w:w="3690" w:type="dxa"/>
            <w:noWrap/>
            <w:vAlign w:val="bottom"/>
            <w:hideMark/>
          </w:tcPr>
          <w:p w14:paraId="6CB9FA0F" w14:textId="6EEA87B2" w:rsidR="00584DCF" w:rsidRPr="00584DCF" w:rsidRDefault="00584DCF" w:rsidP="00584DCF">
            <w:pPr>
              <w:rPr>
                <w:sz w:val="18"/>
                <w:szCs w:val="18"/>
                <w:lang w:val="de-DE"/>
              </w:rPr>
            </w:pPr>
            <w:r w:rsidRPr="00584DCF">
              <w:rPr>
                <w:sz w:val="18"/>
                <w:szCs w:val="18"/>
                <w:lang w:val="de-DE"/>
              </w:rPr>
              <w:t xml:space="preserve">Imam Abdulrahman Bin Faisal University (IAU) </w:t>
            </w:r>
          </w:p>
        </w:tc>
        <w:tc>
          <w:tcPr>
            <w:tcW w:w="2520" w:type="dxa"/>
            <w:noWrap/>
            <w:vAlign w:val="bottom"/>
            <w:hideMark/>
          </w:tcPr>
          <w:p w14:paraId="35BAFA33" w14:textId="77777777" w:rsidR="00584DCF" w:rsidRPr="00245D48" w:rsidRDefault="00584DCF" w:rsidP="00584DCF">
            <w:pPr>
              <w:rPr>
                <w:sz w:val="18"/>
                <w:szCs w:val="18"/>
              </w:rPr>
            </w:pPr>
            <w:r w:rsidRPr="00245D48">
              <w:rPr>
                <w:sz w:val="18"/>
                <w:szCs w:val="18"/>
              </w:rPr>
              <w:t>Saudi Arabia</w:t>
            </w:r>
          </w:p>
        </w:tc>
      </w:tr>
      <w:tr w:rsidR="00584DCF" w:rsidRPr="00F96966" w14:paraId="0A9D2E95" w14:textId="77777777" w:rsidTr="00B031BA">
        <w:trPr>
          <w:trHeight w:val="285"/>
          <w:jc w:val="center"/>
        </w:trPr>
        <w:tc>
          <w:tcPr>
            <w:tcW w:w="1345" w:type="dxa"/>
            <w:shd w:val="clear" w:color="auto" w:fill="E8E8E8" w:themeFill="background2"/>
            <w:vAlign w:val="bottom"/>
          </w:tcPr>
          <w:p w14:paraId="5CE95437" w14:textId="50206982" w:rsidR="00584DCF" w:rsidRPr="00245D48" w:rsidRDefault="00584DCF" w:rsidP="00584DCF">
            <w:pPr>
              <w:rPr>
                <w:sz w:val="18"/>
                <w:szCs w:val="18"/>
              </w:rPr>
            </w:pPr>
            <w:r w:rsidRPr="00245D48">
              <w:rPr>
                <w:sz w:val="18"/>
                <w:szCs w:val="18"/>
              </w:rPr>
              <w:t>567</w:t>
            </w:r>
          </w:p>
        </w:tc>
        <w:tc>
          <w:tcPr>
            <w:tcW w:w="3690" w:type="dxa"/>
            <w:shd w:val="clear" w:color="auto" w:fill="E8E8E8" w:themeFill="background2"/>
            <w:noWrap/>
            <w:vAlign w:val="bottom"/>
            <w:hideMark/>
          </w:tcPr>
          <w:p w14:paraId="159909F0" w14:textId="50076B9C" w:rsidR="00584DCF" w:rsidRPr="00245D48" w:rsidRDefault="00584DCF" w:rsidP="00584DCF">
            <w:pPr>
              <w:rPr>
                <w:sz w:val="18"/>
                <w:szCs w:val="18"/>
              </w:rPr>
            </w:pPr>
            <w:r w:rsidRPr="00245D48">
              <w:rPr>
                <w:sz w:val="18"/>
                <w:szCs w:val="18"/>
              </w:rPr>
              <w:t>King Faisal University</w:t>
            </w:r>
          </w:p>
        </w:tc>
        <w:tc>
          <w:tcPr>
            <w:tcW w:w="2520" w:type="dxa"/>
            <w:shd w:val="clear" w:color="auto" w:fill="E8E8E8" w:themeFill="background2"/>
            <w:noWrap/>
            <w:vAlign w:val="bottom"/>
            <w:hideMark/>
          </w:tcPr>
          <w:p w14:paraId="2B1EE699" w14:textId="77777777" w:rsidR="00584DCF" w:rsidRPr="00245D48" w:rsidRDefault="00584DCF" w:rsidP="00584DCF">
            <w:pPr>
              <w:rPr>
                <w:sz w:val="18"/>
                <w:szCs w:val="18"/>
              </w:rPr>
            </w:pPr>
            <w:r w:rsidRPr="00245D48">
              <w:rPr>
                <w:sz w:val="18"/>
                <w:szCs w:val="18"/>
              </w:rPr>
              <w:t>Saudi Arabia</w:t>
            </w:r>
          </w:p>
        </w:tc>
      </w:tr>
      <w:tr w:rsidR="00584DCF" w:rsidRPr="00F96966" w14:paraId="5315BD28" w14:textId="77777777" w:rsidTr="00584DCF">
        <w:trPr>
          <w:trHeight w:val="285"/>
          <w:jc w:val="center"/>
        </w:trPr>
        <w:tc>
          <w:tcPr>
            <w:tcW w:w="1345" w:type="dxa"/>
            <w:vAlign w:val="bottom"/>
          </w:tcPr>
          <w:p w14:paraId="793F4D60" w14:textId="067C8ADA" w:rsidR="00584DCF" w:rsidRPr="00245D48" w:rsidRDefault="00584DCF" w:rsidP="00584DCF">
            <w:pPr>
              <w:rPr>
                <w:sz w:val="18"/>
                <w:szCs w:val="18"/>
              </w:rPr>
            </w:pPr>
            <w:r w:rsidRPr="00245D48">
              <w:rPr>
                <w:sz w:val="18"/>
                <w:szCs w:val="18"/>
              </w:rPr>
              <w:t>588</w:t>
            </w:r>
          </w:p>
        </w:tc>
        <w:tc>
          <w:tcPr>
            <w:tcW w:w="3690" w:type="dxa"/>
            <w:noWrap/>
            <w:vAlign w:val="bottom"/>
            <w:hideMark/>
          </w:tcPr>
          <w:p w14:paraId="4B10D163" w14:textId="7B953552" w:rsidR="00584DCF" w:rsidRPr="00245D48" w:rsidRDefault="00584DCF" w:rsidP="00584DCF">
            <w:pPr>
              <w:rPr>
                <w:sz w:val="18"/>
                <w:szCs w:val="18"/>
              </w:rPr>
            </w:pPr>
            <w:r w:rsidRPr="00245D48">
              <w:rPr>
                <w:sz w:val="18"/>
                <w:szCs w:val="18"/>
              </w:rPr>
              <w:t>Zayed University</w:t>
            </w:r>
          </w:p>
        </w:tc>
        <w:tc>
          <w:tcPr>
            <w:tcW w:w="2520" w:type="dxa"/>
            <w:noWrap/>
            <w:vAlign w:val="bottom"/>
            <w:hideMark/>
          </w:tcPr>
          <w:p w14:paraId="5F3D92D6" w14:textId="77777777" w:rsidR="00584DCF" w:rsidRPr="00245D48" w:rsidRDefault="00584DCF" w:rsidP="00584DCF">
            <w:pPr>
              <w:rPr>
                <w:sz w:val="18"/>
                <w:szCs w:val="18"/>
              </w:rPr>
            </w:pPr>
            <w:r w:rsidRPr="00245D48">
              <w:rPr>
                <w:sz w:val="18"/>
                <w:szCs w:val="18"/>
              </w:rPr>
              <w:t>United Arab Emirates</w:t>
            </w:r>
          </w:p>
        </w:tc>
      </w:tr>
      <w:tr w:rsidR="00584DCF" w:rsidRPr="00F96966" w14:paraId="357CE3D2" w14:textId="77777777" w:rsidTr="00B031BA">
        <w:trPr>
          <w:trHeight w:val="285"/>
          <w:jc w:val="center"/>
        </w:trPr>
        <w:tc>
          <w:tcPr>
            <w:tcW w:w="1345" w:type="dxa"/>
            <w:shd w:val="clear" w:color="auto" w:fill="E8E8E8" w:themeFill="background2"/>
            <w:vAlign w:val="bottom"/>
          </w:tcPr>
          <w:p w14:paraId="650ACAFA" w14:textId="72E792E0" w:rsidR="00584DCF" w:rsidRPr="00245D48" w:rsidRDefault="00584DCF" w:rsidP="00584DCF">
            <w:pPr>
              <w:rPr>
                <w:sz w:val="18"/>
                <w:szCs w:val="18"/>
              </w:rPr>
            </w:pPr>
            <w:r w:rsidRPr="00245D48">
              <w:rPr>
                <w:sz w:val="18"/>
                <w:szCs w:val="18"/>
              </w:rPr>
              <w:t>643</w:t>
            </w:r>
          </w:p>
        </w:tc>
        <w:tc>
          <w:tcPr>
            <w:tcW w:w="3690" w:type="dxa"/>
            <w:shd w:val="clear" w:color="auto" w:fill="E8E8E8" w:themeFill="background2"/>
            <w:noWrap/>
            <w:vAlign w:val="bottom"/>
            <w:hideMark/>
          </w:tcPr>
          <w:p w14:paraId="040690A9" w14:textId="6E916EAD" w:rsidR="00584DCF" w:rsidRPr="00245D48" w:rsidRDefault="00584DCF" w:rsidP="00584DCF">
            <w:pPr>
              <w:rPr>
                <w:sz w:val="18"/>
                <w:szCs w:val="18"/>
              </w:rPr>
            </w:pPr>
            <w:r w:rsidRPr="00245D48">
              <w:rPr>
                <w:sz w:val="18"/>
                <w:szCs w:val="18"/>
              </w:rPr>
              <w:t>Al-</w:t>
            </w:r>
            <w:proofErr w:type="spellStart"/>
            <w:r w:rsidRPr="00245D48">
              <w:rPr>
                <w:sz w:val="18"/>
                <w:szCs w:val="18"/>
              </w:rPr>
              <w:t>Ahliyya</w:t>
            </w:r>
            <w:proofErr w:type="spellEnd"/>
            <w:r w:rsidRPr="00245D48">
              <w:rPr>
                <w:sz w:val="18"/>
                <w:szCs w:val="18"/>
              </w:rPr>
              <w:t xml:space="preserve"> Amman University</w:t>
            </w:r>
          </w:p>
        </w:tc>
        <w:tc>
          <w:tcPr>
            <w:tcW w:w="2520" w:type="dxa"/>
            <w:shd w:val="clear" w:color="auto" w:fill="E8E8E8" w:themeFill="background2"/>
            <w:noWrap/>
            <w:vAlign w:val="bottom"/>
            <w:hideMark/>
          </w:tcPr>
          <w:p w14:paraId="0AE850CE" w14:textId="77777777" w:rsidR="00584DCF" w:rsidRPr="00245D48" w:rsidRDefault="00584DCF" w:rsidP="00584DCF">
            <w:pPr>
              <w:rPr>
                <w:sz w:val="18"/>
                <w:szCs w:val="18"/>
              </w:rPr>
            </w:pPr>
            <w:r w:rsidRPr="00245D48">
              <w:rPr>
                <w:sz w:val="18"/>
                <w:szCs w:val="18"/>
              </w:rPr>
              <w:t>Jordan</w:t>
            </w:r>
          </w:p>
        </w:tc>
      </w:tr>
      <w:tr w:rsidR="00584DCF" w:rsidRPr="00F96966" w14:paraId="6762E783" w14:textId="77777777" w:rsidTr="00584DCF">
        <w:trPr>
          <w:trHeight w:val="285"/>
          <w:jc w:val="center"/>
        </w:trPr>
        <w:tc>
          <w:tcPr>
            <w:tcW w:w="1345" w:type="dxa"/>
            <w:vAlign w:val="bottom"/>
          </w:tcPr>
          <w:p w14:paraId="7B573BFB" w14:textId="38FA98BB" w:rsidR="00584DCF" w:rsidRPr="00245D48" w:rsidRDefault="00584DCF" w:rsidP="00584DCF">
            <w:pPr>
              <w:rPr>
                <w:sz w:val="18"/>
                <w:szCs w:val="18"/>
              </w:rPr>
            </w:pPr>
            <w:r w:rsidRPr="00245D48">
              <w:rPr>
                <w:sz w:val="18"/>
                <w:szCs w:val="18"/>
              </w:rPr>
              <w:t>655</w:t>
            </w:r>
          </w:p>
        </w:tc>
        <w:tc>
          <w:tcPr>
            <w:tcW w:w="3690" w:type="dxa"/>
            <w:noWrap/>
            <w:vAlign w:val="bottom"/>
            <w:hideMark/>
          </w:tcPr>
          <w:p w14:paraId="133CC589" w14:textId="7F3961E1" w:rsidR="00584DCF" w:rsidRPr="00584DCF" w:rsidRDefault="00584DCF" w:rsidP="00584DCF">
            <w:pPr>
              <w:rPr>
                <w:sz w:val="18"/>
                <w:szCs w:val="18"/>
                <w:lang w:val="fr-FR"/>
              </w:rPr>
            </w:pPr>
            <w:r w:rsidRPr="00584DCF">
              <w:rPr>
                <w:sz w:val="18"/>
                <w:szCs w:val="18"/>
                <w:lang w:val="fr-FR"/>
              </w:rPr>
              <w:t>Université de Tunis El Manar</w:t>
            </w:r>
          </w:p>
        </w:tc>
        <w:tc>
          <w:tcPr>
            <w:tcW w:w="2520" w:type="dxa"/>
            <w:noWrap/>
            <w:vAlign w:val="bottom"/>
            <w:hideMark/>
          </w:tcPr>
          <w:p w14:paraId="1D72CEDF" w14:textId="77777777" w:rsidR="00584DCF" w:rsidRPr="00245D48" w:rsidRDefault="00584DCF" w:rsidP="00584DCF">
            <w:pPr>
              <w:rPr>
                <w:sz w:val="18"/>
                <w:szCs w:val="18"/>
              </w:rPr>
            </w:pPr>
            <w:r w:rsidRPr="00245D48">
              <w:rPr>
                <w:sz w:val="18"/>
                <w:szCs w:val="18"/>
              </w:rPr>
              <w:t>Tunisia</w:t>
            </w:r>
          </w:p>
        </w:tc>
      </w:tr>
      <w:tr w:rsidR="00584DCF" w:rsidRPr="00F96966" w14:paraId="768D6FCD" w14:textId="77777777" w:rsidTr="00B031BA">
        <w:trPr>
          <w:trHeight w:val="285"/>
          <w:jc w:val="center"/>
        </w:trPr>
        <w:tc>
          <w:tcPr>
            <w:tcW w:w="1345" w:type="dxa"/>
            <w:shd w:val="clear" w:color="auto" w:fill="E8E8E8" w:themeFill="background2"/>
            <w:vAlign w:val="bottom"/>
          </w:tcPr>
          <w:p w14:paraId="404C80FE" w14:textId="00C2136E" w:rsidR="00584DCF" w:rsidRPr="00245D48" w:rsidRDefault="00584DCF" w:rsidP="00584DCF">
            <w:pPr>
              <w:rPr>
                <w:sz w:val="18"/>
                <w:szCs w:val="18"/>
              </w:rPr>
            </w:pPr>
            <w:r w:rsidRPr="00245D48">
              <w:rPr>
                <w:sz w:val="18"/>
                <w:szCs w:val="18"/>
              </w:rPr>
              <w:t>677</w:t>
            </w:r>
          </w:p>
        </w:tc>
        <w:tc>
          <w:tcPr>
            <w:tcW w:w="3690" w:type="dxa"/>
            <w:shd w:val="clear" w:color="auto" w:fill="E8E8E8" w:themeFill="background2"/>
            <w:noWrap/>
            <w:vAlign w:val="bottom"/>
            <w:hideMark/>
          </w:tcPr>
          <w:p w14:paraId="585867ED" w14:textId="07C74CDA" w:rsidR="00584DCF" w:rsidRPr="00245D48" w:rsidRDefault="00584DCF" w:rsidP="00584DCF">
            <w:pPr>
              <w:rPr>
                <w:sz w:val="18"/>
                <w:szCs w:val="18"/>
              </w:rPr>
            </w:pPr>
            <w:r w:rsidRPr="00245D48">
              <w:rPr>
                <w:sz w:val="18"/>
                <w:szCs w:val="18"/>
              </w:rPr>
              <w:t>Prince Sattam Bin Abdulaziz University</w:t>
            </w:r>
          </w:p>
        </w:tc>
        <w:tc>
          <w:tcPr>
            <w:tcW w:w="2520" w:type="dxa"/>
            <w:shd w:val="clear" w:color="auto" w:fill="E8E8E8" w:themeFill="background2"/>
            <w:noWrap/>
            <w:vAlign w:val="bottom"/>
            <w:hideMark/>
          </w:tcPr>
          <w:p w14:paraId="5297D90C" w14:textId="77777777" w:rsidR="00584DCF" w:rsidRPr="00245D48" w:rsidRDefault="00584DCF" w:rsidP="00584DCF">
            <w:pPr>
              <w:rPr>
                <w:sz w:val="18"/>
                <w:szCs w:val="18"/>
              </w:rPr>
            </w:pPr>
            <w:r w:rsidRPr="00245D48">
              <w:rPr>
                <w:sz w:val="18"/>
                <w:szCs w:val="18"/>
              </w:rPr>
              <w:t>Saudi Arabia</w:t>
            </w:r>
          </w:p>
        </w:tc>
      </w:tr>
      <w:tr w:rsidR="00584DCF" w:rsidRPr="00F96966" w14:paraId="014C72C9" w14:textId="77777777" w:rsidTr="00584DCF">
        <w:trPr>
          <w:trHeight w:val="285"/>
          <w:jc w:val="center"/>
        </w:trPr>
        <w:tc>
          <w:tcPr>
            <w:tcW w:w="1345" w:type="dxa"/>
            <w:vAlign w:val="bottom"/>
          </w:tcPr>
          <w:p w14:paraId="0401B382" w14:textId="3070201B" w:rsidR="00584DCF" w:rsidRPr="00245D48" w:rsidRDefault="00584DCF" w:rsidP="00584DCF">
            <w:pPr>
              <w:rPr>
                <w:sz w:val="18"/>
                <w:szCs w:val="18"/>
              </w:rPr>
            </w:pPr>
            <w:r w:rsidRPr="00245D48">
              <w:rPr>
                <w:sz w:val="18"/>
                <w:szCs w:val="18"/>
              </w:rPr>
              <w:t>1201-1400</w:t>
            </w:r>
          </w:p>
        </w:tc>
        <w:tc>
          <w:tcPr>
            <w:tcW w:w="3690" w:type="dxa"/>
            <w:noWrap/>
            <w:vAlign w:val="bottom"/>
            <w:hideMark/>
          </w:tcPr>
          <w:p w14:paraId="2B0703E2" w14:textId="2C206825" w:rsidR="00584DCF" w:rsidRPr="00245D48" w:rsidRDefault="00584DCF" w:rsidP="00584DCF">
            <w:pPr>
              <w:rPr>
                <w:sz w:val="18"/>
                <w:szCs w:val="18"/>
              </w:rPr>
            </w:pPr>
            <w:proofErr w:type="spellStart"/>
            <w:r w:rsidRPr="00245D48">
              <w:rPr>
                <w:sz w:val="18"/>
                <w:szCs w:val="18"/>
              </w:rPr>
              <w:t>Jadara</w:t>
            </w:r>
            <w:proofErr w:type="spellEnd"/>
            <w:r w:rsidRPr="00245D48">
              <w:rPr>
                <w:sz w:val="18"/>
                <w:szCs w:val="18"/>
              </w:rPr>
              <w:t xml:space="preserve"> University</w:t>
            </w:r>
          </w:p>
        </w:tc>
        <w:tc>
          <w:tcPr>
            <w:tcW w:w="2520" w:type="dxa"/>
            <w:noWrap/>
            <w:vAlign w:val="bottom"/>
            <w:hideMark/>
          </w:tcPr>
          <w:p w14:paraId="472CCB0B" w14:textId="77777777" w:rsidR="00584DCF" w:rsidRPr="00245D48" w:rsidRDefault="00584DCF" w:rsidP="00584DCF">
            <w:pPr>
              <w:rPr>
                <w:sz w:val="18"/>
                <w:szCs w:val="18"/>
              </w:rPr>
            </w:pPr>
            <w:r w:rsidRPr="00245D48">
              <w:rPr>
                <w:sz w:val="18"/>
                <w:szCs w:val="18"/>
              </w:rPr>
              <w:t>Jordan</w:t>
            </w:r>
          </w:p>
        </w:tc>
      </w:tr>
      <w:tr w:rsidR="00584DCF" w:rsidRPr="00F96966" w14:paraId="181291B5" w14:textId="77777777" w:rsidTr="00B031BA">
        <w:trPr>
          <w:trHeight w:val="35"/>
          <w:jc w:val="center"/>
        </w:trPr>
        <w:tc>
          <w:tcPr>
            <w:tcW w:w="1345" w:type="dxa"/>
            <w:shd w:val="clear" w:color="auto" w:fill="E8E8E8" w:themeFill="background2"/>
            <w:vAlign w:val="bottom"/>
          </w:tcPr>
          <w:p w14:paraId="32DDCCE5" w14:textId="588C67AD" w:rsidR="00584DCF" w:rsidRPr="00245D48" w:rsidRDefault="00584DCF" w:rsidP="00584DCF">
            <w:pPr>
              <w:rPr>
                <w:sz w:val="18"/>
                <w:szCs w:val="18"/>
              </w:rPr>
            </w:pPr>
            <w:r w:rsidRPr="00245D48">
              <w:rPr>
                <w:sz w:val="18"/>
                <w:szCs w:val="18"/>
              </w:rPr>
              <w:t>761-770</w:t>
            </w:r>
          </w:p>
        </w:tc>
        <w:tc>
          <w:tcPr>
            <w:tcW w:w="3690" w:type="dxa"/>
            <w:shd w:val="clear" w:color="auto" w:fill="E8E8E8" w:themeFill="background2"/>
            <w:noWrap/>
            <w:vAlign w:val="bottom"/>
            <w:hideMark/>
          </w:tcPr>
          <w:p w14:paraId="6CDC43C3" w14:textId="5479E649" w:rsidR="00584DCF" w:rsidRPr="00245D48" w:rsidRDefault="00584DCF" w:rsidP="00584DCF">
            <w:pPr>
              <w:rPr>
                <w:sz w:val="18"/>
                <w:szCs w:val="18"/>
              </w:rPr>
            </w:pPr>
            <w:r w:rsidRPr="00245D48">
              <w:rPr>
                <w:sz w:val="18"/>
                <w:szCs w:val="18"/>
              </w:rPr>
              <w:t>Applied Science Private University - Jordan</w:t>
            </w:r>
          </w:p>
        </w:tc>
        <w:tc>
          <w:tcPr>
            <w:tcW w:w="2520" w:type="dxa"/>
            <w:shd w:val="clear" w:color="auto" w:fill="E8E8E8" w:themeFill="background2"/>
            <w:noWrap/>
            <w:vAlign w:val="bottom"/>
            <w:hideMark/>
          </w:tcPr>
          <w:p w14:paraId="59207944" w14:textId="77777777" w:rsidR="00584DCF" w:rsidRPr="00245D48" w:rsidRDefault="00584DCF" w:rsidP="00584DCF">
            <w:pPr>
              <w:rPr>
                <w:sz w:val="18"/>
                <w:szCs w:val="18"/>
              </w:rPr>
            </w:pPr>
            <w:r w:rsidRPr="00245D48">
              <w:rPr>
                <w:sz w:val="18"/>
                <w:szCs w:val="18"/>
              </w:rPr>
              <w:t>Jordan</w:t>
            </w:r>
          </w:p>
        </w:tc>
      </w:tr>
      <w:tr w:rsidR="00584DCF" w:rsidRPr="00F96966" w14:paraId="1C075CDE" w14:textId="77777777" w:rsidTr="00584DCF">
        <w:trPr>
          <w:trHeight w:val="285"/>
          <w:jc w:val="center"/>
        </w:trPr>
        <w:tc>
          <w:tcPr>
            <w:tcW w:w="1345" w:type="dxa"/>
            <w:vAlign w:val="bottom"/>
          </w:tcPr>
          <w:p w14:paraId="5FE668FB" w14:textId="1D724236" w:rsidR="00584DCF" w:rsidRPr="00245D48" w:rsidRDefault="00584DCF" w:rsidP="00584DCF">
            <w:pPr>
              <w:rPr>
                <w:sz w:val="18"/>
                <w:szCs w:val="18"/>
              </w:rPr>
            </w:pPr>
            <w:r w:rsidRPr="00245D48">
              <w:rPr>
                <w:sz w:val="18"/>
                <w:szCs w:val="18"/>
              </w:rPr>
              <w:t>781-790</w:t>
            </w:r>
          </w:p>
        </w:tc>
        <w:tc>
          <w:tcPr>
            <w:tcW w:w="3690" w:type="dxa"/>
            <w:noWrap/>
            <w:vAlign w:val="bottom"/>
            <w:hideMark/>
          </w:tcPr>
          <w:p w14:paraId="1B6C833B" w14:textId="6A12F280" w:rsidR="00584DCF" w:rsidRPr="00245D48" w:rsidRDefault="00584DCF" w:rsidP="00584DCF">
            <w:pPr>
              <w:rPr>
                <w:sz w:val="18"/>
                <w:szCs w:val="18"/>
              </w:rPr>
            </w:pPr>
            <w:r w:rsidRPr="00245D48">
              <w:rPr>
                <w:sz w:val="18"/>
                <w:szCs w:val="18"/>
              </w:rPr>
              <w:t>University of Dubai</w:t>
            </w:r>
          </w:p>
        </w:tc>
        <w:tc>
          <w:tcPr>
            <w:tcW w:w="2520" w:type="dxa"/>
            <w:noWrap/>
            <w:vAlign w:val="bottom"/>
            <w:hideMark/>
          </w:tcPr>
          <w:p w14:paraId="2CF323EF" w14:textId="77777777" w:rsidR="00584DCF" w:rsidRPr="00245D48" w:rsidRDefault="00584DCF" w:rsidP="00584DCF">
            <w:pPr>
              <w:rPr>
                <w:sz w:val="18"/>
                <w:szCs w:val="18"/>
              </w:rPr>
            </w:pPr>
            <w:r w:rsidRPr="00245D48">
              <w:rPr>
                <w:sz w:val="18"/>
                <w:szCs w:val="18"/>
              </w:rPr>
              <w:t>United Arab Emirates</w:t>
            </w:r>
          </w:p>
        </w:tc>
      </w:tr>
      <w:tr w:rsidR="00584DCF" w:rsidRPr="00F96966" w14:paraId="605BEC2B" w14:textId="77777777" w:rsidTr="00B031BA">
        <w:trPr>
          <w:trHeight w:val="35"/>
          <w:jc w:val="center"/>
        </w:trPr>
        <w:tc>
          <w:tcPr>
            <w:tcW w:w="1345" w:type="dxa"/>
            <w:shd w:val="clear" w:color="auto" w:fill="E8E8E8" w:themeFill="background2"/>
            <w:vAlign w:val="bottom"/>
          </w:tcPr>
          <w:p w14:paraId="7BAAF019" w14:textId="4362D20E" w:rsidR="00584DCF" w:rsidRPr="00245D48" w:rsidRDefault="00584DCF" w:rsidP="00584DCF">
            <w:pPr>
              <w:rPr>
                <w:sz w:val="18"/>
                <w:szCs w:val="18"/>
              </w:rPr>
            </w:pPr>
            <w:r w:rsidRPr="00245D48">
              <w:rPr>
                <w:sz w:val="18"/>
                <w:szCs w:val="18"/>
              </w:rPr>
              <w:t>851-900</w:t>
            </w:r>
          </w:p>
        </w:tc>
        <w:tc>
          <w:tcPr>
            <w:tcW w:w="3690" w:type="dxa"/>
            <w:shd w:val="clear" w:color="auto" w:fill="E8E8E8" w:themeFill="background2"/>
            <w:noWrap/>
            <w:vAlign w:val="bottom"/>
            <w:hideMark/>
          </w:tcPr>
          <w:p w14:paraId="618262A0" w14:textId="0FBDC87F" w:rsidR="00584DCF" w:rsidRPr="00245D48" w:rsidRDefault="00584DCF" w:rsidP="00584DCF">
            <w:pPr>
              <w:rPr>
                <w:sz w:val="18"/>
                <w:szCs w:val="18"/>
              </w:rPr>
            </w:pPr>
            <w:r w:rsidRPr="00245D48">
              <w:rPr>
                <w:sz w:val="18"/>
                <w:szCs w:val="18"/>
              </w:rPr>
              <w:t>Taif University</w:t>
            </w:r>
          </w:p>
        </w:tc>
        <w:tc>
          <w:tcPr>
            <w:tcW w:w="2520" w:type="dxa"/>
            <w:shd w:val="clear" w:color="auto" w:fill="E8E8E8" w:themeFill="background2"/>
            <w:noWrap/>
            <w:vAlign w:val="bottom"/>
            <w:hideMark/>
          </w:tcPr>
          <w:p w14:paraId="620E73E2" w14:textId="77777777" w:rsidR="00584DCF" w:rsidRPr="00245D48" w:rsidRDefault="00584DCF" w:rsidP="00584DCF">
            <w:pPr>
              <w:rPr>
                <w:sz w:val="18"/>
                <w:szCs w:val="18"/>
              </w:rPr>
            </w:pPr>
            <w:r w:rsidRPr="00245D48">
              <w:rPr>
                <w:sz w:val="18"/>
                <w:szCs w:val="18"/>
              </w:rPr>
              <w:t>Saudi Arabia</w:t>
            </w:r>
          </w:p>
        </w:tc>
      </w:tr>
      <w:tr w:rsidR="00B031BA" w:rsidRPr="00F96966" w14:paraId="06210EE5" w14:textId="77777777" w:rsidTr="00AD223E">
        <w:trPr>
          <w:trHeight w:val="35"/>
          <w:jc w:val="center"/>
        </w:trPr>
        <w:tc>
          <w:tcPr>
            <w:tcW w:w="7555" w:type="dxa"/>
            <w:gridSpan w:val="3"/>
          </w:tcPr>
          <w:p w14:paraId="4E7F565D" w14:textId="5A1435F9" w:rsidR="00B031BA" w:rsidRPr="00245D48" w:rsidRDefault="00B031BA" w:rsidP="00B031BA">
            <w:pPr>
              <w:rPr>
                <w:sz w:val="18"/>
                <w:szCs w:val="18"/>
              </w:rPr>
            </w:pPr>
            <w:r>
              <w:rPr>
                <w:i/>
                <w:iCs/>
                <w:color w:val="6B6B6A"/>
                <w:sz w:val="15"/>
                <w:szCs w:val="15"/>
              </w:rPr>
              <w:t>© QS Quacquarelli Symonds 2004-2027, TopUniversities.com</w:t>
            </w:r>
          </w:p>
        </w:tc>
      </w:tr>
    </w:tbl>
    <w:p w14:paraId="0B908D0F" w14:textId="0F50CD0F" w:rsidR="006D2A6C" w:rsidRDefault="006D2A6C">
      <w:pPr>
        <w:spacing w:after="160" w:line="264" w:lineRule="auto"/>
      </w:pPr>
    </w:p>
    <w:p w14:paraId="0C8C9804" w14:textId="7CBC1A2F" w:rsidR="001E5EDB" w:rsidRPr="001E5EDB" w:rsidRDefault="00000000" w:rsidP="001E5EDB">
      <w:pPr>
        <w:spacing w:after="120" w:line="264" w:lineRule="auto"/>
        <w:rPr>
          <w:sz w:val="22"/>
          <w:szCs w:val="22"/>
        </w:rPr>
      </w:pPr>
      <w:r>
        <w:t>Oman has seen two institutions enter the ranking in 2027 and Egypt one. Iraq has three fewer institutions this year, Egypt two fewer overall, and Jordan and Palestine each one fewer.</w:t>
      </w:r>
      <w:r w:rsidR="001E5EDB">
        <w:br/>
      </w:r>
      <w:r w:rsidR="001E5EDB" w:rsidRPr="001E5EDB">
        <w:rPr>
          <w:sz w:val="22"/>
          <w:szCs w:val="22"/>
        </w:rPr>
        <w:br/>
      </w:r>
      <w:r w:rsidR="001E5EDB" w:rsidRPr="001E5EDB">
        <w:rPr>
          <w:i/>
          <w:iCs/>
          <w:sz w:val="22"/>
          <w:szCs w:val="22"/>
        </w:rPr>
        <w:t>“Higher education across the Arab-speaking world is one of the big stories of the last decade. With ambitious governments investing in universities and research, higher education institutions in the region continue to grow as the demands and expectations placed on them change, and as societies and the world of work evolve.</w:t>
      </w:r>
    </w:p>
    <w:p w14:paraId="08B08130" w14:textId="77777777" w:rsidR="001E5EDB" w:rsidRPr="001E5EDB" w:rsidRDefault="001E5EDB" w:rsidP="001E5EDB">
      <w:pPr>
        <w:spacing w:after="120" w:line="264" w:lineRule="auto"/>
        <w:rPr>
          <w:sz w:val="22"/>
          <w:szCs w:val="22"/>
        </w:rPr>
      </w:pPr>
      <w:r w:rsidRPr="001E5EDB">
        <w:rPr>
          <w:i/>
          <w:iCs/>
          <w:sz w:val="22"/>
          <w:szCs w:val="22"/>
        </w:rPr>
        <w:t>“The QS World University Rankings 2027 identify some outstanding achievements, including the region’s highest-ever ranking with KFUPM rising to 63rd, Qatar reaching its highest position to date, and the UAE featuring within the global top 150 for the first time.”</w:t>
      </w:r>
    </w:p>
    <w:p w14:paraId="2F4F9A5B" w14:textId="6105BBC6" w:rsidR="001E5EDB" w:rsidRDefault="001E5EDB" w:rsidP="001E5EDB">
      <w:pPr>
        <w:spacing w:after="120" w:line="264" w:lineRule="auto"/>
        <w:rPr>
          <w:i/>
          <w:iCs/>
        </w:rPr>
      </w:pPr>
    </w:p>
    <w:tbl>
      <w:tblPr>
        <w:tblW w:w="9602" w:type="dxa"/>
        <w:tblBorders>
          <w:top w:val="none" w:sz="0" w:space="0" w:color="FFFFFF"/>
          <w:left w:val="single" w:sz="36" w:space="0" w:color="F7A600"/>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602"/>
      </w:tblGrid>
      <w:tr w:rsidR="001E5EDB" w:rsidRPr="001E5EDB" w14:paraId="63479903" w14:textId="77777777" w:rsidTr="00602CF1">
        <w:tblPrEx>
          <w:tblCellMar>
            <w:top w:w="0" w:type="dxa"/>
            <w:bottom w:w="0" w:type="dxa"/>
          </w:tblCellMar>
        </w:tblPrEx>
        <w:tc>
          <w:tcPr>
            <w:tcW w:w="9602" w:type="dxa"/>
            <w:shd w:val="clear" w:color="auto" w:fill="FBF6EE"/>
            <w:tcMar>
              <w:top w:w="160" w:type="dxa"/>
              <w:left w:w="240" w:type="dxa"/>
              <w:bottom w:w="160" w:type="dxa"/>
              <w:right w:w="200" w:type="dxa"/>
            </w:tcMar>
          </w:tcPr>
          <w:p w14:paraId="1A8345CF" w14:textId="439985AF" w:rsidR="001E5EDB" w:rsidRPr="001E5EDB" w:rsidRDefault="001E5EDB" w:rsidP="001E5EDB">
            <w:pPr>
              <w:spacing w:after="160" w:line="264" w:lineRule="auto"/>
              <w:rPr>
                <w:lang w:val="fr-FR"/>
              </w:rPr>
            </w:pPr>
            <w:r w:rsidRPr="001E5EDB">
              <w:rPr>
                <w:i/>
                <w:iCs/>
              </w:rPr>
              <w:t>“The Arab region continues to strengthen its position in global higher education, with a growing number of universities achieving record performances and greater international recognition. These results reflect sustained investment in talent, research and innovation, as universities play an increasingly important role in supporting economic diversification and national development agendas across the region.”</w:t>
            </w:r>
            <w:r>
              <w:rPr>
                <w:i/>
                <w:iCs/>
              </w:rPr>
              <w:br/>
            </w:r>
            <w:r>
              <w:rPr>
                <w:i/>
                <w:iCs/>
              </w:rPr>
              <w:br/>
            </w:r>
            <w:r w:rsidRPr="001E5EDB">
              <w:rPr>
                <w:b/>
                <w:bCs/>
                <w:lang w:val="fr-FR"/>
              </w:rPr>
              <w:t>Dr Ashwin Fernandes</w:t>
            </w:r>
            <w:r w:rsidRPr="001E5EDB">
              <w:rPr>
                <w:lang w:val="fr-FR"/>
              </w:rPr>
              <w:t>, Vice President, Strategic &amp; International Engagement</w:t>
            </w:r>
            <w:r>
              <w:rPr>
                <w:lang w:val="fr-FR"/>
              </w:rPr>
              <w:t>, QS</w:t>
            </w:r>
          </w:p>
          <w:p w14:paraId="47FA2AC5" w14:textId="3919CBD9" w:rsidR="001E5EDB" w:rsidRPr="001E5EDB" w:rsidRDefault="001E5EDB" w:rsidP="001E5EDB">
            <w:pPr>
              <w:spacing w:after="120" w:line="264" w:lineRule="auto"/>
              <w:rPr>
                <w:lang w:val="fr-FR"/>
              </w:rPr>
            </w:pPr>
          </w:p>
        </w:tc>
      </w:tr>
    </w:tbl>
    <w:p w14:paraId="237D18E4" w14:textId="77777777" w:rsidR="001E5EDB" w:rsidRPr="001E5EDB" w:rsidRDefault="001E5EDB" w:rsidP="001E5EDB">
      <w:pPr>
        <w:spacing w:after="120" w:line="264" w:lineRule="auto"/>
        <w:rPr>
          <w:i/>
          <w:iCs/>
          <w:lang w:val="fr-FR"/>
        </w:rPr>
      </w:pPr>
    </w:p>
    <w:p w14:paraId="4324A261" w14:textId="5BE362B0" w:rsidR="006D2A6C" w:rsidRDefault="00B031BA" w:rsidP="00B031BA">
      <w:r w:rsidRPr="001E5EDB">
        <w:rPr>
          <w:lang w:val="fr-FR"/>
        </w:rPr>
        <w:lastRenderedPageBreak/>
        <w:t xml:space="preserve"> </w:t>
      </w:r>
      <w:r w:rsidR="00000000">
        <w:rPr>
          <w:b/>
          <w:bCs/>
          <w:sz w:val="26"/>
          <w:szCs w:val="26"/>
        </w:rPr>
        <w:t>Higher education systems across the Arab Region</w:t>
      </w:r>
    </w:p>
    <w:tbl>
      <w:tblPr>
        <w:tblW w:w="10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0"/>
        <w:gridCol w:w="660"/>
        <w:gridCol w:w="908"/>
        <w:gridCol w:w="743"/>
        <w:gridCol w:w="743"/>
        <w:gridCol w:w="660"/>
        <w:gridCol w:w="660"/>
        <w:gridCol w:w="825"/>
        <w:gridCol w:w="908"/>
        <w:gridCol w:w="2559"/>
        <w:gridCol w:w="1161"/>
      </w:tblGrid>
      <w:tr w:rsidR="006D2A6C" w14:paraId="23999664" w14:textId="77777777" w:rsidTr="00584DCF">
        <w:tblPrEx>
          <w:tblCellMar>
            <w:top w:w="0" w:type="dxa"/>
            <w:bottom w:w="0" w:type="dxa"/>
          </w:tblCellMar>
        </w:tblPrEx>
        <w:trPr>
          <w:trHeight w:val="232"/>
          <w:jc w:val="center"/>
        </w:trPr>
        <w:tc>
          <w:tcPr>
            <w:tcW w:w="10897" w:type="dxa"/>
            <w:gridSpan w:val="11"/>
            <w:tcBorders>
              <w:top w:val="single" w:sz="2" w:space="0" w:color="E2E2E2"/>
              <w:left w:val="single" w:sz="2" w:space="0" w:color="E2E2E2"/>
              <w:bottom w:val="single" w:sz="2" w:space="0" w:color="E2E2E2"/>
              <w:right w:val="single" w:sz="2" w:space="0" w:color="E2E2E2"/>
            </w:tcBorders>
            <w:shd w:val="clear" w:color="auto" w:fill="1D1D1B"/>
            <w:tcMar>
              <w:top w:w="80" w:type="dxa"/>
              <w:left w:w="120" w:type="dxa"/>
              <w:bottom w:w="80" w:type="dxa"/>
              <w:right w:w="120" w:type="dxa"/>
            </w:tcMar>
          </w:tcPr>
          <w:p w14:paraId="6F762C97" w14:textId="77777777" w:rsidR="006D2A6C" w:rsidRDefault="00000000">
            <w:r>
              <w:rPr>
                <w:b/>
                <w:bCs/>
                <w:color w:val="FFFFFF"/>
                <w:sz w:val="19"/>
                <w:szCs w:val="19"/>
              </w:rPr>
              <w:t>Higher education systems across the Arab Region in the QS World University Rankings 2027</w:t>
            </w:r>
          </w:p>
        </w:tc>
      </w:tr>
      <w:tr w:rsidR="006D2A6C" w14:paraId="65B9EB8A" w14:textId="77777777" w:rsidTr="00584DCF">
        <w:tblPrEx>
          <w:tblCellMar>
            <w:top w:w="0" w:type="dxa"/>
            <w:bottom w:w="0" w:type="dxa"/>
          </w:tblCellMar>
        </w:tblPrEx>
        <w:trPr>
          <w:trHeight w:val="384"/>
          <w:tblHeader/>
          <w:jc w:val="center"/>
        </w:trPr>
        <w:tc>
          <w:tcPr>
            <w:tcW w:w="107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562B45C8" w14:textId="77777777" w:rsidR="006D2A6C" w:rsidRDefault="00000000">
            <w:r>
              <w:rPr>
                <w:b/>
                <w:bCs/>
                <w:sz w:val="16"/>
                <w:szCs w:val="16"/>
              </w:rPr>
              <w:t>Location</w:t>
            </w:r>
          </w:p>
        </w:tc>
        <w:tc>
          <w:tcPr>
            <w:tcW w:w="66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5520E01F" w14:textId="77777777" w:rsidR="006D2A6C" w:rsidRDefault="00000000">
            <w:pPr>
              <w:jc w:val="center"/>
            </w:pPr>
            <w:r>
              <w:rPr>
                <w:b/>
                <w:bCs/>
                <w:sz w:val="16"/>
                <w:szCs w:val="16"/>
              </w:rPr>
              <w:t>Total</w:t>
            </w:r>
          </w:p>
        </w:tc>
        <w:tc>
          <w:tcPr>
            <w:tcW w:w="908"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6942F6A0" w14:textId="77777777" w:rsidR="006D2A6C" w:rsidRDefault="00000000">
            <w:pPr>
              <w:jc w:val="center"/>
            </w:pPr>
            <w:r>
              <w:rPr>
                <w:b/>
                <w:bCs/>
                <w:sz w:val="16"/>
                <w:szCs w:val="16"/>
              </w:rPr>
              <w:t>Lower (%)</w:t>
            </w:r>
          </w:p>
        </w:tc>
        <w:tc>
          <w:tcPr>
            <w:tcW w:w="743"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48FC5182" w14:textId="77777777" w:rsidR="006D2A6C" w:rsidRDefault="00000000">
            <w:pPr>
              <w:jc w:val="center"/>
            </w:pPr>
            <w:r>
              <w:rPr>
                <w:b/>
                <w:bCs/>
                <w:sz w:val="16"/>
                <w:szCs w:val="16"/>
              </w:rPr>
              <w:t>Same (%)</w:t>
            </w:r>
          </w:p>
        </w:tc>
        <w:tc>
          <w:tcPr>
            <w:tcW w:w="743"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12CFCBF6" w14:textId="77777777" w:rsidR="006D2A6C" w:rsidRDefault="00000000">
            <w:pPr>
              <w:jc w:val="center"/>
            </w:pPr>
            <w:r>
              <w:rPr>
                <w:b/>
                <w:bCs/>
                <w:sz w:val="16"/>
                <w:szCs w:val="16"/>
              </w:rPr>
              <w:t>Higher (%)</w:t>
            </w:r>
          </w:p>
        </w:tc>
        <w:tc>
          <w:tcPr>
            <w:tcW w:w="66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48D046C7" w14:textId="77777777" w:rsidR="006D2A6C" w:rsidRDefault="00000000">
            <w:pPr>
              <w:jc w:val="center"/>
            </w:pPr>
            <w:r>
              <w:rPr>
                <w:b/>
                <w:bCs/>
                <w:sz w:val="16"/>
                <w:szCs w:val="16"/>
              </w:rPr>
              <w:t>Top 100</w:t>
            </w:r>
          </w:p>
        </w:tc>
        <w:tc>
          <w:tcPr>
            <w:tcW w:w="66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793812C9" w14:textId="77777777" w:rsidR="006D2A6C" w:rsidRDefault="00000000">
            <w:pPr>
              <w:jc w:val="center"/>
            </w:pPr>
            <w:r>
              <w:rPr>
                <w:b/>
                <w:bCs/>
                <w:sz w:val="16"/>
                <w:szCs w:val="16"/>
              </w:rPr>
              <w:t>Top 200</w:t>
            </w:r>
          </w:p>
        </w:tc>
        <w:tc>
          <w:tcPr>
            <w:tcW w:w="825"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7735A8B2" w14:textId="77777777" w:rsidR="006D2A6C" w:rsidRDefault="00000000">
            <w:pPr>
              <w:jc w:val="center"/>
            </w:pPr>
            <w:r>
              <w:rPr>
                <w:b/>
                <w:bCs/>
                <w:sz w:val="16"/>
                <w:szCs w:val="16"/>
              </w:rPr>
              <w:t>Top 500</w:t>
            </w:r>
          </w:p>
        </w:tc>
        <w:tc>
          <w:tcPr>
            <w:tcW w:w="908"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6095A248" w14:textId="77777777" w:rsidR="006D2A6C" w:rsidRDefault="00000000">
            <w:pPr>
              <w:jc w:val="center"/>
            </w:pPr>
            <w:r>
              <w:rPr>
                <w:b/>
                <w:bCs/>
                <w:sz w:val="16"/>
                <w:szCs w:val="16"/>
              </w:rPr>
              <w:t>Top 1000</w:t>
            </w:r>
          </w:p>
        </w:tc>
        <w:tc>
          <w:tcPr>
            <w:tcW w:w="2559"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677F9A77" w14:textId="77777777" w:rsidR="006D2A6C" w:rsidRDefault="00000000">
            <w:pPr>
              <w:jc w:val="center"/>
            </w:pPr>
            <w:r>
              <w:rPr>
                <w:b/>
                <w:bCs/>
                <w:sz w:val="16"/>
                <w:szCs w:val="16"/>
              </w:rPr>
              <w:t>Top institution</w:t>
            </w:r>
          </w:p>
        </w:tc>
        <w:tc>
          <w:tcPr>
            <w:tcW w:w="1156"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2555C02B" w14:textId="77777777" w:rsidR="006D2A6C" w:rsidRDefault="00000000">
            <w:pPr>
              <w:jc w:val="center"/>
            </w:pPr>
            <w:r>
              <w:rPr>
                <w:b/>
                <w:bCs/>
                <w:sz w:val="16"/>
                <w:szCs w:val="16"/>
              </w:rPr>
              <w:t>Rank</w:t>
            </w:r>
          </w:p>
        </w:tc>
      </w:tr>
      <w:tr w:rsidR="006D2A6C" w14:paraId="74C1BDCB" w14:textId="77777777" w:rsidTr="00584DCF">
        <w:tblPrEx>
          <w:tblCellMar>
            <w:top w:w="0" w:type="dxa"/>
            <w:bottom w:w="0" w:type="dxa"/>
          </w:tblCellMar>
        </w:tblPrEx>
        <w:trPr>
          <w:trHeight w:val="192"/>
          <w:jc w:val="center"/>
        </w:trPr>
        <w:tc>
          <w:tcPr>
            <w:tcW w:w="107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88DF6A2" w14:textId="77777777" w:rsidR="006D2A6C" w:rsidRDefault="00000000">
            <w:r>
              <w:rPr>
                <w:b/>
                <w:bCs/>
                <w:sz w:val="16"/>
                <w:szCs w:val="16"/>
              </w:rPr>
              <w:t>Saudi Arabia</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93B7519" w14:textId="77777777" w:rsidR="006D2A6C" w:rsidRDefault="00000000">
            <w:pPr>
              <w:jc w:val="center"/>
            </w:pPr>
            <w:r>
              <w:rPr>
                <w:sz w:val="16"/>
                <w:szCs w:val="16"/>
              </w:rPr>
              <w:t>22</w:t>
            </w: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9082E87" w14:textId="77777777" w:rsidR="006D2A6C" w:rsidRDefault="00000000">
            <w:pPr>
              <w:jc w:val="center"/>
            </w:pPr>
            <w:r>
              <w:rPr>
                <w:sz w:val="16"/>
                <w:szCs w:val="16"/>
              </w:rPr>
              <w:t>6 (27%)</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9EDC0D8" w14:textId="77777777" w:rsidR="006D2A6C" w:rsidRDefault="00000000">
            <w:pPr>
              <w:jc w:val="center"/>
            </w:pPr>
            <w:r>
              <w:rPr>
                <w:sz w:val="16"/>
                <w:szCs w:val="16"/>
              </w:rPr>
              <w:t>4 (18%)</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10BE31A" w14:textId="77777777" w:rsidR="006D2A6C" w:rsidRDefault="00000000">
            <w:pPr>
              <w:jc w:val="center"/>
            </w:pPr>
            <w:r>
              <w:rPr>
                <w:sz w:val="16"/>
                <w:szCs w:val="16"/>
              </w:rPr>
              <w:t>12 (55%)</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01444F8" w14:textId="77777777" w:rsidR="006D2A6C" w:rsidRDefault="00000000">
            <w:pPr>
              <w:jc w:val="center"/>
            </w:pPr>
            <w:r>
              <w:rPr>
                <w:sz w:val="16"/>
                <w:szCs w:val="16"/>
              </w:rPr>
              <w:t>1</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4A6C6EB" w14:textId="77777777" w:rsidR="006D2A6C" w:rsidRDefault="00000000">
            <w:pPr>
              <w:jc w:val="center"/>
            </w:pPr>
            <w:r>
              <w:rPr>
                <w:sz w:val="16"/>
                <w:szCs w:val="16"/>
              </w:rPr>
              <w:t>3</w:t>
            </w:r>
          </w:p>
        </w:tc>
        <w:tc>
          <w:tcPr>
            <w:tcW w:w="825"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D2A03B5" w14:textId="77777777" w:rsidR="006D2A6C" w:rsidRDefault="00000000">
            <w:pPr>
              <w:jc w:val="center"/>
            </w:pPr>
            <w:r>
              <w:rPr>
                <w:sz w:val="16"/>
                <w:szCs w:val="16"/>
              </w:rPr>
              <w:t>6 (+1)</w:t>
            </w: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FDD0487" w14:textId="77777777" w:rsidR="006D2A6C" w:rsidRDefault="00000000">
            <w:pPr>
              <w:jc w:val="center"/>
            </w:pPr>
            <w:r>
              <w:rPr>
                <w:sz w:val="16"/>
                <w:szCs w:val="16"/>
              </w:rPr>
              <w:t>17 (-1)</w:t>
            </w:r>
          </w:p>
        </w:tc>
        <w:tc>
          <w:tcPr>
            <w:tcW w:w="2559"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D039DB7" w14:textId="77777777" w:rsidR="006D2A6C" w:rsidRDefault="00000000">
            <w:r>
              <w:rPr>
                <w:sz w:val="16"/>
                <w:szCs w:val="16"/>
              </w:rPr>
              <w:t>KFUPM</w:t>
            </w:r>
          </w:p>
        </w:tc>
        <w:tc>
          <w:tcPr>
            <w:tcW w:w="1156"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EC633E5" w14:textId="77777777" w:rsidR="006D2A6C" w:rsidRDefault="00000000">
            <w:pPr>
              <w:jc w:val="center"/>
            </w:pPr>
            <w:r>
              <w:rPr>
                <w:sz w:val="16"/>
                <w:szCs w:val="16"/>
              </w:rPr>
              <w:t>63</w:t>
            </w:r>
          </w:p>
        </w:tc>
      </w:tr>
      <w:tr w:rsidR="006D2A6C" w14:paraId="1031D768" w14:textId="77777777" w:rsidTr="00584DCF">
        <w:tblPrEx>
          <w:tblCellMar>
            <w:top w:w="0" w:type="dxa"/>
            <w:bottom w:w="0" w:type="dxa"/>
          </w:tblCellMar>
        </w:tblPrEx>
        <w:trPr>
          <w:trHeight w:val="252"/>
          <w:jc w:val="center"/>
        </w:trPr>
        <w:tc>
          <w:tcPr>
            <w:tcW w:w="107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79AFA46" w14:textId="77777777" w:rsidR="006D2A6C" w:rsidRDefault="00000000">
            <w:r>
              <w:rPr>
                <w:b/>
                <w:bCs/>
                <w:sz w:val="16"/>
                <w:szCs w:val="16"/>
              </w:rPr>
              <w:t>Egypt</w:t>
            </w: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F802E11" w14:textId="77777777" w:rsidR="006D2A6C" w:rsidRDefault="00000000">
            <w:pPr>
              <w:jc w:val="center"/>
            </w:pPr>
            <w:r>
              <w:rPr>
                <w:sz w:val="16"/>
                <w:szCs w:val="16"/>
              </w:rPr>
              <w:t>18</w:t>
            </w:r>
          </w:p>
        </w:tc>
        <w:tc>
          <w:tcPr>
            <w:tcW w:w="908"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3740577" w14:textId="77777777" w:rsidR="006D2A6C" w:rsidRDefault="00000000">
            <w:pPr>
              <w:jc w:val="center"/>
            </w:pPr>
            <w:r>
              <w:rPr>
                <w:sz w:val="16"/>
                <w:szCs w:val="16"/>
              </w:rPr>
              <w:t>7 (41%)</w:t>
            </w:r>
          </w:p>
        </w:tc>
        <w:tc>
          <w:tcPr>
            <w:tcW w:w="743"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5025E0D" w14:textId="77777777" w:rsidR="006D2A6C" w:rsidRDefault="00000000">
            <w:pPr>
              <w:jc w:val="center"/>
            </w:pPr>
            <w:r>
              <w:rPr>
                <w:sz w:val="16"/>
                <w:szCs w:val="16"/>
              </w:rPr>
              <w:t>10 (59%)</w:t>
            </w:r>
          </w:p>
        </w:tc>
        <w:tc>
          <w:tcPr>
            <w:tcW w:w="743"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6DEFEED" w14:textId="77777777" w:rsidR="006D2A6C" w:rsidRDefault="00000000">
            <w:pPr>
              <w:jc w:val="center"/>
            </w:pPr>
            <w:r>
              <w:rPr>
                <w:sz w:val="16"/>
                <w:szCs w:val="16"/>
              </w:rPr>
              <w:t>0</w:t>
            </w: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3E69AA5" w14:textId="77777777" w:rsidR="006D2A6C" w:rsidRDefault="006D2A6C">
            <w:pPr>
              <w:jc w:val="center"/>
            </w:pP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0C78FE5" w14:textId="77777777" w:rsidR="006D2A6C" w:rsidRDefault="006D2A6C">
            <w:pPr>
              <w:jc w:val="center"/>
            </w:pPr>
          </w:p>
        </w:tc>
        <w:tc>
          <w:tcPr>
            <w:tcW w:w="825"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2E829DF" w14:textId="77777777" w:rsidR="006D2A6C" w:rsidRDefault="00000000">
            <w:pPr>
              <w:jc w:val="center"/>
            </w:pPr>
            <w:r>
              <w:rPr>
                <w:sz w:val="16"/>
                <w:szCs w:val="16"/>
              </w:rPr>
              <w:t>2</w:t>
            </w:r>
          </w:p>
        </w:tc>
        <w:tc>
          <w:tcPr>
            <w:tcW w:w="908"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F9B1624" w14:textId="77777777" w:rsidR="006D2A6C" w:rsidRDefault="00000000">
            <w:pPr>
              <w:jc w:val="center"/>
            </w:pPr>
            <w:r>
              <w:rPr>
                <w:sz w:val="16"/>
                <w:szCs w:val="16"/>
              </w:rPr>
              <w:t>6 (+1)</w:t>
            </w:r>
          </w:p>
        </w:tc>
        <w:tc>
          <w:tcPr>
            <w:tcW w:w="2559"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BAD63E2" w14:textId="77777777" w:rsidR="006D2A6C" w:rsidRDefault="00000000">
            <w:r>
              <w:rPr>
                <w:sz w:val="16"/>
                <w:szCs w:val="16"/>
              </w:rPr>
              <w:t>Cairo University</w:t>
            </w:r>
          </w:p>
        </w:tc>
        <w:tc>
          <w:tcPr>
            <w:tcW w:w="1156"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5DD91DF" w14:textId="77777777" w:rsidR="006D2A6C" w:rsidRDefault="00000000">
            <w:pPr>
              <w:jc w:val="center"/>
            </w:pPr>
            <w:r>
              <w:rPr>
                <w:sz w:val="16"/>
                <w:szCs w:val="16"/>
              </w:rPr>
              <w:t>363</w:t>
            </w:r>
          </w:p>
        </w:tc>
      </w:tr>
      <w:tr w:rsidR="006D2A6C" w14:paraId="1829BE87" w14:textId="77777777" w:rsidTr="00584DCF">
        <w:tblPrEx>
          <w:tblCellMar>
            <w:top w:w="0" w:type="dxa"/>
            <w:bottom w:w="0" w:type="dxa"/>
          </w:tblCellMar>
        </w:tblPrEx>
        <w:trPr>
          <w:trHeight w:val="262"/>
          <w:jc w:val="center"/>
        </w:trPr>
        <w:tc>
          <w:tcPr>
            <w:tcW w:w="107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3215784" w14:textId="77777777" w:rsidR="006D2A6C" w:rsidRDefault="00000000">
            <w:r>
              <w:rPr>
                <w:b/>
                <w:bCs/>
                <w:sz w:val="16"/>
                <w:szCs w:val="16"/>
              </w:rPr>
              <w:t>Jordan</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1275FA3" w14:textId="77777777" w:rsidR="006D2A6C" w:rsidRDefault="00000000">
            <w:pPr>
              <w:jc w:val="center"/>
            </w:pPr>
            <w:r>
              <w:rPr>
                <w:sz w:val="16"/>
                <w:szCs w:val="16"/>
              </w:rPr>
              <w:t>15</w:t>
            </w: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E8CAD48" w14:textId="77777777" w:rsidR="006D2A6C" w:rsidRDefault="00000000">
            <w:pPr>
              <w:jc w:val="center"/>
            </w:pPr>
            <w:r>
              <w:rPr>
                <w:sz w:val="16"/>
                <w:szCs w:val="16"/>
              </w:rPr>
              <w:t>5 (33%)</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5E07E6B" w14:textId="77777777" w:rsidR="006D2A6C" w:rsidRDefault="00000000">
            <w:pPr>
              <w:jc w:val="center"/>
            </w:pPr>
            <w:r>
              <w:rPr>
                <w:sz w:val="16"/>
                <w:szCs w:val="16"/>
              </w:rPr>
              <w:t>5 (33%)</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05EB1D9" w14:textId="77777777" w:rsidR="006D2A6C" w:rsidRDefault="00000000">
            <w:pPr>
              <w:jc w:val="center"/>
            </w:pPr>
            <w:r>
              <w:rPr>
                <w:sz w:val="16"/>
                <w:szCs w:val="16"/>
              </w:rPr>
              <w:t>5 (33%)</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BD9D002" w14:textId="77777777" w:rsidR="006D2A6C" w:rsidRDefault="006D2A6C">
            <w:pPr>
              <w:jc w:val="center"/>
            </w:pP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E0DD86E" w14:textId="77777777" w:rsidR="006D2A6C" w:rsidRDefault="006D2A6C">
            <w:pPr>
              <w:jc w:val="center"/>
            </w:pPr>
          </w:p>
        </w:tc>
        <w:tc>
          <w:tcPr>
            <w:tcW w:w="825"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434EFF8" w14:textId="77777777" w:rsidR="006D2A6C" w:rsidRDefault="00000000">
            <w:pPr>
              <w:jc w:val="center"/>
            </w:pPr>
            <w:r>
              <w:rPr>
                <w:sz w:val="16"/>
                <w:szCs w:val="16"/>
              </w:rPr>
              <w:t>2</w:t>
            </w: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DE6C840" w14:textId="77777777" w:rsidR="006D2A6C" w:rsidRDefault="00000000">
            <w:pPr>
              <w:jc w:val="center"/>
            </w:pPr>
            <w:r>
              <w:rPr>
                <w:sz w:val="16"/>
                <w:szCs w:val="16"/>
              </w:rPr>
              <w:t>7</w:t>
            </w:r>
          </w:p>
        </w:tc>
        <w:tc>
          <w:tcPr>
            <w:tcW w:w="2559"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99CF9D8" w14:textId="77777777" w:rsidR="006D2A6C" w:rsidRDefault="00000000">
            <w:r>
              <w:rPr>
                <w:sz w:val="16"/>
                <w:szCs w:val="16"/>
              </w:rPr>
              <w:t>University of Jordan</w:t>
            </w:r>
          </w:p>
        </w:tc>
        <w:tc>
          <w:tcPr>
            <w:tcW w:w="1156"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629AEF5" w14:textId="77777777" w:rsidR="006D2A6C" w:rsidRDefault="00000000">
            <w:pPr>
              <w:jc w:val="center"/>
            </w:pPr>
            <w:r>
              <w:rPr>
                <w:sz w:val="16"/>
                <w:szCs w:val="16"/>
              </w:rPr>
              <w:t>326</w:t>
            </w:r>
          </w:p>
        </w:tc>
      </w:tr>
      <w:tr w:rsidR="006D2A6C" w14:paraId="0A216A91" w14:textId="77777777" w:rsidTr="00584DCF">
        <w:tblPrEx>
          <w:tblCellMar>
            <w:top w:w="0" w:type="dxa"/>
            <w:bottom w:w="0" w:type="dxa"/>
          </w:tblCellMar>
        </w:tblPrEx>
        <w:trPr>
          <w:trHeight w:val="252"/>
          <w:jc w:val="center"/>
        </w:trPr>
        <w:tc>
          <w:tcPr>
            <w:tcW w:w="107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47F0C80" w14:textId="1F06C0A4" w:rsidR="006D2A6C" w:rsidRDefault="00000000">
            <w:r>
              <w:rPr>
                <w:b/>
                <w:bCs/>
                <w:sz w:val="16"/>
                <w:szCs w:val="16"/>
              </w:rPr>
              <w:t>U</w:t>
            </w:r>
            <w:r w:rsidR="00584DCF">
              <w:rPr>
                <w:b/>
                <w:bCs/>
                <w:sz w:val="16"/>
                <w:szCs w:val="16"/>
              </w:rPr>
              <w:t>AE</w:t>
            </w: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90F3A9A" w14:textId="77777777" w:rsidR="006D2A6C" w:rsidRDefault="00000000">
            <w:pPr>
              <w:jc w:val="center"/>
            </w:pPr>
            <w:r>
              <w:rPr>
                <w:sz w:val="16"/>
                <w:szCs w:val="16"/>
              </w:rPr>
              <w:t>12</w:t>
            </w:r>
          </w:p>
        </w:tc>
        <w:tc>
          <w:tcPr>
            <w:tcW w:w="908"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8481751" w14:textId="77777777" w:rsidR="006D2A6C" w:rsidRDefault="00000000">
            <w:pPr>
              <w:jc w:val="center"/>
            </w:pPr>
            <w:r>
              <w:rPr>
                <w:sz w:val="16"/>
                <w:szCs w:val="16"/>
              </w:rPr>
              <w:t>3 (25%)</w:t>
            </w:r>
          </w:p>
        </w:tc>
        <w:tc>
          <w:tcPr>
            <w:tcW w:w="743"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0B32B15" w14:textId="77777777" w:rsidR="006D2A6C" w:rsidRDefault="00000000">
            <w:pPr>
              <w:jc w:val="center"/>
            </w:pPr>
            <w:r>
              <w:rPr>
                <w:sz w:val="16"/>
                <w:szCs w:val="16"/>
              </w:rPr>
              <w:t>0</w:t>
            </w:r>
          </w:p>
        </w:tc>
        <w:tc>
          <w:tcPr>
            <w:tcW w:w="743"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488A85D" w14:textId="77777777" w:rsidR="006D2A6C" w:rsidRDefault="00000000">
            <w:pPr>
              <w:jc w:val="center"/>
            </w:pPr>
            <w:r>
              <w:rPr>
                <w:sz w:val="16"/>
                <w:szCs w:val="16"/>
              </w:rPr>
              <w:t>9 (75%)</w:t>
            </w: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9AFA233" w14:textId="77777777" w:rsidR="006D2A6C" w:rsidRDefault="006D2A6C">
            <w:pPr>
              <w:jc w:val="center"/>
            </w:pP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1EE2AA9" w14:textId="77777777" w:rsidR="006D2A6C" w:rsidRDefault="00000000">
            <w:pPr>
              <w:jc w:val="center"/>
            </w:pPr>
            <w:r>
              <w:rPr>
                <w:sz w:val="16"/>
                <w:szCs w:val="16"/>
              </w:rPr>
              <w:t>1</w:t>
            </w:r>
          </w:p>
        </w:tc>
        <w:tc>
          <w:tcPr>
            <w:tcW w:w="825"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8E76EB6" w14:textId="77777777" w:rsidR="006D2A6C" w:rsidRDefault="00000000">
            <w:pPr>
              <w:jc w:val="center"/>
            </w:pPr>
            <w:r>
              <w:rPr>
                <w:sz w:val="16"/>
                <w:szCs w:val="16"/>
              </w:rPr>
              <w:t>6</w:t>
            </w:r>
          </w:p>
        </w:tc>
        <w:tc>
          <w:tcPr>
            <w:tcW w:w="908"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18F0361" w14:textId="77777777" w:rsidR="006D2A6C" w:rsidRDefault="00000000">
            <w:pPr>
              <w:jc w:val="center"/>
            </w:pPr>
            <w:r>
              <w:rPr>
                <w:sz w:val="16"/>
                <w:szCs w:val="16"/>
              </w:rPr>
              <w:t>12</w:t>
            </w:r>
          </w:p>
        </w:tc>
        <w:tc>
          <w:tcPr>
            <w:tcW w:w="2559"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68149BF" w14:textId="77777777" w:rsidR="006D2A6C" w:rsidRDefault="00000000">
            <w:r>
              <w:rPr>
                <w:sz w:val="16"/>
                <w:szCs w:val="16"/>
              </w:rPr>
              <w:t>Khalifa University</w:t>
            </w:r>
          </w:p>
        </w:tc>
        <w:tc>
          <w:tcPr>
            <w:tcW w:w="1156"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8F7165C" w14:textId="77777777" w:rsidR="006D2A6C" w:rsidRDefault="00000000">
            <w:pPr>
              <w:jc w:val="center"/>
            </w:pPr>
            <w:r>
              <w:rPr>
                <w:sz w:val="16"/>
                <w:szCs w:val="16"/>
              </w:rPr>
              <w:t>147</w:t>
            </w:r>
          </w:p>
        </w:tc>
      </w:tr>
      <w:tr w:rsidR="006D2A6C" w14:paraId="20B4BAB0" w14:textId="77777777" w:rsidTr="00584DCF">
        <w:tblPrEx>
          <w:tblCellMar>
            <w:top w:w="0" w:type="dxa"/>
            <w:bottom w:w="0" w:type="dxa"/>
          </w:tblCellMar>
        </w:tblPrEx>
        <w:trPr>
          <w:trHeight w:val="252"/>
          <w:jc w:val="center"/>
        </w:trPr>
        <w:tc>
          <w:tcPr>
            <w:tcW w:w="107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F01F76C" w14:textId="77777777" w:rsidR="006D2A6C" w:rsidRDefault="00000000">
            <w:r>
              <w:rPr>
                <w:b/>
                <w:bCs/>
                <w:sz w:val="16"/>
                <w:szCs w:val="16"/>
              </w:rPr>
              <w:t>Lebanon</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97DAD4C" w14:textId="77777777" w:rsidR="006D2A6C" w:rsidRDefault="00000000">
            <w:pPr>
              <w:jc w:val="center"/>
            </w:pPr>
            <w:r>
              <w:rPr>
                <w:sz w:val="16"/>
                <w:szCs w:val="16"/>
              </w:rPr>
              <w:t>9</w:t>
            </w: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56E05E3" w14:textId="77777777" w:rsidR="006D2A6C" w:rsidRDefault="00000000">
            <w:pPr>
              <w:jc w:val="center"/>
            </w:pPr>
            <w:r>
              <w:rPr>
                <w:sz w:val="16"/>
                <w:szCs w:val="16"/>
              </w:rPr>
              <w:t>3 (33%)</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8E4C808" w14:textId="77777777" w:rsidR="006D2A6C" w:rsidRDefault="00000000">
            <w:pPr>
              <w:jc w:val="center"/>
            </w:pPr>
            <w:r>
              <w:rPr>
                <w:sz w:val="16"/>
                <w:szCs w:val="16"/>
              </w:rPr>
              <w:t>1 (11%)</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BDAAA68" w14:textId="77777777" w:rsidR="006D2A6C" w:rsidRDefault="00000000">
            <w:pPr>
              <w:jc w:val="center"/>
            </w:pPr>
            <w:r>
              <w:rPr>
                <w:sz w:val="16"/>
                <w:szCs w:val="16"/>
              </w:rPr>
              <w:t>5 (56%)</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EC826E8" w14:textId="77777777" w:rsidR="006D2A6C" w:rsidRDefault="006D2A6C">
            <w:pPr>
              <w:jc w:val="center"/>
            </w:pP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F8964ED" w14:textId="77777777" w:rsidR="006D2A6C" w:rsidRDefault="006D2A6C">
            <w:pPr>
              <w:jc w:val="center"/>
            </w:pPr>
          </w:p>
        </w:tc>
        <w:tc>
          <w:tcPr>
            <w:tcW w:w="825"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4F1BF59" w14:textId="77777777" w:rsidR="006D2A6C" w:rsidRDefault="00000000">
            <w:pPr>
              <w:jc w:val="center"/>
            </w:pPr>
            <w:r>
              <w:rPr>
                <w:sz w:val="16"/>
                <w:szCs w:val="16"/>
              </w:rPr>
              <w:t>2 (+1)</w:t>
            </w: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9469EB6" w14:textId="77777777" w:rsidR="006D2A6C" w:rsidRDefault="00000000">
            <w:pPr>
              <w:jc w:val="center"/>
            </w:pPr>
            <w:r>
              <w:rPr>
                <w:sz w:val="16"/>
                <w:szCs w:val="16"/>
              </w:rPr>
              <w:t>6</w:t>
            </w:r>
          </w:p>
        </w:tc>
        <w:tc>
          <w:tcPr>
            <w:tcW w:w="2559"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5437CBE" w14:textId="77777777" w:rsidR="006D2A6C" w:rsidRDefault="00000000">
            <w:r>
              <w:rPr>
                <w:sz w:val="16"/>
                <w:szCs w:val="16"/>
              </w:rPr>
              <w:t>American University of Beirut (AUB)</w:t>
            </w:r>
          </w:p>
        </w:tc>
        <w:tc>
          <w:tcPr>
            <w:tcW w:w="1156"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9154995" w14:textId="77777777" w:rsidR="006D2A6C" w:rsidRDefault="00000000">
            <w:pPr>
              <w:jc w:val="center"/>
            </w:pPr>
            <w:r>
              <w:rPr>
                <w:sz w:val="16"/>
                <w:szCs w:val="16"/>
              </w:rPr>
              <w:t>223</w:t>
            </w:r>
          </w:p>
        </w:tc>
      </w:tr>
      <w:tr w:rsidR="006D2A6C" w14:paraId="425F33C2" w14:textId="77777777" w:rsidTr="00584DCF">
        <w:tblPrEx>
          <w:tblCellMar>
            <w:top w:w="0" w:type="dxa"/>
            <w:bottom w:w="0" w:type="dxa"/>
          </w:tblCellMar>
        </w:tblPrEx>
        <w:trPr>
          <w:trHeight w:val="252"/>
          <w:jc w:val="center"/>
        </w:trPr>
        <w:tc>
          <w:tcPr>
            <w:tcW w:w="107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06AB872" w14:textId="77777777" w:rsidR="006D2A6C" w:rsidRDefault="00000000">
            <w:r>
              <w:rPr>
                <w:b/>
                <w:bCs/>
                <w:sz w:val="16"/>
                <w:szCs w:val="16"/>
              </w:rPr>
              <w:t>Oman</w:t>
            </w: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932C455" w14:textId="77777777" w:rsidR="006D2A6C" w:rsidRDefault="00000000">
            <w:pPr>
              <w:jc w:val="center"/>
            </w:pPr>
            <w:r>
              <w:rPr>
                <w:sz w:val="16"/>
                <w:szCs w:val="16"/>
              </w:rPr>
              <w:t>7</w:t>
            </w:r>
          </w:p>
        </w:tc>
        <w:tc>
          <w:tcPr>
            <w:tcW w:w="908"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BA2BF55" w14:textId="77777777" w:rsidR="006D2A6C" w:rsidRDefault="00000000">
            <w:pPr>
              <w:jc w:val="center"/>
            </w:pPr>
            <w:r>
              <w:rPr>
                <w:sz w:val="16"/>
                <w:szCs w:val="16"/>
              </w:rPr>
              <w:t>3 (60%)</w:t>
            </w:r>
          </w:p>
        </w:tc>
        <w:tc>
          <w:tcPr>
            <w:tcW w:w="743"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D92DA2C" w14:textId="77777777" w:rsidR="006D2A6C" w:rsidRDefault="00000000">
            <w:pPr>
              <w:jc w:val="center"/>
            </w:pPr>
            <w:r>
              <w:rPr>
                <w:sz w:val="16"/>
                <w:szCs w:val="16"/>
              </w:rPr>
              <w:t>1 (20%)</w:t>
            </w:r>
          </w:p>
        </w:tc>
        <w:tc>
          <w:tcPr>
            <w:tcW w:w="743"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5C8AFF7" w14:textId="77777777" w:rsidR="006D2A6C" w:rsidRDefault="00000000">
            <w:pPr>
              <w:jc w:val="center"/>
            </w:pPr>
            <w:r>
              <w:rPr>
                <w:sz w:val="16"/>
                <w:szCs w:val="16"/>
              </w:rPr>
              <w:t>1 (20%)</w:t>
            </w: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F13525F" w14:textId="77777777" w:rsidR="006D2A6C" w:rsidRDefault="006D2A6C">
            <w:pPr>
              <w:jc w:val="center"/>
            </w:pP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34BF6D5" w14:textId="77777777" w:rsidR="006D2A6C" w:rsidRDefault="006D2A6C">
            <w:pPr>
              <w:jc w:val="center"/>
            </w:pPr>
          </w:p>
        </w:tc>
        <w:tc>
          <w:tcPr>
            <w:tcW w:w="825"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4490793" w14:textId="77777777" w:rsidR="006D2A6C" w:rsidRDefault="00000000">
            <w:pPr>
              <w:jc w:val="center"/>
            </w:pPr>
            <w:r>
              <w:rPr>
                <w:sz w:val="16"/>
                <w:szCs w:val="16"/>
              </w:rPr>
              <w:t>1</w:t>
            </w:r>
          </w:p>
        </w:tc>
        <w:tc>
          <w:tcPr>
            <w:tcW w:w="908"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0B43CBE" w14:textId="77777777" w:rsidR="006D2A6C" w:rsidRDefault="00000000">
            <w:pPr>
              <w:jc w:val="center"/>
            </w:pPr>
            <w:r>
              <w:rPr>
                <w:sz w:val="16"/>
                <w:szCs w:val="16"/>
              </w:rPr>
              <w:t>4</w:t>
            </w:r>
          </w:p>
        </w:tc>
        <w:tc>
          <w:tcPr>
            <w:tcW w:w="2559"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D8AEA31" w14:textId="77777777" w:rsidR="006D2A6C" w:rsidRDefault="00000000">
            <w:r>
              <w:rPr>
                <w:sz w:val="16"/>
                <w:szCs w:val="16"/>
              </w:rPr>
              <w:t>Sultan Qaboos University</w:t>
            </w:r>
          </w:p>
        </w:tc>
        <w:tc>
          <w:tcPr>
            <w:tcW w:w="1156"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54710DF" w14:textId="77777777" w:rsidR="006D2A6C" w:rsidRDefault="00000000">
            <w:pPr>
              <w:jc w:val="center"/>
            </w:pPr>
            <w:r>
              <w:rPr>
                <w:sz w:val="16"/>
                <w:szCs w:val="16"/>
              </w:rPr>
              <w:t>306</w:t>
            </w:r>
          </w:p>
        </w:tc>
      </w:tr>
      <w:tr w:rsidR="006D2A6C" w14:paraId="3335A21D" w14:textId="77777777" w:rsidTr="00584DCF">
        <w:tblPrEx>
          <w:tblCellMar>
            <w:top w:w="0" w:type="dxa"/>
            <w:bottom w:w="0" w:type="dxa"/>
          </w:tblCellMar>
        </w:tblPrEx>
        <w:trPr>
          <w:trHeight w:val="252"/>
          <w:jc w:val="center"/>
        </w:trPr>
        <w:tc>
          <w:tcPr>
            <w:tcW w:w="107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9517B8E" w14:textId="77777777" w:rsidR="006D2A6C" w:rsidRDefault="00000000">
            <w:r>
              <w:rPr>
                <w:b/>
                <w:bCs/>
                <w:sz w:val="16"/>
                <w:szCs w:val="16"/>
              </w:rPr>
              <w:t>Iraq</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5FDEDE0" w14:textId="77777777" w:rsidR="006D2A6C" w:rsidRDefault="00000000">
            <w:pPr>
              <w:jc w:val="center"/>
            </w:pPr>
            <w:r>
              <w:rPr>
                <w:sz w:val="16"/>
                <w:szCs w:val="16"/>
              </w:rPr>
              <w:t>7</w:t>
            </w: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99B6472" w14:textId="77777777" w:rsidR="006D2A6C" w:rsidRDefault="00000000">
            <w:pPr>
              <w:jc w:val="center"/>
            </w:pPr>
            <w:r>
              <w:rPr>
                <w:sz w:val="16"/>
                <w:szCs w:val="16"/>
              </w:rPr>
              <w:t>5 (71%)</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9693A7C" w14:textId="77777777" w:rsidR="006D2A6C" w:rsidRDefault="00000000">
            <w:pPr>
              <w:jc w:val="center"/>
            </w:pPr>
            <w:r>
              <w:rPr>
                <w:sz w:val="16"/>
                <w:szCs w:val="16"/>
              </w:rPr>
              <w:t>2 (29%)</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4F5956A" w14:textId="77777777" w:rsidR="006D2A6C" w:rsidRDefault="00000000">
            <w:pPr>
              <w:jc w:val="center"/>
            </w:pPr>
            <w:r>
              <w:rPr>
                <w:sz w:val="16"/>
                <w:szCs w:val="16"/>
              </w:rPr>
              <w:t>0</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C71F2C6" w14:textId="77777777" w:rsidR="006D2A6C" w:rsidRDefault="006D2A6C">
            <w:pPr>
              <w:jc w:val="center"/>
            </w:pP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A7B8C04" w14:textId="77777777" w:rsidR="006D2A6C" w:rsidRDefault="006D2A6C">
            <w:pPr>
              <w:jc w:val="center"/>
            </w:pPr>
          </w:p>
        </w:tc>
        <w:tc>
          <w:tcPr>
            <w:tcW w:w="825"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0B7597C" w14:textId="77777777" w:rsidR="006D2A6C" w:rsidRDefault="006D2A6C">
            <w:pPr>
              <w:jc w:val="center"/>
            </w:pP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4F0B055" w14:textId="77777777" w:rsidR="006D2A6C" w:rsidRDefault="00000000">
            <w:pPr>
              <w:jc w:val="center"/>
            </w:pPr>
            <w:r>
              <w:rPr>
                <w:sz w:val="16"/>
                <w:szCs w:val="16"/>
              </w:rPr>
              <w:t>1 (-1)</w:t>
            </w:r>
          </w:p>
        </w:tc>
        <w:tc>
          <w:tcPr>
            <w:tcW w:w="2559"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0A96EE5" w14:textId="77777777" w:rsidR="006D2A6C" w:rsidRDefault="00000000">
            <w:r>
              <w:rPr>
                <w:sz w:val="16"/>
                <w:szCs w:val="16"/>
              </w:rPr>
              <w:t>University of Baghdad</w:t>
            </w:r>
          </w:p>
        </w:tc>
        <w:tc>
          <w:tcPr>
            <w:tcW w:w="1156"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F0FFBA4" w14:textId="77777777" w:rsidR="006D2A6C" w:rsidRDefault="00000000">
            <w:pPr>
              <w:jc w:val="center"/>
            </w:pPr>
            <w:r>
              <w:rPr>
                <w:sz w:val="16"/>
                <w:szCs w:val="16"/>
              </w:rPr>
              <w:t>801-850</w:t>
            </w:r>
          </w:p>
        </w:tc>
      </w:tr>
      <w:tr w:rsidR="006D2A6C" w14:paraId="7E27EDB2" w14:textId="77777777" w:rsidTr="00584DCF">
        <w:tblPrEx>
          <w:tblCellMar>
            <w:top w:w="0" w:type="dxa"/>
            <w:bottom w:w="0" w:type="dxa"/>
          </w:tblCellMar>
        </w:tblPrEx>
        <w:trPr>
          <w:trHeight w:val="252"/>
          <w:jc w:val="center"/>
        </w:trPr>
        <w:tc>
          <w:tcPr>
            <w:tcW w:w="107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B98FCB7" w14:textId="77777777" w:rsidR="006D2A6C" w:rsidRDefault="00000000">
            <w:r>
              <w:rPr>
                <w:b/>
                <w:bCs/>
                <w:sz w:val="16"/>
                <w:szCs w:val="16"/>
              </w:rPr>
              <w:t>Tunisia</w:t>
            </w: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723CB94" w14:textId="77777777" w:rsidR="006D2A6C" w:rsidRDefault="00000000">
            <w:pPr>
              <w:jc w:val="center"/>
            </w:pPr>
            <w:r>
              <w:rPr>
                <w:sz w:val="16"/>
                <w:szCs w:val="16"/>
              </w:rPr>
              <w:t>4</w:t>
            </w:r>
          </w:p>
        </w:tc>
        <w:tc>
          <w:tcPr>
            <w:tcW w:w="908"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345B11A" w14:textId="77777777" w:rsidR="006D2A6C" w:rsidRDefault="00000000">
            <w:pPr>
              <w:jc w:val="center"/>
            </w:pPr>
            <w:r>
              <w:rPr>
                <w:sz w:val="16"/>
                <w:szCs w:val="16"/>
              </w:rPr>
              <w:t>0</w:t>
            </w:r>
          </w:p>
        </w:tc>
        <w:tc>
          <w:tcPr>
            <w:tcW w:w="743"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3A7FF19" w14:textId="77777777" w:rsidR="006D2A6C" w:rsidRDefault="00000000">
            <w:pPr>
              <w:jc w:val="center"/>
            </w:pPr>
            <w:r>
              <w:rPr>
                <w:sz w:val="16"/>
                <w:szCs w:val="16"/>
              </w:rPr>
              <w:t>3 (75%)</w:t>
            </w:r>
          </w:p>
        </w:tc>
        <w:tc>
          <w:tcPr>
            <w:tcW w:w="743"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EF234F4" w14:textId="77777777" w:rsidR="006D2A6C" w:rsidRDefault="00000000">
            <w:pPr>
              <w:jc w:val="center"/>
            </w:pPr>
            <w:r>
              <w:rPr>
                <w:sz w:val="16"/>
                <w:szCs w:val="16"/>
              </w:rPr>
              <w:t>1 (25%)</w:t>
            </w: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CE64A6F" w14:textId="77777777" w:rsidR="006D2A6C" w:rsidRDefault="006D2A6C">
            <w:pPr>
              <w:jc w:val="center"/>
            </w:pP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9C25D57" w14:textId="77777777" w:rsidR="006D2A6C" w:rsidRDefault="006D2A6C">
            <w:pPr>
              <w:jc w:val="center"/>
            </w:pPr>
          </w:p>
        </w:tc>
        <w:tc>
          <w:tcPr>
            <w:tcW w:w="825"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083A459" w14:textId="77777777" w:rsidR="006D2A6C" w:rsidRDefault="006D2A6C">
            <w:pPr>
              <w:jc w:val="center"/>
            </w:pPr>
          </w:p>
        </w:tc>
        <w:tc>
          <w:tcPr>
            <w:tcW w:w="908"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544F10F" w14:textId="77777777" w:rsidR="006D2A6C" w:rsidRDefault="00000000">
            <w:pPr>
              <w:jc w:val="center"/>
            </w:pPr>
            <w:r>
              <w:rPr>
                <w:sz w:val="16"/>
                <w:szCs w:val="16"/>
              </w:rPr>
              <w:t>1</w:t>
            </w:r>
          </w:p>
        </w:tc>
        <w:tc>
          <w:tcPr>
            <w:tcW w:w="2559"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0E07057" w14:textId="77777777" w:rsidR="006D2A6C" w:rsidRDefault="00000000">
            <w:r>
              <w:rPr>
                <w:sz w:val="16"/>
                <w:szCs w:val="16"/>
              </w:rPr>
              <w:t>Universite de Tunis El Manar</w:t>
            </w:r>
          </w:p>
        </w:tc>
        <w:tc>
          <w:tcPr>
            <w:tcW w:w="1156"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D4293AA" w14:textId="77777777" w:rsidR="006D2A6C" w:rsidRDefault="00000000">
            <w:pPr>
              <w:jc w:val="center"/>
            </w:pPr>
            <w:r>
              <w:rPr>
                <w:sz w:val="16"/>
                <w:szCs w:val="16"/>
              </w:rPr>
              <w:t>655</w:t>
            </w:r>
          </w:p>
        </w:tc>
      </w:tr>
      <w:tr w:rsidR="006D2A6C" w14:paraId="3BAA226A" w14:textId="77777777" w:rsidTr="00584DCF">
        <w:tblPrEx>
          <w:tblCellMar>
            <w:top w:w="0" w:type="dxa"/>
            <w:bottom w:w="0" w:type="dxa"/>
          </w:tblCellMar>
        </w:tblPrEx>
        <w:trPr>
          <w:trHeight w:val="252"/>
          <w:jc w:val="center"/>
        </w:trPr>
        <w:tc>
          <w:tcPr>
            <w:tcW w:w="107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CD6B921" w14:textId="77777777" w:rsidR="006D2A6C" w:rsidRDefault="00000000">
            <w:r>
              <w:rPr>
                <w:b/>
                <w:bCs/>
                <w:sz w:val="16"/>
                <w:szCs w:val="16"/>
              </w:rPr>
              <w:t>Palestine</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488FD62" w14:textId="77777777" w:rsidR="006D2A6C" w:rsidRDefault="00000000">
            <w:pPr>
              <w:jc w:val="center"/>
            </w:pPr>
            <w:r>
              <w:rPr>
                <w:sz w:val="16"/>
                <w:szCs w:val="16"/>
              </w:rPr>
              <w:t>3</w:t>
            </w: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66D5CA4" w14:textId="77777777" w:rsidR="006D2A6C" w:rsidRDefault="00000000">
            <w:pPr>
              <w:jc w:val="center"/>
            </w:pPr>
            <w:r>
              <w:rPr>
                <w:sz w:val="16"/>
                <w:szCs w:val="16"/>
              </w:rPr>
              <w:t>0</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C87B05C" w14:textId="77777777" w:rsidR="006D2A6C" w:rsidRDefault="00000000">
            <w:pPr>
              <w:jc w:val="center"/>
            </w:pPr>
            <w:r>
              <w:rPr>
                <w:sz w:val="16"/>
                <w:szCs w:val="16"/>
              </w:rPr>
              <w:t>2 (67%)</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C857669" w14:textId="77777777" w:rsidR="006D2A6C" w:rsidRDefault="00000000">
            <w:pPr>
              <w:jc w:val="center"/>
            </w:pPr>
            <w:r>
              <w:rPr>
                <w:sz w:val="16"/>
                <w:szCs w:val="16"/>
              </w:rPr>
              <w:t>1 (33%)</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71C94CD" w14:textId="77777777" w:rsidR="006D2A6C" w:rsidRDefault="006D2A6C">
            <w:pPr>
              <w:jc w:val="center"/>
            </w:pP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E8563A5" w14:textId="77777777" w:rsidR="006D2A6C" w:rsidRDefault="006D2A6C">
            <w:pPr>
              <w:jc w:val="center"/>
            </w:pPr>
          </w:p>
        </w:tc>
        <w:tc>
          <w:tcPr>
            <w:tcW w:w="825"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E4CB5B6" w14:textId="77777777" w:rsidR="006D2A6C" w:rsidRDefault="006D2A6C">
            <w:pPr>
              <w:jc w:val="center"/>
            </w:pP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FE4023A" w14:textId="77777777" w:rsidR="006D2A6C" w:rsidRDefault="00000000">
            <w:pPr>
              <w:jc w:val="center"/>
            </w:pPr>
            <w:r>
              <w:rPr>
                <w:sz w:val="16"/>
                <w:szCs w:val="16"/>
              </w:rPr>
              <w:t>1</w:t>
            </w:r>
          </w:p>
        </w:tc>
        <w:tc>
          <w:tcPr>
            <w:tcW w:w="2559"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9362F42" w14:textId="77777777" w:rsidR="006D2A6C" w:rsidRDefault="00000000">
            <w:r>
              <w:rPr>
                <w:sz w:val="16"/>
                <w:szCs w:val="16"/>
              </w:rPr>
              <w:t>Al-Quds University</w:t>
            </w:r>
          </w:p>
        </w:tc>
        <w:tc>
          <w:tcPr>
            <w:tcW w:w="1156"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EBFB5B2" w14:textId="77777777" w:rsidR="006D2A6C" w:rsidRDefault="00000000">
            <w:pPr>
              <w:jc w:val="center"/>
            </w:pPr>
            <w:r>
              <w:rPr>
                <w:sz w:val="16"/>
                <w:szCs w:val="16"/>
              </w:rPr>
              <w:t>901-950</w:t>
            </w:r>
          </w:p>
        </w:tc>
      </w:tr>
      <w:tr w:rsidR="006D2A6C" w14:paraId="67383A43" w14:textId="77777777" w:rsidTr="00584DCF">
        <w:tblPrEx>
          <w:tblCellMar>
            <w:top w:w="0" w:type="dxa"/>
            <w:bottom w:w="0" w:type="dxa"/>
          </w:tblCellMar>
        </w:tblPrEx>
        <w:trPr>
          <w:trHeight w:val="262"/>
          <w:jc w:val="center"/>
        </w:trPr>
        <w:tc>
          <w:tcPr>
            <w:tcW w:w="107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8F7118E" w14:textId="77777777" w:rsidR="006D2A6C" w:rsidRDefault="00000000">
            <w:r>
              <w:rPr>
                <w:b/>
                <w:bCs/>
                <w:sz w:val="16"/>
                <w:szCs w:val="16"/>
              </w:rPr>
              <w:t>Kuwait</w:t>
            </w: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9692E49" w14:textId="77777777" w:rsidR="006D2A6C" w:rsidRDefault="00000000">
            <w:pPr>
              <w:jc w:val="center"/>
            </w:pPr>
            <w:r>
              <w:rPr>
                <w:sz w:val="16"/>
                <w:szCs w:val="16"/>
              </w:rPr>
              <w:t>3</w:t>
            </w:r>
          </w:p>
        </w:tc>
        <w:tc>
          <w:tcPr>
            <w:tcW w:w="908"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32154C1" w14:textId="77777777" w:rsidR="006D2A6C" w:rsidRDefault="00000000">
            <w:pPr>
              <w:jc w:val="center"/>
            </w:pPr>
            <w:r>
              <w:rPr>
                <w:sz w:val="16"/>
                <w:szCs w:val="16"/>
              </w:rPr>
              <w:t>3 (100%)</w:t>
            </w:r>
          </w:p>
        </w:tc>
        <w:tc>
          <w:tcPr>
            <w:tcW w:w="743"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0BD265C" w14:textId="77777777" w:rsidR="006D2A6C" w:rsidRDefault="00000000">
            <w:pPr>
              <w:jc w:val="center"/>
            </w:pPr>
            <w:r>
              <w:rPr>
                <w:sz w:val="16"/>
                <w:szCs w:val="16"/>
              </w:rPr>
              <w:t>0</w:t>
            </w:r>
          </w:p>
        </w:tc>
        <w:tc>
          <w:tcPr>
            <w:tcW w:w="743"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37584BF" w14:textId="77777777" w:rsidR="006D2A6C" w:rsidRDefault="00000000">
            <w:pPr>
              <w:jc w:val="center"/>
            </w:pPr>
            <w:r>
              <w:rPr>
                <w:sz w:val="16"/>
                <w:szCs w:val="16"/>
              </w:rPr>
              <w:t>0</w:t>
            </w: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E724763" w14:textId="77777777" w:rsidR="006D2A6C" w:rsidRDefault="006D2A6C">
            <w:pPr>
              <w:jc w:val="center"/>
            </w:pP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1297D0E" w14:textId="77777777" w:rsidR="006D2A6C" w:rsidRDefault="006D2A6C">
            <w:pPr>
              <w:jc w:val="center"/>
            </w:pPr>
          </w:p>
        </w:tc>
        <w:tc>
          <w:tcPr>
            <w:tcW w:w="825"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FAF3EA0" w14:textId="77777777" w:rsidR="006D2A6C" w:rsidRDefault="006D2A6C">
            <w:pPr>
              <w:jc w:val="center"/>
            </w:pPr>
          </w:p>
        </w:tc>
        <w:tc>
          <w:tcPr>
            <w:tcW w:w="908"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1027757" w14:textId="77777777" w:rsidR="006D2A6C" w:rsidRDefault="00000000">
            <w:pPr>
              <w:jc w:val="center"/>
            </w:pPr>
            <w:r>
              <w:rPr>
                <w:sz w:val="16"/>
                <w:szCs w:val="16"/>
              </w:rPr>
              <w:t>3</w:t>
            </w:r>
          </w:p>
        </w:tc>
        <w:tc>
          <w:tcPr>
            <w:tcW w:w="2559"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6A8F7C8" w14:textId="77777777" w:rsidR="006D2A6C" w:rsidRDefault="00000000">
            <w:r>
              <w:rPr>
                <w:sz w:val="16"/>
                <w:szCs w:val="16"/>
              </w:rPr>
              <w:t>American University of the Middle East</w:t>
            </w:r>
          </w:p>
        </w:tc>
        <w:tc>
          <w:tcPr>
            <w:tcW w:w="1156"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B368FD2" w14:textId="77777777" w:rsidR="006D2A6C" w:rsidRDefault="00000000">
            <w:pPr>
              <w:jc w:val="center"/>
            </w:pPr>
            <w:r>
              <w:rPr>
                <w:sz w:val="16"/>
                <w:szCs w:val="16"/>
              </w:rPr>
              <w:t>616</w:t>
            </w:r>
          </w:p>
        </w:tc>
      </w:tr>
      <w:tr w:rsidR="006D2A6C" w14:paraId="0EC8B230" w14:textId="77777777" w:rsidTr="00584DCF">
        <w:tblPrEx>
          <w:tblCellMar>
            <w:top w:w="0" w:type="dxa"/>
            <w:bottom w:w="0" w:type="dxa"/>
          </w:tblCellMar>
        </w:tblPrEx>
        <w:trPr>
          <w:trHeight w:val="252"/>
          <w:jc w:val="center"/>
        </w:trPr>
        <w:tc>
          <w:tcPr>
            <w:tcW w:w="107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3200769" w14:textId="77777777" w:rsidR="006D2A6C" w:rsidRDefault="00000000">
            <w:r>
              <w:rPr>
                <w:b/>
                <w:bCs/>
                <w:sz w:val="16"/>
                <w:szCs w:val="16"/>
              </w:rPr>
              <w:t>Bahrain</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EC936A4" w14:textId="77777777" w:rsidR="006D2A6C" w:rsidRDefault="00000000">
            <w:pPr>
              <w:jc w:val="center"/>
            </w:pPr>
            <w:r>
              <w:rPr>
                <w:sz w:val="16"/>
                <w:szCs w:val="16"/>
              </w:rPr>
              <w:t>3</w:t>
            </w: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841EFD7" w14:textId="77777777" w:rsidR="006D2A6C" w:rsidRDefault="00000000">
            <w:pPr>
              <w:jc w:val="center"/>
            </w:pPr>
            <w:r>
              <w:rPr>
                <w:sz w:val="16"/>
                <w:szCs w:val="16"/>
              </w:rPr>
              <w:t>1 (33%)</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49B0923" w14:textId="77777777" w:rsidR="006D2A6C" w:rsidRDefault="00000000">
            <w:pPr>
              <w:jc w:val="center"/>
            </w:pPr>
            <w:r>
              <w:rPr>
                <w:sz w:val="16"/>
                <w:szCs w:val="16"/>
              </w:rPr>
              <w:t>1 (33%)</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ABA4B46" w14:textId="77777777" w:rsidR="006D2A6C" w:rsidRDefault="00000000">
            <w:pPr>
              <w:jc w:val="center"/>
            </w:pPr>
            <w:r>
              <w:rPr>
                <w:sz w:val="16"/>
                <w:szCs w:val="16"/>
              </w:rPr>
              <w:t>1 (33%)</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7E681CF" w14:textId="77777777" w:rsidR="006D2A6C" w:rsidRDefault="006D2A6C">
            <w:pPr>
              <w:jc w:val="center"/>
            </w:pP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10EEA0B" w14:textId="77777777" w:rsidR="006D2A6C" w:rsidRDefault="006D2A6C">
            <w:pPr>
              <w:jc w:val="center"/>
            </w:pPr>
          </w:p>
        </w:tc>
        <w:tc>
          <w:tcPr>
            <w:tcW w:w="825"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4358DFA" w14:textId="77777777" w:rsidR="006D2A6C" w:rsidRDefault="006D2A6C">
            <w:pPr>
              <w:jc w:val="center"/>
            </w:pP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5946B76" w14:textId="77777777" w:rsidR="006D2A6C" w:rsidRDefault="00000000">
            <w:pPr>
              <w:jc w:val="center"/>
            </w:pPr>
            <w:r>
              <w:rPr>
                <w:sz w:val="16"/>
                <w:szCs w:val="16"/>
              </w:rPr>
              <w:t>3</w:t>
            </w:r>
          </w:p>
        </w:tc>
        <w:tc>
          <w:tcPr>
            <w:tcW w:w="2559"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9EB7E30" w14:textId="77777777" w:rsidR="006D2A6C" w:rsidRDefault="00000000">
            <w:r>
              <w:rPr>
                <w:sz w:val="16"/>
                <w:szCs w:val="16"/>
              </w:rPr>
              <w:t>Applied Science University - Bahrain</w:t>
            </w:r>
          </w:p>
        </w:tc>
        <w:tc>
          <w:tcPr>
            <w:tcW w:w="1156"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A54B5A1" w14:textId="77777777" w:rsidR="006D2A6C" w:rsidRDefault="00000000">
            <w:pPr>
              <w:jc w:val="center"/>
            </w:pPr>
            <w:r>
              <w:rPr>
                <w:sz w:val="16"/>
                <w:szCs w:val="16"/>
              </w:rPr>
              <w:t>655</w:t>
            </w:r>
          </w:p>
        </w:tc>
      </w:tr>
      <w:tr w:rsidR="006D2A6C" w14:paraId="59853B9C" w14:textId="77777777" w:rsidTr="00584DCF">
        <w:tblPrEx>
          <w:tblCellMar>
            <w:top w:w="0" w:type="dxa"/>
            <w:bottom w:w="0" w:type="dxa"/>
          </w:tblCellMar>
        </w:tblPrEx>
        <w:trPr>
          <w:trHeight w:val="252"/>
          <w:jc w:val="center"/>
        </w:trPr>
        <w:tc>
          <w:tcPr>
            <w:tcW w:w="107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468A6F7" w14:textId="77777777" w:rsidR="006D2A6C" w:rsidRDefault="00000000">
            <w:r>
              <w:rPr>
                <w:b/>
                <w:bCs/>
                <w:sz w:val="16"/>
                <w:szCs w:val="16"/>
              </w:rPr>
              <w:t>Qatar</w:t>
            </w: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DDA2F2A" w14:textId="77777777" w:rsidR="006D2A6C" w:rsidRDefault="00000000">
            <w:pPr>
              <w:jc w:val="center"/>
            </w:pPr>
            <w:r>
              <w:rPr>
                <w:sz w:val="16"/>
                <w:szCs w:val="16"/>
              </w:rPr>
              <w:t>2</w:t>
            </w:r>
          </w:p>
        </w:tc>
        <w:tc>
          <w:tcPr>
            <w:tcW w:w="908"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6504B81" w14:textId="77777777" w:rsidR="006D2A6C" w:rsidRDefault="00000000">
            <w:pPr>
              <w:jc w:val="center"/>
            </w:pPr>
            <w:r>
              <w:rPr>
                <w:sz w:val="16"/>
                <w:szCs w:val="16"/>
              </w:rPr>
              <w:t>0</w:t>
            </w:r>
          </w:p>
        </w:tc>
        <w:tc>
          <w:tcPr>
            <w:tcW w:w="743"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16D6769" w14:textId="77777777" w:rsidR="006D2A6C" w:rsidRDefault="00000000">
            <w:pPr>
              <w:jc w:val="center"/>
            </w:pPr>
            <w:r>
              <w:rPr>
                <w:sz w:val="16"/>
                <w:szCs w:val="16"/>
              </w:rPr>
              <w:t>0</w:t>
            </w:r>
          </w:p>
        </w:tc>
        <w:tc>
          <w:tcPr>
            <w:tcW w:w="743"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D24EEEE" w14:textId="77777777" w:rsidR="006D2A6C" w:rsidRDefault="00000000">
            <w:pPr>
              <w:jc w:val="center"/>
            </w:pPr>
            <w:r>
              <w:rPr>
                <w:sz w:val="16"/>
                <w:szCs w:val="16"/>
              </w:rPr>
              <w:t>2 (100%)</w:t>
            </w: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CEED463" w14:textId="77777777" w:rsidR="006D2A6C" w:rsidRDefault="006D2A6C">
            <w:pPr>
              <w:jc w:val="center"/>
            </w:pP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156AF15" w14:textId="77777777" w:rsidR="006D2A6C" w:rsidRDefault="00000000">
            <w:pPr>
              <w:jc w:val="center"/>
            </w:pPr>
            <w:r>
              <w:rPr>
                <w:sz w:val="16"/>
                <w:szCs w:val="16"/>
              </w:rPr>
              <w:t>1</w:t>
            </w:r>
          </w:p>
        </w:tc>
        <w:tc>
          <w:tcPr>
            <w:tcW w:w="825"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5879FA8" w14:textId="77777777" w:rsidR="006D2A6C" w:rsidRDefault="00000000">
            <w:pPr>
              <w:jc w:val="center"/>
            </w:pPr>
            <w:r>
              <w:rPr>
                <w:sz w:val="16"/>
                <w:szCs w:val="16"/>
              </w:rPr>
              <w:t>2</w:t>
            </w:r>
          </w:p>
        </w:tc>
        <w:tc>
          <w:tcPr>
            <w:tcW w:w="908"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F04C081" w14:textId="77777777" w:rsidR="006D2A6C" w:rsidRDefault="00000000">
            <w:pPr>
              <w:jc w:val="center"/>
            </w:pPr>
            <w:r>
              <w:rPr>
                <w:sz w:val="16"/>
                <w:szCs w:val="16"/>
              </w:rPr>
              <w:t>2</w:t>
            </w:r>
          </w:p>
        </w:tc>
        <w:tc>
          <w:tcPr>
            <w:tcW w:w="2559"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459F1DA" w14:textId="77777777" w:rsidR="006D2A6C" w:rsidRDefault="00000000">
            <w:r>
              <w:rPr>
                <w:sz w:val="16"/>
                <w:szCs w:val="16"/>
              </w:rPr>
              <w:t>Qatar University</w:t>
            </w:r>
          </w:p>
        </w:tc>
        <w:tc>
          <w:tcPr>
            <w:tcW w:w="1156"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99FFBA2" w14:textId="77777777" w:rsidR="006D2A6C" w:rsidRDefault="00000000">
            <w:pPr>
              <w:jc w:val="center"/>
            </w:pPr>
            <w:r>
              <w:rPr>
                <w:sz w:val="16"/>
                <w:szCs w:val="16"/>
              </w:rPr>
              <w:t>109</w:t>
            </w:r>
          </w:p>
        </w:tc>
      </w:tr>
      <w:tr w:rsidR="006D2A6C" w14:paraId="1EA257B8" w14:textId="77777777" w:rsidTr="00584DCF">
        <w:tblPrEx>
          <w:tblCellMar>
            <w:top w:w="0" w:type="dxa"/>
            <w:bottom w:w="0" w:type="dxa"/>
          </w:tblCellMar>
        </w:tblPrEx>
        <w:trPr>
          <w:trHeight w:val="252"/>
          <w:jc w:val="center"/>
        </w:trPr>
        <w:tc>
          <w:tcPr>
            <w:tcW w:w="107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74CADA1" w14:textId="77777777" w:rsidR="006D2A6C" w:rsidRDefault="00000000">
            <w:r>
              <w:rPr>
                <w:b/>
                <w:bCs/>
                <w:sz w:val="16"/>
                <w:szCs w:val="16"/>
              </w:rPr>
              <w:t>Morocco</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3ADF127" w14:textId="77777777" w:rsidR="006D2A6C" w:rsidRDefault="00000000">
            <w:pPr>
              <w:jc w:val="center"/>
            </w:pPr>
            <w:r>
              <w:rPr>
                <w:sz w:val="16"/>
                <w:szCs w:val="16"/>
              </w:rPr>
              <w:t>2</w:t>
            </w: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3091BB7" w14:textId="77777777" w:rsidR="006D2A6C" w:rsidRDefault="00000000">
            <w:pPr>
              <w:jc w:val="center"/>
            </w:pPr>
            <w:r>
              <w:rPr>
                <w:sz w:val="16"/>
                <w:szCs w:val="16"/>
              </w:rPr>
              <w:t>0</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F791E4F" w14:textId="77777777" w:rsidR="006D2A6C" w:rsidRDefault="00000000">
            <w:pPr>
              <w:jc w:val="center"/>
            </w:pPr>
            <w:r>
              <w:rPr>
                <w:sz w:val="16"/>
                <w:szCs w:val="16"/>
              </w:rPr>
              <w:t>1 (50%)</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48CACF0" w14:textId="77777777" w:rsidR="006D2A6C" w:rsidRDefault="00000000">
            <w:pPr>
              <w:jc w:val="center"/>
            </w:pPr>
            <w:r>
              <w:rPr>
                <w:sz w:val="16"/>
                <w:szCs w:val="16"/>
              </w:rPr>
              <w:t>1 (50%)</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3D37723" w14:textId="77777777" w:rsidR="006D2A6C" w:rsidRDefault="006D2A6C">
            <w:pPr>
              <w:jc w:val="center"/>
            </w:pP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28E4E9B" w14:textId="77777777" w:rsidR="006D2A6C" w:rsidRDefault="006D2A6C">
            <w:pPr>
              <w:jc w:val="center"/>
            </w:pPr>
          </w:p>
        </w:tc>
        <w:tc>
          <w:tcPr>
            <w:tcW w:w="825"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86A88CB" w14:textId="77777777" w:rsidR="006D2A6C" w:rsidRDefault="006D2A6C">
            <w:pPr>
              <w:jc w:val="center"/>
            </w:pP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A0EB096" w14:textId="77777777" w:rsidR="006D2A6C" w:rsidRDefault="006D2A6C">
            <w:pPr>
              <w:jc w:val="center"/>
            </w:pPr>
          </w:p>
        </w:tc>
        <w:tc>
          <w:tcPr>
            <w:tcW w:w="2559"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0991FFD" w14:textId="77777777" w:rsidR="006D2A6C" w:rsidRDefault="00000000">
            <w:r>
              <w:rPr>
                <w:sz w:val="16"/>
                <w:szCs w:val="16"/>
              </w:rPr>
              <w:t>Universite Mohammed V de Rabat</w:t>
            </w:r>
          </w:p>
        </w:tc>
        <w:tc>
          <w:tcPr>
            <w:tcW w:w="1156"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D6D2146" w14:textId="77777777" w:rsidR="006D2A6C" w:rsidRDefault="00000000">
            <w:pPr>
              <w:jc w:val="center"/>
            </w:pPr>
            <w:r>
              <w:rPr>
                <w:sz w:val="16"/>
                <w:szCs w:val="16"/>
              </w:rPr>
              <w:t>1001-1200</w:t>
            </w:r>
          </w:p>
        </w:tc>
      </w:tr>
      <w:tr w:rsidR="006D2A6C" w14:paraId="4D4A791A" w14:textId="77777777" w:rsidTr="00584DCF">
        <w:tblPrEx>
          <w:tblCellMar>
            <w:top w:w="0" w:type="dxa"/>
            <w:bottom w:w="0" w:type="dxa"/>
          </w:tblCellMar>
        </w:tblPrEx>
        <w:trPr>
          <w:trHeight w:val="384"/>
          <w:jc w:val="center"/>
        </w:trPr>
        <w:tc>
          <w:tcPr>
            <w:tcW w:w="107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50BE6CA" w14:textId="77777777" w:rsidR="006D2A6C" w:rsidRDefault="00000000">
            <w:r>
              <w:rPr>
                <w:b/>
                <w:bCs/>
                <w:sz w:val="16"/>
                <w:szCs w:val="16"/>
              </w:rPr>
              <w:t>Syrian Arab Republic</w:t>
            </w: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4A1AF05" w14:textId="77777777" w:rsidR="006D2A6C" w:rsidRDefault="00000000">
            <w:pPr>
              <w:jc w:val="center"/>
            </w:pPr>
            <w:r>
              <w:rPr>
                <w:sz w:val="16"/>
                <w:szCs w:val="16"/>
              </w:rPr>
              <w:t>1</w:t>
            </w:r>
          </w:p>
        </w:tc>
        <w:tc>
          <w:tcPr>
            <w:tcW w:w="908"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9C43247" w14:textId="77777777" w:rsidR="006D2A6C" w:rsidRDefault="00000000">
            <w:pPr>
              <w:jc w:val="center"/>
            </w:pPr>
            <w:r>
              <w:rPr>
                <w:sz w:val="16"/>
                <w:szCs w:val="16"/>
              </w:rPr>
              <w:t>0</w:t>
            </w:r>
          </w:p>
        </w:tc>
        <w:tc>
          <w:tcPr>
            <w:tcW w:w="743"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6C99101" w14:textId="77777777" w:rsidR="006D2A6C" w:rsidRDefault="00000000">
            <w:pPr>
              <w:jc w:val="center"/>
            </w:pPr>
            <w:r>
              <w:rPr>
                <w:sz w:val="16"/>
                <w:szCs w:val="16"/>
              </w:rPr>
              <w:t>1 (100%)</w:t>
            </w:r>
          </w:p>
        </w:tc>
        <w:tc>
          <w:tcPr>
            <w:tcW w:w="743"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DCCAA95" w14:textId="77777777" w:rsidR="006D2A6C" w:rsidRDefault="00000000">
            <w:pPr>
              <w:jc w:val="center"/>
            </w:pPr>
            <w:r>
              <w:rPr>
                <w:sz w:val="16"/>
                <w:szCs w:val="16"/>
              </w:rPr>
              <w:t>0</w:t>
            </w: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FB8DA16" w14:textId="77777777" w:rsidR="006D2A6C" w:rsidRDefault="006D2A6C">
            <w:pPr>
              <w:jc w:val="center"/>
            </w:pPr>
          </w:p>
        </w:tc>
        <w:tc>
          <w:tcPr>
            <w:tcW w:w="66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1937488" w14:textId="77777777" w:rsidR="006D2A6C" w:rsidRDefault="006D2A6C">
            <w:pPr>
              <w:jc w:val="center"/>
            </w:pPr>
          </w:p>
        </w:tc>
        <w:tc>
          <w:tcPr>
            <w:tcW w:w="825"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0EA46AC" w14:textId="77777777" w:rsidR="006D2A6C" w:rsidRDefault="006D2A6C">
            <w:pPr>
              <w:jc w:val="center"/>
            </w:pPr>
          </w:p>
        </w:tc>
        <w:tc>
          <w:tcPr>
            <w:tcW w:w="908"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6A5EFFB" w14:textId="77777777" w:rsidR="006D2A6C" w:rsidRDefault="006D2A6C">
            <w:pPr>
              <w:jc w:val="center"/>
            </w:pPr>
          </w:p>
        </w:tc>
        <w:tc>
          <w:tcPr>
            <w:tcW w:w="2559"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6F42C33" w14:textId="77777777" w:rsidR="006D2A6C" w:rsidRDefault="00000000">
            <w:r>
              <w:rPr>
                <w:sz w:val="16"/>
                <w:szCs w:val="16"/>
              </w:rPr>
              <w:t>Damascus University</w:t>
            </w:r>
          </w:p>
        </w:tc>
        <w:tc>
          <w:tcPr>
            <w:tcW w:w="1156"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0508D53" w14:textId="77777777" w:rsidR="006D2A6C" w:rsidRDefault="00000000">
            <w:pPr>
              <w:jc w:val="center"/>
            </w:pPr>
            <w:r>
              <w:rPr>
                <w:sz w:val="16"/>
                <w:szCs w:val="16"/>
              </w:rPr>
              <w:t>1201-1400</w:t>
            </w:r>
          </w:p>
        </w:tc>
      </w:tr>
      <w:tr w:rsidR="006D2A6C" w14:paraId="4A46699F" w14:textId="77777777" w:rsidTr="00584DCF">
        <w:tblPrEx>
          <w:tblCellMar>
            <w:top w:w="0" w:type="dxa"/>
            <w:bottom w:w="0" w:type="dxa"/>
          </w:tblCellMar>
        </w:tblPrEx>
        <w:trPr>
          <w:trHeight w:val="252"/>
          <w:jc w:val="center"/>
        </w:trPr>
        <w:tc>
          <w:tcPr>
            <w:tcW w:w="107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D14AD04" w14:textId="77777777" w:rsidR="006D2A6C" w:rsidRDefault="00000000">
            <w:r>
              <w:rPr>
                <w:b/>
                <w:bCs/>
                <w:sz w:val="16"/>
                <w:szCs w:val="16"/>
              </w:rPr>
              <w:t>Sudan</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D3E52BC" w14:textId="77777777" w:rsidR="006D2A6C" w:rsidRDefault="00000000">
            <w:pPr>
              <w:jc w:val="center"/>
            </w:pPr>
            <w:r>
              <w:rPr>
                <w:sz w:val="16"/>
                <w:szCs w:val="16"/>
              </w:rPr>
              <w:t>1</w:t>
            </w: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AF8DFCC" w14:textId="77777777" w:rsidR="006D2A6C" w:rsidRDefault="00000000">
            <w:pPr>
              <w:jc w:val="center"/>
            </w:pPr>
            <w:r>
              <w:rPr>
                <w:sz w:val="16"/>
                <w:szCs w:val="16"/>
              </w:rPr>
              <w:t>0</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8AE655B" w14:textId="77777777" w:rsidR="006D2A6C" w:rsidRDefault="00000000">
            <w:pPr>
              <w:jc w:val="center"/>
            </w:pPr>
            <w:r>
              <w:rPr>
                <w:sz w:val="16"/>
                <w:szCs w:val="16"/>
              </w:rPr>
              <w:t>1 (100%)</w:t>
            </w:r>
          </w:p>
        </w:tc>
        <w:tc>
          <w:tcPr>
            <w:tcW w:w="743"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5734280" w14:textId="77777777" w:rsidR="006D2A6C" w:rsidRDefault="00000000">
            <w:pPr>
              <w:jc w:val="center"/>
            </w:pPr>
            <w:r>
              <w:rPr>
                <w:sz w:val="16"/>
                <w:szCs w:val="16"/>
              </w:rPr>
              <w:t>0</w:t>
            </w: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1CB1ED0" w14:textId="77777777" w:rsidR="006D2A6C" w:rsidRDefault="006D2A6C">
            <w:pPr>
              <w:jc w:val="center"/>
            </w:pPr>
          </w:p>
        </w:tc>
        <w:tc>
          <w:tcPr>
            <w:tcW w:w="66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869E423" w14:textId="77777777" w:rsidR="006D2A6C" w:rsidRDefault="006D2A6C">
            <w:pPr>
              <w:jc w:val="center"/>
            </w:pPr>
          </w:p>
        </w:tc>
        <w:tc>
          <w:tcPr>
            <w:tcW w:w="825"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161CCA3" w14:textId="77777777" w:rsidR="006D2A6C" w:rsidRDefault="006D2A6C">
            <w:pPr>
              <w:jc w:val="center"/>
            </w:pPr>
          </w:p>
        </w:tc>
        <w:tc>
          <w:tcPr>
            <w:tcW w:w="908"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FF44C5A" w14:textId="77777777" w:rsidR="006D2A6C" w:rsidRDefault="006D2A6C">
            <w:pPr>
              <w:jc w:val="center"/>
            </w:pPr>
          </w:p>
        </w:tc>
        <w:tc>
          <w:tcPr>
            <w:tcW w:w="2559"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A21E8F1" w14:textId="77777777" w:rsidR="006D2A6C" w:rsidRDefault="00000000">
            <w:r>
              <w:rPr>
                <w:sz w:val="16"/>
                <w:szCs w:val="16"/>
              </w:rPr>
              <w:t>University of Khartoum</w:t>
            </w:r>
          </w:p>
        </w:tc>
        <w:tc>
          <w:tcPr>
            <w:tcW w:w="1156"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1F25F80" w14:textId="77777777" w:rsidR="006D2A6C" w:rsidRDefault="00000000">
            <w:pPr>
              <w:jc w:val="center"/>
            </w:pPr>
            <w:r>
              <w:rPr>
                <w:sz w:val="16"/>
                <w:szCs w:val="16"/>
              </w:rPr>
              <w:t>1201-1400</w:t>
            </w:r>
          </w:p>
        </w:tc>
      </w:tr>
    </w:tbl>
    <w:p w14:paraId="0D3A2364" w14:textId="77777777" w:rsidR="006D2A6C" w:rsidRDefault="00000000">
      <w:pPr>
        <w:pBdr>
          <w:bottom w:val="single" w:sz="16" w:space="4" w:color="F7A600"/>
        </w:pBdr>
        <w:spacing w:before="280" w:after="40"/>
      </w:pPr>
      <w:r>
        <w:rPr>
          <w:b/>
          <w:bCs/>
          <w:sz w:val="26"/>
          <w:szCs w:val="26"/>
        </w:rPr>
        <w:t>Indicator results</w:t>
      </w:r>
    </w:p>
    <w:p w14:paraId="0A6C695B" w14:textId="77777777" w:rsidR="006D2A6C" w:rsidRDefault="00000000">
      <w:pPr>
        <w:spacing w:after="160" w:line="264" w:lineRule="auto"/>
      </w:pPr>
      <w:r>
        <w:t>As a global benchmark for the world’s top universities, the QS World University Rankings compares institutions on nine indicators that are valued by students. The analysis offers a real insight into how the global higher education ecosystem is evolving and how emerging study destinations are gaining ground on locations that have previously been first-choice destinations for internationally mobile students, scholars and researchers.</w:t>
      </w:r>
    </w:p>
    <w:p w14:paraId="7C127A1B" w14:textId="77777777" w:rsidR="006D2A6C" w:rsidRDefault="00000000">
      <w:pPr>
        <w:pStyle w:val="ListParagraph"/>
        <w:numPr>
          <w:ilvl w:val="0"/>
          <w:numId w:val="2"/>
        </w:numPr>
        <w:spacing w:after="120" w:line="264" w:lineRule="auto"/>
      </w:pPr>
      <w:r>
        <w:rPr>
          <w:b/>
          <w:bCs/>
        </w:rPr>
        <w:t xml:space="preserve">International Faculty </w:t>
      </w:r>
      <w:r>
        <w:t>is an area that has seen strong results across the Arab Region. Qatar, the UAE, Oman, Bahrain and Saudi Arabia all have high average scores here, suggesting that institutions in these locations are able to attract sizeable populations of international academics.</w:t>
      </w:r>
    </w:p>
    <w:p w14:paraId="6BE36AE5" w14:textId="77777777" w:rsidR="006D2A6C" w:rsidRDefault="00000000">
      <w:pPr>
        <w:pStyle w:val="ListParagraph"/>
        <w:numPr>
          <w:ilvl w:val="0"/>
          <w:numId w:val="2"/>
        </w:numPr>
        <w:spacing w:after="120" w:line="264" w:lineRule="auto"/>
      </w:pPr>
      <w:r>
        <w:rPr>
          <w:b/>
          <w:bCs/>
        </w:rPr>
        <w:t xml:space="preserve">Employment Outcomes: </w:t>
      </w:r>
      <w:r>
        <w:t>Syria’s Damascus University continues to rank among the top 100 in the Employment Outcomes indicator (99th) and the University of Khartoum ranks 152nd in the world in the indicator. These results are reflected in the high scores shown in the table below. In total, 16 institutions feature in the global top 200 for Employment Outcomes, including Beirut Arab University, which rises into the top 200 for the first time at 198th. Despite these individual achievements, Employment Outcomes and Employer Reputation remain areas for institutions across the region to focus on.</w:t>
      </w:r>
    </w:p>
    <w:p w14:paraId="0E88D499" w14:textId="77777777" w:rsidR="006D2A6C" w:rsidRDefault="00000000">
      <w:pPr>
        <w:pStyle w:val="ListParagraph"/>
        <w:numPr>
          <w:ilvl w:val="0"/>
          <w:numId w:val="2"/>
        </w:numPr>
        <w:spacing w:after="120" w:line="264" w:lineRule="auto"/>
      </w:pPr>
      <w:r>
        <w:rPr>
          <w:b/>
          <w:bCs/>
        </w:rPr>
        <w:t xml:space="preserve">Research and Discovery: </w:t>
      </w:r>
      <w:r>
        <w:t>several locations across the region are behind their global peers in the indicators that make up the research and discovery lens. Only three institutions feature in the top 200 for Academic Reputation: King Abdulaziz University (169th); Cairo University (193rd); and King Saud University (197th). Some 24 institutions rise in the Citations per Faculty indicator but, despite this, 79 of the 109 institutions from the region sit outside the top 800 in the indicator.</w:t>
      </w:r>
    </w:p>
    <w:p w14:paraId="3250995F" w14:textId="77777777" w:rsidR="006D2A6C" w:rsidRDefault="00000000">
      <w:pPr>
        <w:pStyle w:val="ListParagraph"/>
        <w:numPr>
          <w:ilvl w:val="0"/>
          <w:numId w:val="2"/>
        </w:numPr>
        <w:spacing w:after="120" w:line="264" w:lineRule="auto"/>
      </w:pPr>
      <w:r>
        <w:rPr>
          <w:b/>
          <w:bCs/>
        </w:rPr>
        <w:t xml:space="preserve">Faculty Student: </w:t>
      </w:r>
      <w:r>
        <w:t xml:space="preserve">a majority of institutions (52) sit outside the top 800 in the Faculty Student indicator, suggesting that more investment is needed in the staff to which students have direct access. There are also </w:t>
      </w:r>
      <w:r>
        <w:lastRenderedPageBreak/>
        <w:t>outstanding individual achievements, however, including Hamad Bin Khalifa University (HBKU) in Qatar, which ranks 15th in the world in the indicator.</w:t>
      </w:r>
    </w:p>
    <w:tbl>
      <w:tblPr>
        <w:tblW w:w="9602" w:type="dxa"/>
        <w:tblBorders>
          <w:top w:val="none" w:sz="0" w:space="0" w:color="FFFFFF"/>
          <w:left w:val="single" w:sz="36" w:space="0" w:color="F7A600"/>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602"/>
      </w:tblGrid>
      <w:tr w:rsidR="006D2A6C" w14:paraId="2DF0DB62" w14:textId="77777777">
        <w:tblPrEx>
          <w:tblCellMar>
            <w:top w:w="0" w:type="dxa"/>
            <w:bottom w:w="0" w:type="dxa"/>
          </w:tblCellMar>
        </w:tblPrEx>
        <w:tc>
          <w:tcPr>
            <w:tcW w:w="9602" w:type="dxa"/>
            <w:shd w:val="clear" w:color="auto" w:fill="FBF6EE"/>
            <w:tcMar>
              <w:top w:w="160" w:type="dxa"/>
              <w:left w:w="240" w:type="dxa"/>
              <w:bottom w:w="160" w:type="dxa"/>
              <w:right w:w="200" w:type="dxa"/>
            </w:tcMar>
          </w:tcPr>
          <w:p w14:paraId="5918964B" w14:textId="77777777" w:rsidR="006D2A6C" w:rsidRDefault="00000000">
            <w:pPr>
              <w:spacing w:after="120" w:line="264" w:lineRule="auto"/>
            </w:pPr>
            <w:r>
              <w:rPr>
                <w:i/>
                <w:iCs/>
              </w:rPr>
              <w:t>“Higher education across the Arab-speaking world is one of the big stories of the last decade. With ambitious governments investing in universities and research, higher education institutions in the region continue to grow as the demands and expectations placed on them change, and as societies and the world of work evolve.</w:t>
            </w:r>
          </w:p>
          <w:p w14:paraId="1F4AB1B6" w14:textId="77777777" w:rsidR="006D2A6C" w:rsidRDefault="00000000">
            <w:pPr>
              <w:spacing w:after="120" w:line="264" w:lineRule="auto"/>
            </w:pPr>
            <w:r>
              <w:rPr>
                <w:i/>
                <w:iCs/>
              </w:rPr>
              <w:t>“The QS World University Rankings 2027 identify some outstanding achievements, including the region’s highest-ever ranking with KFUPM rising to 63rd, Qatar reaching its highest position to date, and the UAE featuring within the global top 150 for the first time.”</w:t>
            </w:r>
          </w:p>
          <w:p w14:paraId="0F904D44" w14:textId="77777777" w:rsidR="006D2A6C" w:rsidRDefault="00000000">
            <w:r>
              <w:rPr>
                <w:b/>
                <w:bCs/>
              </w:rPr>
              <w:t>Ben Sowter</w:t>
            </w:r>
            <w:r>
              <w:t>, Senior Vice President, Sector Intelligence at QS</w:t>
            </w:r>
          </w:p>
        </w:tc>
      </w:tr>
    </w:tbl>
    <w:p w14:paraId="4FF53E9D" w14:textId="77777777" w:rsidR="006D2A6C" w:rsidRDefault="00000000">
      <w:pPr>
        <w:pBdr>
          <w:bottom w:val="single" w:sz="16" w:space="4" w:color="F7A600"/>
        </w:pBdr>
        <w:spacing w:before="280" w:after="40"/>
      </w:pPr>
      <w:r>
        <w:rPr>
          <w:b/>
          <w:bCs/>
          <w:sz w:val="26"/>
          <w:szCs w:val="26"/>
        </w:rPr>
        <w:t>Average scores across the nine indicators</w:t>
      </w:r>
    </w:p>
    <w:p w14:paraId="3F7CE2E3" w14:textId="77777777" w:rsidR="006D2A6C" w:rsidRDefault="00000000" w:rsidP="00B031BA">
      <w:pPr>
        <w:spacing w:before="80"/>
        <w:rPr>
          <w:i/>
          <w:iCs/>
          <w:color w:val="6B6B6A"/>
          <w:sz w:val="16"/>
          <w:szCs w:val="16"/>
        </w:rPr>
      </w:pPr>
      <w:r>
        <w:rPr>
          <w:i/>
          <w:iCs/>
          <w:color w:val="6B6B6A"/>
          <w:sz w:val="16"/>
          <w:szCs w:val="16"/>
        </w:rPr>
        <w:t>The Global row shows the benchmark average across all ranked institutions</w:t>
      </w:r>
    </w:p>
    <w:p w14:paraId="1A22D833" w14:textId="77777777" w:rsidR="00B031BA" w:rsidRDefault="00B031BA" w:rsidP="00B031BA">
      <w:pPr>
        <w:spacing w:before="80"/>
        <w:rPr>
          <w:i/>
          <w:iCs/>
          <w:color w:val="6B6B6A"/>
          <w:sz w:val="16"/>
          <w:szCs w:val="16"/>
        </w:rPr>
      </w:pPr>
    </w:p>
    <w:tbl>
      <w:tblPr>
        <w:tblW w:w="10100" w:type="dxa"/>
        <w:tblLook w:val="04A0" w:firstRow="1" w:lastRow="0" w:firstColumn="1" w:lastColumn="0" w:noHBand="0" w:noVBand="1"/>
      </w:tblPr>
      <w:tblGrid>
        <w:gridCol w:w="908"/>
        <w:gridCol w:w="779"/>
        <w:gridCol w:w="867"/>
        <w:gridCol w:w="867"/>
        <w:gridCol w:w="813"/>
        <w:gridCol w:w="786"/>
        <w:gridCol w:w="710"/>
        <w:gridCol w:w="822"/>
        <w:gridCol w:w="827"/>
        <w:gridCol w:w="958"/>
        <w:gridCol w:w="1003"/>
        <w:gridCol w:w="760"/>
      </w:tblGrid>
      <w:tr w:rsidR="00B031BA" w:rsidRPr="00B031BA" w14:paraId="3EE638A7" w14:textId="77777777" w:rsidTr="00B031BA">
        <w:trPr>
          <w:trHeight w:val="390"/>
        </w:trPr>
        <w:tc>
          <w:tcPr>
            <w:tcW w:w="10100" w:type="dxa"/>
            <w:gridSpan w:val="12"/>
            <w:tcBorders>
              <w:top w:val="single" w:sz="8" w:space="0" w:color="E2E2E2"/>
              <w:left w:val="single" w:sz="8" w:space="0" w:color="E2E2E2"/>
              <w:bottom w:val="single" w:sz="8" w:space="0" w:color="E2E2E2"/>
              <w:right w:val="single" w:sz="8" w:space="0" w:color="E2E2E2"/>
            </w:tcBorders>
            <w:shd w:val="clear" w:color="000000" w:fill="1D1D1B"/>
            <w:vAlign w:val="center"/>
            <w:hideMark/>
          </w:tcPr>
          <w:p w14:paraId="78B47B2C" w14:textId="77777777" w:rsidR="00B031BA" w:rsidRPr="00B031BA" w:rsidRDefault="00B031BA" w:rsidP="00B031BA">
            <w:pPr>
              <w:ind w:firstLineChars="100" w:firstLine="191"/>
              <w:rPr>
                <w:rFonts w:eastAsia="Times New Roman"/>
                <w:b/>
                <w:bCs/>
                <w:color w:val="FFFFFF"/>
                <w:sz w:val="19"/>
                <w:szCs w:val="19"/>
              </w:rPr>
            </w:pPr>
            <w:r w:rsidRPr="00B031BA">
              <w:rPr>
                <w:rFonts w:eastAsia="Times New Roman"/>
                <w:b/>
                <w:bCs/>
                <w:color w:val="FFFFFF"/>
                <w:sz w:val="19"/>
                <w:szCs w:val="19"/>
              </w:rPr>
              <w:t>Average scores for the Arab Region across the nine indicators</w:t>
            </w:r>
          </w:p>
        </w:tc>
      </w:tr>
      <w:tr w:rsidR="00B031BA" w:rsidRPr="00B031BA" w14:paraId="4BC6FBA6" w14:textId="77777777" w:rsidTr="00B031BA">
        <w:trPr>
          <w:trHeight w:val="390"/>
        </w:trPr>
        <w:tc>
          <w:tcPr>
            <w:tcW w:w="960" w:type="dxa"/>
            <w:tcBorders>
              <w:top w:val="nil"/>
              <w:left w:val="single" w:sz="8" w:space="0" w:color="E2E2E2"/>
              <w:bottom w:val="single" w:sz="8" w:space="0" w:color="E2E2E2"/>
              <w:right w:val="single" w:sz="8" w:space="0" w:color="E2E2E2"/>
            </w:tcBorders>
            <w:shd w:val="clear" w:color="000000" w:fill="F7A600"/>
            <w:vAlign w:val="center"/>
            <w:hideMark/>
          </w:tcPr>
          <w:p w14:paraId="21182747" w14:textId="77777777" w:rsidR="00B031BA" w:rsidRPr="00B031BA" w:rsidRDefault="00B031BA" w:rsidP="00B031BA">
            <w:pPr>
              <w:rPr>
                <w:rFonts w:eastAsia="Times New Roman"/>
                <w:b/>
                <w:bCs/>
                <w:sz w:val="14"/>
                <w:szCs w:val="14"/>
              </w:rPr>
            </w:pPr>
            <w:r w:rsidRPr="00B031BA">
              <w:rPr>
                <w:rFonts w:eastAsia="Times New Roman"/>
                <w:b/>
                <w:bCs/>
                <w:sz w:val="14"/>
                <w:szCs w:val="14"/>
              </w:rPr>
              <w:t>Location</w:t>
            </w:r>
          </w:p>
        </w:tc>
        <w:tc>
          <w:tcPr>
            <w:tcW w:w="880" w:type="dxa"/>
            <w:tcBorders>
              <w:top w:val="nil"/>
              <w:left w:val="nil"/>
              <w:bottom w:val="single" w:sz="8" w:space="0" w:color="E2E2E2"/>
              <w:right w:val="single" w:sz="8" w:space="0" w:color="E2E2E2"/>
            </w:tcBorders>
            <w:shd w:val="clear" w:color="000000" w:fill="F7A600"/>
            <w:vAlign w:val="center"/>
            <w:hideMark/>
          </w:tcPr>
          <w:p w14:paraId="36A782A5" w14:textId="77777777" w:rsidR="00B031BA" w:rsidRPr="00B031BA" w:rsidRDefault="00B031BA" w:rsidP="00B031BA">
            <w:pPr>
              <w:jc w:val="center"/>
              <w:rPr>
                <w:rFonts w:eastAsia="Times New Roman"/>
                <w:b/>
                <w:bCs/>
                <w:sz w:val="14"/>
                <w:szCs w:val="14"/>
              </w:rPr>
            </w:pPr>
            <w:r w:rsidRPr="00B031BA">
              <w:rPr>
                <w:rFonts w:eastAsia="Times New Roman"/>
                <w:b/>
                <w:bCs/>
                <w:sz w:val="14"/>
                <w:szCs w:val="14"/>
              </w:rPr>
              <w:t>No. of entries</w:t>
            </w:r>
          </w:p>
        </w:tc>
        <w:tc>
          <w:tcPr>
            <w:tcW w:w="740" w:type="dxa"/>
            <w:tcBorders>
              <w:top w:val="nil"/>
              <w:left w:val="nil"/>
              <w:bottom w:val="single" w:sz="8" w:space="0" w:color="E2E2E2"/>
              <w:right w:val="single" w:sz="8" w:space="0" w:color="E2E2E2"/>
            </w:tcBorders>
            <w:shd w:val="clear" w:color="000000" w:fill="F7A600"/>
            <w:vAlign w:val="center"/>
            <w:hideMark/>
          </w:tcPr>
          <w:p w14:paraId="534BC217" w14:textId="77777777" w:rsidR="00B031BA" w:rsidRPr="00B031BA" w:rsidRDefault="00B031BA" w:rsidP="00B031BA">
            <w:pPr>
              <w:jc w:val="center"/>
              <w:rPr>
                <w:rFonts w:eastAsia="Times New Roman"/>
                <w:b/>
                <w:bCs/>
                <w:sz w:val="14"/>
                <w:szCs w:val="14"/>
              </w:rPr>
            </w:pPr>
            <w:r w:rsidRPr="00B031BA">
              <w:rPr>
                <w:rFonts w:eastAsia="Times New Roman"/>
                <w:b/>
                <w:bCs/>
                <w:sz w:val="14"/>
                <w:szCs w:val="14"/>
              </w:rPr>
              <w:t>Academic Reputation</w:t>
            </w:r>
          </w:p>
        </w:tc>
        <w:tc>
          <w:tcPr>
            <w:tcW w:w="740" w:type="dxa"/>
            <w:tcBorders>
              <w:top w:val="nil"/>
              <w:left w:val="nil"/>
              <w:bottom w:val="single" w:sz="8" w:space="0" w:color="E2E2E2"/>
              <w:right w:val="single" w:sz="8" w:space="0" w:color="E2E2E2"/>
            </w:tcBorders>
            <w:shd w:val="clear" w:color="000000" w:fill="F7A600"/>
            <w:vAlign w:val="center"/>
            <w:hideMark/>
          </w:tcPr>
          <w:p w14:paraId="1C61D781" w14:textId="77777777" w:rsidR="00B031BA" w:rsidRPr="00B031BA" w:rsidRDefault="00B031BA" w:rsidP="00B031BA">
            <w:pPr>
              <w:jc w:val="center"/>
              <w:rPr>
                <w:rFonts w:eastAsia="Times New Roman"/>
                <w:b/>
                <w:bCs/>
                <w:sz w:val="14"/>
                <w:szCs w:val="14"/>
              </w:rPr>
            </w:pPr>
            <w:r w:rsidRPr="00B031BA">
              <w:rPr>
                <w:rFonts w:eastAsia="Times New Roman"/>
                <w:b/>
                <w:bCs/>
                <w:sz w:val="14"/>
                <w:szCs w:val="14"/>
              </w:rPr>
              <w:t>Employer Reputation</w:t>
            </w:r>
          </w:p>
        </w:tc>
        <w:tc>
          <w:tcPr>
            <w:tcW w:w="900" w:type="dxa"/>
            <w:tcBorders>
              <w:top w:val="nil"/>
              <w:left w:val="nil"/>
              <w:bottom w:val="single" w:sz="8" w:space="0" w:color="E2E2E2"/>
              <w:right w:val="single" w:sz="8" w:space="0" w:color="E2E2E2"/>
            </w:tcBorders>
            <w:shd w:val="clear" w:color="000000" w:fill="F7A600"/>
            <w:vAlign w:val="center"/>
            <w:hideMark/>
          </w:tcPr>
          <w:p w14:paraId="70953FF6" w14:textId="77777777" w:rsidR="00B031BA" w:rsidRPr="00B031BA" w:rsidRDefault="00B031BA" w:rsidP="00B031BA">
            <w:pPr>
              <w:jc w:val="center"/>
              <w:rPr>
                <w:rFonts w:eastAsia="Times New Roman"/>
                <w:b/>
                <w:bCs/>
                <w:sz w:val="14"/>
                <w:szCs w:val="14"/>
              </w:rPr>
            </w:pPr>
            <w:r w:rsidRPr="00B031BA">
              <w:rPr>
                <w:rFonts w:eastAsia="Times New Roman"/>
                <w:b/>
                <w:bCs/>
                <w:sz w:val="14"/>
                <w:szCs w:val="14"/>
              </w:rPr>
              <w:t>Faculty Student Ratio</w:t>
            </w:r>
          </w:p>
        </w:tc>
        <w:tc>
          <w:tcPr>
            <w:tcW w:w="820" w:type="dxa"/>
            <w:tcBorders>
              <w:top w:val="nil"/>
              <w:left w:val="nil"/>
              <w:bottom w:val="single" w:sz="8" w:space="0" w:color="E2E2E2"/>
              <w:right w:val="single" w:sz="8" w:space="0" w:color="E2E2E2"/>
            </w:tcBorders>
            <w:shd w:val="clear" w:color="000000" w:fill="F7A600"/>
            <w:vAlign w:val="center"/>
            <w:hideMark/>
          </w:tcPr>
          <w:p w14:paraId="28C3A0E0" w14:textId="77777777" w:rsidR="00B031BA" w:rsidRPr="00B031BA" w:rsidRDefault="00B031BA" w:rsidP="00B031BA">
            <w:pPr>
              <w:jc w:val="center"/>
              <w:rPr>
                <w:rFonts w:eastAsia="Times New Roman"/>
                <w:b/>
                <w:bCs/>
                <w:sz w:val="14"/>
                <w:szCs w:val="14"/>
              </w:rPr>
            </w:pPr>
            <w:r w:rsidRPr="00B031BA">
              <w:rPr>
                <w:rFonts w:eastAsia="Times New Roman"/>
                <w:b/>
                <w:bCs/>
                <w:sz w:val="14"/>
                <w:szCs w:val="14"/>
              </w:rPr>
              <w:t>Citations per Faculty</w:t>
            </w:r>
          </w:p>
        </w:tc>
        <w:tc>
          <w:tcPr>
            <w:tcW w:w="760" w:type="dxa"/>
            <w:tcBorders>
              <w:top w:val="nil"/>
              <w:left w:val="nil"/>
              <w:bottom w:val="single" w:sz="8" w:space="0" w:color="E2E2E2"/>
              <w:right w:val="single" w:sz="8" w:space="0" w:color="E2E2E2"/>
            </w:tcBorders>
            <w:shd w:val="clear" w:color="000000" w:fill="F7A600"/>
            <w:vAlign w:val="center"/>
            <w:hideMark/>
          </w:tcPr>
          <w:p w14:paraId="73FF896A" w14:textId="77777777" w:rsidR="00B031BA" w:rsidRPr="00B031BA" w:rsidRDefault="00B031BA" w:rsidP="00B031BA">
            <w:pPr>
              <w:jc w:val="center"/>
              <w:rPr>
                <w:rFonts w:eastAsia="Times New Roman"/>
                <w:b/>
                <w:bCs/>
                <w:sz w:val="14"/>
                <w:szCs w:val="14"/>
              </w:rPr>
            </w:pPr>
            <w:r w:rsidRPr="00B031BA">
              <w:rPr>
                <w:rFonts w:eastAsia="Times New Roman"/>
                <w:b/>
                <w:bCs/>
                <w:sz w:val="14"/>
                <w:szCs w:val="14"/>
              </w:rPr>
              <w:t>Int’l Faculty Ratio</w:t>
            </w:r>
          </w:p>
        </w:tc>
        <w:tc>
          <w:tcPr>
            <w:tcW w:w="880" w:type="dxa"/>
            <w:tcBorders>
              <w:top w:val="nil"/>
              <w:left w:val="nil"/>
              <w:bottom w:val="single" w:sz="8" w:space="0" w:color="E2E2E2"/>
              <w:right w:val="single" w:sz="8" w:space="0" w:color="E2E2E2"/>
            </w:tcBorders>
            <w:shd w:val="clear" w:color="000000" w:fill="F7A600"/>
            <w:vAlign w:val="center"/>
            <w:hideMark/>
          </w:tcPr>
          <w:p w14:paraId="2D4791C2" w14:textId="77777777" w:rsidR="00B031BA" w:rsidRPr="00B031BA" w:rsidRDefault="00B031BA" w:rsidP="00B031BA">
            <w:pPr>
              <w:jc w:val="center"/>
              <w:rPr>
                <w:rFonts w:eastAsia="Times New Roman"/>
                <w:b/>
                <w:bCs/>
                <w:sz w:val="14"/>
                <w:szCs w:val="14"/>
              </w:rPr>
            </w:pPr>
            <w:r w:rsidRPr="00B031BA">
              <w:rPr>
                <w:rFonts w:eastAsia="Times New Roman"/>
                <w:b/>
                <w:bCs/>
                <w:sz w:val="14"/>
                <w:szCs w:val="14"/>
              </w:rPr>
              <w:t>Int’l Students Ratio</w:t>
            </w:r>
          </w:p>
        </w:tc>
        <w:tc>
          <w:tcPr>
            <w:tcW w:w="880" w:type="dxa"/>
            <w:tcBorders>
              <w:top w:val="nil"/>
              <w:left w:val="nil"/>
              <w:bottom w:val="single" w:sz="8" w:space="0" w:color="E2E2E2"/>
              <w:right w:val="single" w:sz="8" w:space="0" w:color="E2E2E2"/>
            </w:tcBorders>
            <w:shd w:val="clear" w:color="000000" w:fill="F7A600"/>
            <w:vAlign w:val="center"/>
            <w:hideMark/>
          </w:tcPr>
          <w:p w14:paraId="2DAF88D5" w14:textId="77777777" w:rsidR="00B031BA" w:rsidRPr="00B031BA" w:rsidRDefault="00B031BA" w:rsidP="00B031BA">
            <w:pPr>
              <w:jc w:val="center"/>
              <w:rPr>
                <w:rFonts w:eastAsia="Times New Roman"/>
                <w:b/>
                <w:bCs/>
                <w:sz w:val="14"/>
                <w:szCs w:val="14"/>
              </w:rPr>
            </w:pPr>
            <w:r w:rsidRPr="00B031BA">
              <w:rPr>
                <w:rFonts w:eastAsia="Times New Roman"/>
                <w:b/>
                <w:bCs/>
                <w:sz w:val="14"/>
                <w:szCs w:val="14"/>
              </w:rPr>
              <w:t>Int’l Research Network</w:t>
            </w:r>
          </w:p>
        </w:tc>
        <w:tc>
          <w:tcPr>
            <w:tcW w:w="820" w:type="dxa"/>
            <w:tcBorders>
              <w:top w:val="nil"/>
              <w:left w:val="nil"/>
              <w:bottom w:val="single" w:sz="8" w:space="0" w:color="E2E2E2"/>
              <w:right w:val="single" w:sz="8" w:space="0" w:color="E2E2E2"/>
            </w:tcBorders>
            <w:shd w:val="clear" w:color="000000" w:fill="F7A600"/>
            <w:vAlign w:val="center"/>
            <w:hideMark/>
          </w:tcPr>
          <w:p w14:paraId="4221268D" w14:textId="77777777" w:rsidR="00B031BA" w:rsidRPr="00B031BA" w:rsidRDefault="00B031BA" w:rsidP="00B031BA">
            <w:pPr>
              <w:jc w:val="center"/>
              <w:rPr>
                <w:rFonts w:eastAsia="Times New Roman"/>
                <w:b/>
                <w:bCs/>
                <w:sz w:val="14"/>
                <w:szCs w:val="14"/>
              </w:rPr>
            </w:pPr>
            <w:r w:rsidRPr="00B031BA">
              <w:rPr>
                <w:rFonts w:eastAsia="Times New Roman"/>
                <w:b/>
                <w:bCs/>
                <w:sz w:val="14"/>
                <w:szCs w:val="14"/>
              </w:rPr>
              <w:t>Employment Outcomes</w:t>
            </w:r>
          </w:p>
        </w:tc>
        <w:tc>
          <w:tcPr>
            <w:tcW w:w="880" w:type="dxa"/>
            <w:tcBorders>
              <w:top w:val="nil"/>
              <w:left w:val="nil"/>
              <w:bottom w:val="single" w:sz="8" w:space="0" w:color="E2E2E2"/>
              <w:right w:val="single" w:sz="8" w:space="0" w:color="E2E2E2"/>
            </w:tcBorders>
            <w:shd w:val="clear" w:color="000000" w:fill="F7A600"/>
            <w:vAlign w:val="center"/>
            <w:hideMark/>
          </w:tcPr>
          <w:p w14:paraId="0CD0BA87" w14:textId="77777777" w:rsidR="00B031BA" w:rsidRPr="00B031BA" w:rsidRDefault="00B031BA" w:rsidP="00B031BA">
            <w:pPr>
              <w:jc w:val="center"/>
              <w:rPr>
                <w:rFonts w:eastAsia="Times New Roman"/>
                <w:b/>
                <w:bCs/>
                <w:sz w:val="14"/>
                <w:szCs w:val="14"/>
              </w:rPr>
            </w:pPr>
            <w:r w:rsidRPr="00B031BA">
              <w:rPr>
                <w:rFonts w:eastAsia="Times New Roman"/>
                <w:b/>
                <w:bCs/>
                <w:sz w:val="14"/>
                <w:szCs w:val="14"/>
              </w:rPr>
              <w:t>Sustainability</w:t>
            </w:r>
          </w:p>
        </w:tc>
        <w:tc>
          <w:tcPr>
            <w:tcW w:w="840" w:type="dxa"/>
            <w:tcBorders>
              <w:top w:val="nil"/>
              <w:left w:val="nil"/>
              <w:bottom w:val="single" w:sz="8" w:space="0" w:color="E2E2E2"/>
              <w:right w:val="single" w:sz="8" w:space="0" w:color="E2E2E2"/>
            </w:tcBorders>
            <w:shd w:val="clear" w:color="000000" w:fill="F7A600"/>
            <w:vAlign w:val="center"/>
            <w:hideMark/>
          </w:tcPr>
          <w:p w14:paraId="3E909593" w14:textId="77777777" w:rsidR="00B031BA" w:rsidRPr="00B031BA" w:rsidRDefault="00B031BA" w:rsidP="00B031BA">
            <w:pPr>
              <w:jc w:val="center"/>
              <w:rPr>
                <w:rFonts w:eastAsia="Times New Roman"/>
                <w:b/>
                <w:bCs/>
                <w:sz w:val="14"/>
                <w:szCs w:val="14"/>
              </w:rPr>
            </w:pPr>
            <w:r w:rsidRPr="00B031BA">
              <w:rPr>
                <w:rFonts w:eastAsia="Times New Roman"/>
                <w:b/>
                <w:bCs/>
                <w:sz w:val="14"/>
                <w:szCs w:val="14"/>
              </w:rPr>
              <w:t>Overall Score</w:t>
            </w:r>
          </w:p>
        </w:tc>
      </w:tr>
      <w:tr w:rsidR="00B031BA" w:rsidRPr="00B031BA" w14:paraId="50740FDC" w14:textId="77777777" w:rsidTr="00B031BA">
        <w:trPr>
          <w:trHeight w:val="300"/>
        </w:trPr>
        <w:tc>
          <w:tcPr>
            <w:tcW w:w="960" w:type="dxa"/>
            <w:tcBorders>
              <w:top w:val="nil"/>
              <w:left w:val="single" w:sz="8" w:space="0" w:color="E2E2E2"/>
              <w:bottom w:val="single" w:sz="8" w:space="0" w:color="E2E2E2"/>
              <w:right w:val="single" w:sz="8" w:space="0" w:color="E2E2E2"/>
            </w:tcBorders>
            <w:shd w:val="clear" w:color="000000" w:fill="1D1D1B"/>
            <w:vAlign w:val="center"/>
            <w:hideMark/>
          </w:tcPr>
          <w:p w14:paraId="2BB0E194" w14:textId="77777777" w:rsidR="00B031BA" w:rsidRPr="00B031BA" w:rsidRDefault="00B031BA" w:rsidP="00B031BA">
            <w:pPr>
              <w:rPr>
                <w:rFonts w:eastAsia="Times New Roman"/>
                <w:b/>
                <w:bCs/>
                <w:color w:val="FFFFFF"/>
                <w:sz w:val="16"/>
                <w:szCs w:val="16"/>
              </w:rPr>
            </w:pPr>
            <w:r w:rsidRPr="00B031BA">
              <w:rPr>
                <w:rFonts w:eastAsia="Times New Roman"/>
                <w:b/>
                <w:bCs/>
                <w:color w:val="FFFFFF"/>
                <w:sz w:val="16"/>
                <w:szCs w:val="16"/>
              </w:rPr>
              <w:t>Global</w:t>
            </w:r>
          </w:p>
        </w:tc>
        <w:tc>
          <w:tcPr>
            <w:tcW w:w="880" w:type="dxa"/>
            <w:tcBorders>
              <w:top w:val="nil"/>
              <w:left w:val="nil"/>
              <w:bottom w:val="single" w:sz="8" w:space="0" w:color="E2E2E2"/>
              <w:right w:val="single" w:sz="8" w:space="0" w:color="E2E2E2"/>
            </w:tcBorders>
            <w:shd w:val="clear" w:color="000000" w:fill="1D1D1B"/>
            <w:vAlign w:val="center"/>
            <w:hideMark/>
          </w:tcPr>
          <w:p w14:paraId="3BCAAF2D" w14:textId="77777777" w:rsidR="00B031BA" w:rsidRPr="00B031BA" w:rsidRDefault="00B031BA" w:rsidP="00B031BA">
            <w:pPr>
              <w:jc w:val="center"/>
              <w:rPr>
                <w:rFonts w:eastAsia="Times New Roman"/>
                <w:b/>
                <w:bCs/>
                <w:color w:val="FFFFFF"/>
                <w:sz w:val="16"/>
                <w:szCs w:val="16"/>
              </w:rPr>
            </w:pPr>
            <w:r w:rsidRPr="00B031BA">
              <w:rPr>
                <w:rFonts w:eastAsia="Times New Roman"/>
                <w:b/>
                <w:bCs/>
                <w:color w:val="FFFFFF"/>
                <w:sz w:val="16"/>
                <w:szCs w:val="16"/>
              </w:rPr>
              <w:t>1,504</w:t>
            </w:r>
          </w:p>
        </w:tc>
        <w:tc>
          <w:tcPr>
            <w:tcW w:w="740" w:type="dxa"/>
            <w:tcBorders>
              <w:top w:val="nil"/>
              <w:left w:val="nil"/>
              <w:bottom w:val="single" w:sz="8" w:space="0" w:color="E2E2E2"/>
              <w:right w:val="single" w:sz="8" w:space="0" w:color="E2E2E2"/>
            </w:tcBorders>
            <w:shd w:val="clear" w:color="000000" w:fill="1D1D1B"/>
            <w:vAlign w:val="center"/>
            <w:hideMark/>
          </w:tcPr>
          <w:p w14:paraId="69AF24F7" w14:textId="77777777" w:rsidR="00B031BA" w:rsidRPr="00B031BA" w:rsidRDefault="00B031BA" w:rsidP="00B031BA">
            <w:pPr>
              <w:jc w:val="center"/>
              <w:rPr>
                <w:rFonts w:eastAsia="Times New Roman"/>
                <w:b/>
                <w:bCs/>
                <w:color w:val="FFFFFF"/>
                <w:sz w:val="16"/>
                <w:szCs w:val="16"/>
              </w:rPr>
            </w:pPr>
            <w:r w:rsidRPr="00B031BA">
              <w:rPr>
                <w:rFonts w:eastAsia="Times New Roman"/>
                <w:b/>
                <w:bCs/>
                <w:color w:val="FFFFFF"/>
                <w:sz w:val="16"/>
                <w:szCs w:val="16"/>
              </w:rPr>
              <w:t>20.6</w:t>
            </w:r>
          </w:p>
        </w:tc>
        <w:tc>
          <w:tcPr>
            <w:tcW w:w="740" w:type="dxa"/>
            <w:tcBorders>
              <w:top w:val="nil"/>
              <w:left w:val="nil"/>
              <w:bottom w:val="single" w:sz="8" w:space="0" w:color="E2E2E2"/>
              <w:right w:val="single" w:sz="8" w:space="0" w:color="E2E2E2"/>
            </w:tcBorders>
            <w:shd w:val="clear" w:color="000000" w:fill="1D1D1B"/>
            <w:vAlign w:val="center"/>
            <w:hideMark/>
          </w:tcPr>
          <w:p w14:paraId="7F2A0CD7" w14:textId="77777777" w:rsidR="00B031BA" w:rsidRPr="00B031BA" w:rsidRDefault="00B031BA" w:rsidP="00B031BA">
            <w:pPr>
              <w:jc w:val="center"/>
              <w:rPr>
                <w:rFonts w:eastAsia="Times New Roman"/>
                <w:b/>
                <w:bCs/>
                <w:color w:val="FFFFFF"/>
                <w:sz w:val="16"/>
                <w:szCs w:val="16"/>
              </w:rPr>
            </w:pPr>
            <w:r w:rsidRPr="00B031BA">
              <w:rPr>
                <w:rFonts w:eastAsia="Times New Roman"/>
                <w:b/>
                <w:bCs/>
                <w:color w:val="FFFFFF"/>
                <w:sz w:val="16"/>
                <w:szCs w:val="16"/>
              </w:rPr>
              <w:t>21.5</w:t>
            </w:r>
          </w:p>
        </w:tc>
        <w:tc>
          <w:tcPr>
            <w:tcW w:w="900" w:type="dxa"/>
            <w:tcBorders>
              <w:top w:val="nil"/>
              <w:left w:val="nil"/>
              <w:bottom w:val="single" w:sz="8" w:space="0" w:color="E2E2E2"/>
              <w:right w:val="single" w:sz="8" w:space="0" w:color="E2E2E2"/>
            </w:tcBorders>
            <w:shd w:val="clear" w:color="000000" w:fill="1D1D1B"/>
            <w:vAlign w:val="center"/>
            <w:hideMark/>
          </w:tcPr>
          <w:p w14:paraId="0B3B90A4" w14:textId="77777777" w:rsidR="00B031BA" w:rsidRPr="00B031BA" w:rsidRDefault="00B031BA" w:rsidP="00B031BA">
            <w:pPr>
              <w:jc w:val="center"/>
              <w:rPr>
                <w:rFonts w:eastAsia="Times New Roman"/>
                <w:b/>
                <w:bCs/>
                <w:color w:val="FFFFFF"/>
                <w:sz w:val="16"/>
                <w:szCs w:val="16"/>
              </w:rPr>
            </w:pPr>
            <w:r w:rsidRPr="00B031BA">
              <w:rPr>
                <w:rFonts w:eastAsia="Times New Roman"/>
                <w:b/>
                <w:bCs/>
                <w:color w:val="FFFFFF"/>
                <w:sz w:val="16"/>
                <w:szCs w:val="16"/>
              </w:rPr>
              <w:t>33.6</w:t>
            </w:r>
          </w:p>
        </w:tc>
        <w:tc>
          <w:tcPr>
            <w:tcW w:w="820" w:type="dxa"/>
            <w:tcBorders>
              <w:top w:val="nil"/>
              <w:left w:val="nil"/>
              <w:bottom w:val="single" w:sz="8" w:space="0" w:color="E2E2E2"/>
              <w:right w:val="single" w:sz="8" w:space="0" w:color="E2E2E2"/>
            </w:tcBorders>
            <w:shd w:val="clear" w:color="000000" w:fill="1D1D1B"/>
            <w:vAlign w:val="center"/>
            <w:hideMark/>
          </w:tcPr>
          <w:p w14:paraId="072892DD" w14:textId="77777777" w:rsidR="00B031BA" w:rsidRPr="00B031BA" w:rsidRDefault="00B031BA" w:rsidP="00B031BA">
            <w:pPr>
              <w:jc w:val="center"/>
              <w:rPr>
                <w:rFonts w:eastAsia="Times New Roman"/>
                <w:b/>
                <w:bCs/>
                <w:color w:val="FFFFFF"/>
                <w:sz w:val="16"/>
                <w:szCs w:val="16"/>
              </w:rPr>
            </w:pPr>
            <w:r w:rsidRPr="00B031BA">
              <w:rPr>
                <w:rFonts w:eastAsia="Times New Roman"/>
                <w:b/>
                <w:bCs/>
                <w:color w:val="FFFFFF"/>
                <w:sz w:val="16"/>
                <w:szCs w:val="16"/>
              </w:rPr>
              <w:t>20.9</w:t>
            </w:r>
          </w:p>
        </w:tc>
        <w:tc>
          <w:tcPr>
            <w:tcW w:w="760" w:type="dxa"/>
            <w:tcBorders>
              <w:top w:val="nil"/>
              <w:left w:val="nil"/>
              <w:bottom w:val="single" w:sz="8" w:space="0" w:color="E2E2E2"/>
              <w:right w:val="single" w:sz="8" w:space="0" w:color="E2E2E2"/>
            </w:tcBorders>
            <w:shd w:val="clear" w:color="000000" w:fill="1D1D1B"/>
            <w:vAlign w:val="center"/>
            <w:hideMark/>
          </w:tcPr>
          <w:p w14:paraId="3A96CD00" w14:textId="77777777" w:rsidR="00B031BA" w:rsidRPr="00B031BA" w:rsidRDefault="00B031BA" w:rsidP="00B031BA">
            <w:pPr>
              <w:jc w:val="center"/>
              <w:rPr>
                <w:rFonts w:eastAsia="Times New Roman"/>
                <w:b/>
                <w:bCs/>
                <w:color w:val="FFFFFF"/>
                <w:sz w:val="16"/>
                <w:szCs w:val="16"/>
              </w:rPr>
            </w:pPr>
            <w:r w:rsidRPr="00B031BA">
              <w:rPr>
                <w:rFonts w:eastAsia="Times New Roman"/>
                <w:b/>
                <w:bCs/>
                <w:color w:val="FFFFFF"/>
                <w:sz w:val="16"/>
                <w:szCs w:val="16"/>
              </w:rPr>
              <w:t>36.2</w:t>
            </w:r>
          </w:p>
        </w:tc>
        <w:tc>
          <w:tcPr>
            <w:tcW w:w="880" w:type="dxa"/>
            <w:tcBorders>
              <w:top w:val="nil"/>
              <w:left w:val="nil"/>
              <w:bottom w:val="single" w:sz="8" w:space="0" w:color="E2E2E2"/>
              <w:right w:val="single" w:sz="8" w:space="0" w:color="E2E2E2"/>
            </w:tcBorders>
            <w:shd w:val="clear" w:color="000000" w:fill="1D1D1B"/>
            <w:vAlign w:val="center"/>
            <w:hideMark/>
          </w:tcPr>
          <w:p w14:paraId="464352FD" w14:textId="77777777" w:rsidR="00B031BA" w:rsidRPr="00B031BA" w:rsidRDefault="00B031BA" w:rsidP="00B031BA">
            <w:pPr>
              <w:jc w:val="center"/>
              <w:rPr>
                <w:rFonts w:eastAsia="Times New Roman"/>
                <w:b/>
                <w:bCs/>
                <w:color w:val="FFFFFF"/>
                <w:sz w:val="16"/>
                <w:szCs w:val="16"/>
              </w:rPr>
            </w:pPr>
            <w:r w:rsidRPr="00B031BA">
              <w:rPr>
                <w:rFonts w:eastAsia="Times New Roman"/>
                <w:b/>
                <w:bCs/>
                <w:color w:val="FFFFFF"/>
                <w:sz w:val="16"/>
                <w:szCs w:val="16"/>
              </w:rPr>
              <w:t>30.5</w:t>
            </w:r>
          </w:p>
        </w:tc>
        <w:tc>
          <w:tcPr>
            <w:tcW w:w="880" w:type="dxa"/>
            <w:tcBorders>
              <w:top w:val="nil"/>
              <w:left w:val="nil"/>
              <w:bottom w:val="single" w:sz="8" w:space="0" w:color="E2E2E2"/>
              <w:right w:val="single" w:sz="8" w:space="0" w:color="E2E2E2"/>
            </w:tcBorders>
            <w:shd w:val="clear" w:color="000000" w:fill="1D1D1B"/>
            <w:vAlign w:val="center"/>
            <w:hideMark/>
          </w:tcPr>
          <w:p w14:paraId="1FD39385" w14:textId="77777777" w:rsidR="00B031BA" w:rsidRPr="00B031BA" w:rsidRDefault="00B031BA" w:rsidP="00B031BA">
            <w:pPr>
              <w:jc w:val="center"/>
              <w:rPr>
                <w:rFonts w:eastAsia="Times New Roman"/>
                <w:b/>
                <w:bCs/>
                <w:color w:val="FFFFFF"/>
                <w:sz w:val="16"/>
                <w:szCs w:val="16"/>
              </w:rPr>
            </w:pPr>
            <w:r w:rsidRPr="00B031BA">
              <w:rPr>
                <w:rFonts w:eastAsia="Times New Roman"/>
                <w:b/>
                <w:bCs/>
                <w:color w:val="FFFFFF"/>
                <w:sz w:val="16"/>
                <w:szCs w:val="16"/>
              </w:rPr>
              <w:t>48.9</w:t>
            </w:r>
          </w:p>
        </w:tc>
        <w:tc>
          <w:tcPr>
            <w:tcW w:w="820" w:type="dxa"/>
            <w:tcBorders>
              <w:top w:val="nil"/>
              <w:left w:val="nil"/>
              <w:bottom w:val="single" w:sz="8" w:space="0" w:color="E2E2E2"/>
              <w:right w:val="single" w:sz="8" w:space="0" w:color="E2E2E2"/>
            </w:tcBorders>
            <w:shd w:val="clear" w:color="000000" w:fill="1D1D1B"/>
            <w:vAlign w:val="center"/>
            <w:hideMark/>
          </w:tcPr>
          <w:p w14:paraId="12CF2678" w14:textId="77777777" w:rsidR="00B031BA" w:rsidRPr="00B031BA" w:rsidRDefault="00B031BA" w:rsidP="00B031BA">
            <w:pPr>
              <w:jc w:val="center"/>
              <w:rPr>
                <w:rFonts w:eastAsia="Times New Roman"/>
                <w:b/>
                <w:bCs/>
                <w:color w:val="FFFFFF"/>
                <w:sz w:val="16"/>
                <w:szCs w:val="16"/>
              </w:rPr>
            </w:pPr>
            <w:r w:rsidRPr="00B031BA">
              <w:rPr>
                <w:rFonts w:eastAsia="Times New Roman"/>
                <w:b/>
                <w:bCs/>
                <w:color w:val="FFFFFF"/>
                <w:sz w:val="16"/>
                <w:szCs w:val="16"/>
              </w:rPr>
              <w:t>42.7</w:t>
            </w:r>
          </w:p>
        </w:tc>
        <w:tc>
          <w:tcPr>
            <w:tcW w:w="880" w:type="dxa"/>
            <w:tcBorders>
              <w:top w:val="nil"/>
              <w:left w:val="nil"/>
              <w:bottom w:val="single" w:sz="8" w:space="0" w:color="E2E2E2"/>
              <w:right w:val="single" w:sz="8" w:space="0" w:color="E2E2E2"/>
            </w:tcBorders>
            <w:shd w:val="clear" w:color="000000" w:fill="1D1D1B"/>
            <w:vAlign w:val="center"/>
            <w:hideMark/>
          </w:tcPr>
          <w:p w14:paraId="30037235" w14:textId="77777777" w:rsidR="00B031BA" w:rsidRPr="00B031BA" w:rsidRDefault="00B031BA" w:rsidP="00B031BA">
            <w:pPr>
              <w:jc w:val="center"/>
              <w:rPr>
                <w:rFonts w:eastAsia="Times New Roman"/>
                <w:b/>
                <w:bCs/>
                <w:color w:val="FFFFFF"/>
                <w:sz w:val="16"/>
                <w:szCs w:val="16"/>
              </w:rPr>
            </w:pPr>
            <w:r w:rsidRPr="00B031BA">
              <w:rPr>
                <w:rFonts w:eastAsia="Times New Roman"/>
                <w:b/>
                <w:bCs/>
                <w:color w:val="FFFFFF"/>
                <w:sz w:val="16"/>
                <w:szCs w:val="16"/>
              </w:rPr>
              <w:t>48.9</w:t>
            </w:r>
          </w:p>
        </w:tc>
        <w:tc>
          <w:tcPr>
            <w:tcW w:w="840" w:type="dxa"/>
            <w:tcBorders>
              <w:top w:val="nil"/>
              <w:left w:val="nil"/>
              <w:bottom w:val="single" w:sz="8" w:space="0" w:color="E2E2E2"/>
              <w:right w:val="single" w:sz="8" w:space="0" w:color="E2E2E2"/>
            </w:tcBorders>
            <w:shd w:val="clear" w:color="000000" w:fill="1D1D1B"/>
            <w:vAlign w:val="center"/>
            <w:hideMark/>
          </w:tcPr>
          <w:p w14:paraId="0F411FF7" w14:textId="77777777" w:rsidR="00B031BA" w:rsidRPr="00B031BA" w:rsidRDefault="00B031BA" w:rsidP="00B031BA">
            <w:pPr>
              <w:jc w:val="center"/>
              <w:rPr>
                <w:rFonts w:eastAsia="Times New Roman"/>
                <w:b/>
                <w:bCs/>
                <w:color w:val="FFFFFF"/>
                <w:sz w:val="16"/>
                <w:szCs w:val="16"/>
              </w:rPr>
            </w:pPr>
            <w:r w:rsidRPr="00B031BA">
              <w:rPr>
                <w:rFonts w:eastAsia="Times New Roman"/>
                <w:b/>
                <w:bCs/>
                <w:color w:val="FFFFFF"/>
                <w:sz w:val="16"/>
                <w:szCs w:val="16"/>
              </w:rPr>
              <w:t>25.7</w:t>
            </w:r>
          </w:p>
        </w:tc>
      </w:tr>
      <w:tr w:rsidR="00B031BA" w:rsidRPr="00B031BA" w14:paraId="56E3F871" w14:textId="77777777" w:rsidTr="00B031BA">
        <w:trPr>
          <w:trHeight w:val="300"/>
        </w:trPr>
        <w:tc>
          <w:tcPr>
            <w:tcW w:w="960" w:type="dxa"/>
            <w:tcBorders>
              <w:top w:val="nil"/>
              <w:left w:val="single" w:sz="8" w:space="0" w:color="E2E2E2"/>
              <w:bottom w:val="single" w:sz="8" w:space="0" w:color="E2E2E2"/>
              <w:right w:val="single" w:sz="8" w:space="0" w:color="E2E2E2"/>
            </w:tcBorders>
            <w:vAlign w:val="center"/>
            <w:hideMark/>
          </w:tcPr>
          <w:p w14:paraId="0F914F8E" w14:textId="77777777" w:rsidR="00B031BA" w:rsidRPr="00B031BA" w:rsidRDefault="00B031BA" w:rsidP="00B031BA">
            <w:pPr>
              <w:rPr>
                <w:rFonts w:eastAsia="Times New Roman"/>
                <w:b/>
                <w:bCs/>
                <w:sz w:val="16"/>
                <w:szCs w:val="16"/>
              </w:rPr>
            </w:pPr>
            <w:r w:rsidRPr="00B031BA">
              <w:rPr>
                <w:rFonts w:eastAsia="Times New Roman"/>
                <w:b/>
                <w:bCs/>
                <w:sz w:val="16"/>
                <w:szCs w:val="16"/>
              </w:rPr>
              <w:t>Saudi Arabia</w:t>
            </w:r>
          </w:p>
        </w:tc>
        <w:tc>
          <w:tcPr>
            <w:tcW w:w="880" w:type="dxa"/>
            <w:tcBorders>
              <w:top w:val="nil"/>
              <w:left w:val="nil"/>
              <w:bottom w:val="single" w:sz="8" w:space="0" w:color="E2E2E2"/>
              <w:right w:val="single" w:sz="8" w:space="0" w:color="E2E2E2"/>
            </w:tcBorders>
            <w:vAlign w:val="center"/>
            <w:hideMark/>
          </w:tcPr>
          <w:p w14:paraId="54A5ABE3" w14:textId="77777777" w:rsidR="00B031BA" w:rsidRPr="00B031BA" w:rsidRDefault="00B031BA" w:rsidP="00B031BA">
            <w:pPr>
              <w:jc w:val="center"/>
              <w:rPr>
                <w:rFonts w:eastAsia="Times New Roman"/>
                <w:sz w:val="16"/>
                <w:szCs w:val="16"/>
              </w:rPr>
            </w:pPr>
            <w:r w:rsidRPr="00B031BA">
              <w:rPr>
                <w:rFonts w:eastAsia="Times New Roman"/>
                <w:sz w:val="16"/>
                <w:szCs w:val="16"/>
              </w:rPr>
              <w:t>22</w:t>
            </w:r>
          </w:p>
        </w:tc>
        <w:tc>
          <w:tcPr>
            <w:tcW w:w="740" w:type="dxa"/>
            <w:tcBorders>
              <w:top w:val="nil"/>
              <w:left w:val="nil"/>
              <w:bottom w:val="single" w:sz="8" w:space="0" w:color="E2E2E2"/>
              <w:right w:val="single" w:sz="8" w:space="0" w:color="E2E2E2"/>
            </w:tcBorders>
            <w:vAlign w:val="center"/>
            <w:hideMark/>
          </w:tcPr>
          <w:p w14:paraId="72C0113B" w14:textId="77777777" w:rsidR="00B031BA" w:rsidRPr="00B031BA" w:rsidRDefault="00B031BA" w:rsidP="00B031BA">
            <w:pPr>
              <w:jc w:val="center"/>
              <w:rPr>
                <w:rFonts w:eastAsia="Times New Roman"/>
                <w:sz w:val="16"/>
                <w:szCs w:val="16"/>
              </w:rPr>
            </w:pPr>
            <w:r w:rsidRPr="00B031BA">
              <w:rPr>
                <w:rFonts w:eastAsia="Times New Roman"/>
                <w:sz w:val="16"/>
                <w:szCs w:val="16"/>
              </w:rPr>
              <w:t>18</w:t>
            </w:r>
          </w:p>
        </w:tc>
        <w:tc>
          <w:tcPr>
            <w:tcW w:w="740" w:type="dxa"/>
            <w:tcBorders>
              <w:top w:val="nil"/>
              <w:left w:val="nil"/>
              <w:bottom w:val="single" w:sz="8" w:space="0" w:color="E2E2E2"/>
              <w:right w:val="single" w:sz="8" w:space="0" w:color="E2E2E2"/>
            </w:tcBorders>
            <w:vAlign w:val="center"/>
            <w:hideMark/>
          </w:tcPr>
          <w:p w14:paraId="4D62089B" w14:textId="77777777" w:rsidR="00B031BA" w:rsidRPr="00B031BA" w:rsidRDefault="00B031BA" w:rsidP="00B031BA">
            <w:pPr>
              <w:jc w:val="center"/>
              <w:rPr>
                <w:rFonts w:eastAsia="Times New Roman"/>
                <w:sz w:val="16"/>
                <w:szCs w:val="16"/>
              </w:rPr>
            </w:pPr>
            <w:r w:rsidRPr="00B031BA">
              <w:rPr>
                <w:rFonts w:eastAsia="Times New Roman"/>
                <w:sz w:val="16"/>
                <w:szCs w:val="16"/>
              </w:rPr>
              <w:t>20.1</w:t>
            </w:r>
          </w:p>
        </w:tc>
        <w:tc>
          <w:tcPr>
            <w:tcW w:w="900" w:type="dxa"/>
            <w:tcBorders>
              <w:top w:val="nil"/>
              <w:left w:val="nil"/>
              <w:bottom w:val="single" w:sz="8" w:space="0" w:color="E2E2E2"/>
              <w:right w:val="single" w:sz="8" w:space="0" w:color="E2E2E2"/>
            </w:tcBorders>
            <w:vAlign w:val="center"/>
            <w:hideMark/>
          </w:tcPr>
          <w:p w14:paraId="44F10C08" w14:textId="77777777" w:rsidR="00B031BA" w:rsidRPr="00B031BA" w:rsidRDefault="00B031BA" w:rsidP="00B031BA">
            <w:pPr>
              <w:jc w:val="center"/>
              <w:rPr>
                <w:rFonts w:eastAsia="Times New Roman"/>
                <w:sz w:val="16"/>
                <w:szCs w:val="16"/>
              </w:rPr>
            </w:pPr>
            <w:r w:rsidRPr="00B031BA">
              <w:rPr>
                <w:rFonts w:eastAsia="Times New Roman"/>
                <w:sz w:val="16"/>
                <w:szCs w:val="16"/>
              </w:rPr>
              <w:t>37.9</w:t>
            </w:r>
          </w:p>
        </w:tc>
        <w:tc>
          <w:tcPr>
            <w:tcW w:w="820" w:type="dxa"/>
            <w:tcBorders>
              <w:top w:val="nil"/>
              <w:left w:val="nil"/>
              <w:bottom w:val="single" w:sz="8" w:space="0" w:color="E2E2E2"/>
              <w:right w:val="single" w:sz="8" w:space="0" w:color="E2E2E2"/>
            </w:tcBorders>
            <w:vAlign w:val="center"/>
            <w:hideMark/>
          </w:tcPr>
          <w:p w14:paraId="6E67740F" w14:textId="77777777" w:rsidR="00B031BA" w:rsidRPr="00B031BA" w:rsidRDefault="00B031BA" w:rsidP="00B031BA">
            <w:pPr>
              <w:jc w:val="center"/>
              <w:rPr>
                <w:rFonts w:eastAsia="Times New Roman"/>
                <w:sz w:val="16"/>
                <w:szCs w:val="16"/>
              </w:rPr>
            </w:pPr>
            <w:r w:rsidRPr="00B031BA">
              <w:rPr>
                <w:rFonts w:eastAsia="Times New Roman"/>
                <w:sz w:val="16"/>
                <w:szCs w:val="16"/>
              </w:rPr>
              <w:t>25.6</w:t>
            </w:r>
          </w:p>
        </w:tc>
        <w:tc>
          <w:tcPr>
            <w:tcW w:w="760" w:type="dxa"/>
            <w:tcBorders>
              <w:top w:val="nil"/>
              <w:left w:val="nil"/>
              <w:bottom w:val="single" w:sz="8" w:space="0" w:color="E2E2E2"/>
              <w:right w:val="single" w:sz="8" w:space="0" w:color="E2E2E2"/>
            </w:tcBorders>
            <w:vAlign w:val="center"/>
            <w:hideMark/>
          </w:tcPr>
          <w:p w14:paraId="11DC4589" w14:textId="77777777" w:rsidR="00B031BA" w:rsidRPr="00B031BA" w:rsidRDefault="00B031BA" w:rsidP="00B031BA">
            <w:pPr>
              <w:jc w:val="center"/>
              <w:rPr>
                <w:rFonts w:eastAsia="Times New Roman"/>
                <w:sz w:val="16"/>
                <w:szCs w:val="16"/>
              </w:rPr>
            </w:pPr>
            <w:r w:rsidRPr="00B031BA">
              <w:rPr>
                <w:rFonts w:eastAsia="Times New Roman"/>
                <w:sz w:val="16"/>
                <w:szCs w:val="16"/>
              </w:rPr>
              <w:t>94</w:t>
            </w:r>
          </w:p>
        </w:tc>
        <w:tc>
          <w:tcPr>
            <w:tcW w:w="880" w:type="dxa"/>
            <w:tcBorders>
              <w:top w:val="nil"/>
              <w:left w:val="nil"/>
              <w:bottom w:val="single" w:sz="8" w:space="0" w:color="E2E2E2"/>
              <w:right w:val="single" w:sz="8" w:space="0" w:color="E2E2E2"/>
            </w:tcBorders>
            <w:vAlign w:val="center"/>
            <w:hideMark/>
          </w:tcPr>
          <w:p w14:paraId="4A644367" w14:textId="77777777" w:rsidR="00B031BA" w:rsidRPr="00B031BA" w:rsidRDefault="00B031BA" w:rsidP="00B031BA">
            <w:pPr>
              <w:jc w:val="center"/>
              <w:rPr>
                <w:rFonts w:eastAsia="Times New Roman"/>
                <w:sz w:val="16"/>
                <w:szCs w:val="16"/>
              </w:rPr>
            </w:pPr>
            <w:r w:rsidRPr="00B031BA">
              <w:rPr>
                <w:rFonts w:eastAsia="Times New Roman"/>
                <w:sz w:val="16"/>
                <w:szCs w:val="16"/>
              </w:rPr>
              <w:t>31</w:t>
            </w:r>
          </w:p>
        </w:tc>
        <w:tc>
          <w:tcPr>
            <w:tcW w:w="880" w:type="dxa"/>
            <w:tcBorders>
              <w:top w:val="nil"/>
              <w:left w:val="nil"/>
              <w:bottom w:val="single" w:sz="8" w:space="0" w:color="E2E2E2"/>
              <w:right w:val="single" w:sz="8" w:space="0" w:color="E2E2E2"/>
            </w:tcBorders>
            <w:vAlign w:val="center"/>
            <w:hideMark/>
          </w:tcPr>
          <w:p w14:paraId="037AADD3" w14:textId="77777777" w:rsidR="00B031BA" w:rsidRPr="00B031BA" w:rsidRDefault="00B031BA" w:rsidP="00B031BA">
            <w:pPr>
              <w:jc w:val="center"/>
              <w:rPr>
                <w:rFonts w:eastAsia="Times New Roman"/>
                <w:sz w:val="16"/>
                <w:szCs w:val="16"/>
              </w:rPr>
            </w:pPr>
            <w:r w:rsidRPr="00B031BA">
              <w:rPr>
                <w:rFonts w:eastAsia="Times New Roman"/>
                <w:sz w:val="16"/>
                <w:szCs w:val="16"/>
              </w:rPr>
              <w:t>64.6</w:t>
            </w:r>
          </w:p>
        </w:tc>
        <w:tc>
          <w:tcPr>
            <w:tcW w:w="820" w:type="dxa"/>
            <w:tcBorders>
              <w:top w:val="nil"/>
              <w:left w:val="nil"/>
              <w:bottom w:val="single" w:sz="8" w:space="0" w:color="E2E2E2"/>
              <w:right w:val="single" w:sz="8" w:space="0" w:color="E2E2E2"/>
            </w:tcBorders>
            <w:vAlign w:val="center"/>
            <w:hideMark/>
          </w:tcPr>
          <w:p w14:paraId="146B1E3E" w14:textId="77777777" w:rsidR="00B031BA" w:rsidRPr="00B031BA" w:rsidRDefault="00B031BA" w:rsidP="00B031BA">
            <w:pPr>
              <w:jc w:val="center"/>
              <w:rPr>
                <w:rFonts w:eastAsia="Times New Roman"/>
                <w:sz w:val="16"/>
                <w:szCs w:val="16"/>
              </w:rPr>
            </w:pPr>
            <w:r w:rsidRPr="00B031BA">
              <w:rPr>
                <w:rFonts w:eastAsia="Times New Roman"/>
                <w:sz w:val="16"/>
                <w:szCs w:val="16"/>
              </w:rPr>
              <w:t>18.1</w:t>
            </w:r>
          </w:p>
        </w:tc>
        <w:tc>
          <w:tcPr>
            <w:tcW w:w="880" w:type="dxa"/>
            <w:tcBorders>
              <w:top w:val="nil"/>
              <w:left w:val="nil"/>
              <w:bottom w:val="single" w:sz="8" w:space="0" w:color="E2E2E2"/>
              <w:right w:val="single" w:sz="8" w:space="0" w:color="E2E2E2"/>
            </w:tcBorders>
            <w:vAlign w:val="center"/>
            <w:hideMark/>
          </w:tcPr>
          <w:p w14:paraId="6C73F8E7" w14:textId="77777777" w:rsidR="00B031BA" w:rsidRPr="00B031BA" w:rsidRDefault="00B031BA" w:rsidP="00B031BA">
            <w:pPr>
              <w:jc w:val="center"/>
              <w:rPr>
                <w:rFonts w:eastAsia="Times New Roman"/>
                <w:sz w:val="16"/>
                <w:szCs w:val="16"/>
              </w:rPr>
            </w:pPr>
            <w:r w:rsidRPr="00B031BA">
              <w:rPr>
                <w:rFonts w:eastAsia="Times New Roman"/>
                <w:sz w:val="16"/>
                <w:szCs w:val="16"/>
              </w:rPr>
              <w:t>53.7</w:t>
            </w:r>
          </w:p>
        </w:tc>
        <w:tc>
          <w:tcPr>
            <w:tcW w:w="840" w:type="dxa"/>
            <w:tcBorders>
              <w:top w:val="nil"/>
              <w:left w:val="nil"/>
              <w:bottom w:val="single" w:sz="8" w:space="0" w:color="E2E2E2"/>
              <w:right w:val="single" w:sz="8" w:space="0" w:color="E2E2E2"/>
            </w:tcBorders>
            <w:vAlign w:val="center"/>
            <w:hideMark/>
          </w:tcPr>
          <w:p w14:paraId="3820A197" w14:textId="77777777" w:rsidR="00B031BA" w:rsidRPr="00B031BA" w:rsidRDefault="00B031BA" w:rsidP="00B031BA">
            <w:pPr>
              <w:jc w:val="center"/>
              <w:rPr>
                <w:rFonts w:eastAsia="Times New Roman"/>
                <w:sz w:val="16"/>
                <w:szCs w:val="16"/>
              </w:rPr>
            </w:pPr>
            <w:r w:rsidRPr="00B031BA">
              <w:rPr>
                <w:rFonts w:eastAsia="Times New Roman"/>
                <w:sz w:val="16"/>
                <w:szCs w:val="16"/>
              </w:rPr>
              <w:t>29.2</w:t>
            </w:r>
          </w:p>
        </w:tc>
      </w:tr>
      <w:tr w:rsidR="00B031BA" w:rsidRPr="00B031BA" w14:paraId="68774FBF" w14:textId="77777777" w:rsidTr="00B031BA">
        <w:trPr>
          <w:trHeight w:val="300"/>
        </w:trPr>
        <w:tc>
          <w:tcPr>
            <w:tcW w:w="960" w:type="dxa"/>
            <w:tcBorders>
              <w:top w:val="nil"/>
              <w:left w:val="single" w:sz="8" w:space="0" w:color="E2E2E2"/>
              <w:bottom w:val="single" w:sz="8" w:space="0" w:color="E2E2E2"/>
              <w:right w:val="single" w:sz="8" w:space="0" w:color="E2E2E2"/>
            </w:tcBorders>
            <w:vAlign w:val="center"/>
            <w:hideMark/>
          </w:tcPr>
          <w:p w14:paraId="02BEF80C" w14:textId="77777777" w:rsidR="00B031BA" w:rsidRPr="00B031BA" w:rsidRDefault="00B031BA" w:rsidP="00B031BA">
            <w:pPr>
              <w:rPr>
                <w:rFonts w:eastAsia="Times New Roman"/>
                <w:b/>
                <w:bCs/>
                <w:sz w:val="16"/>
                <w:szCs w:val="16"/>
              </w:rPr>
            </w:pPr>
            <w:r w:rsidRPr="00B031BA">
              <w:rPr>
                <w:rFonts w:eastAsia="Times New Roman"/>
                <w:b/>
                <w:bCs/>
                <w:sz w:val="16"/>
                <w:szCs w:val="16"/>
              </w:rPr>
              <w:t>Egypt</w:t>
            </w:r>
          </w:p>
        </w:tc>
        <w:tc>
          <w:tcPr>
            <w:tcW w:w="880" w:type="dxa"/>
            <w:tcBorders>
              <w:top w:val="nil"/>
              <w:left w:val="nil"/>
              <w:bottom w:val="single" w:sz="8" w:space="0" w:color="E2E2E2"/>
              <w:right w:val="single" w:sz="8" w:space="0" w:color="E2E2E2"/>
            </w:tcBorders>
            <w:vAlign w:val="center"/>
            <w:hideMark/>
          </w:tcPr>
          <w:p w14:paraId="733E9489" w14:textId="77777777" w:rsidR="00B031BA" w:rsidRPr="00B031BA" w:rsidRDefault="00B031BA" w:rsidP="00B031BA">
            <w:pPr>
              <w:jc w:val="center"/>
              <w:rPr>
                <w:rFonts w:eastAsia="Times New Roman"/>
                <w:sz w:val="16"/>
                <w:szCs w:val="16"/>
              </w:rPr>
            </w:pPr>
            <w:r w:rsidRPr="00B031BA">
              <w:rPr>
                <w:rFonts w:eastAsia="Times New Roman"/>
                <w:sz w:val="16"/>
                <w:szCs w:val="16"/>
              </w:rPr>
              <w:t>18</w:t>
            </w:r>
          </w:p>
        </w:tc>
        <w:tc>
          <w:tcPr>
            <w:tcW w:w="740" w:type="dxa"/>
            <w:tcBorders>
              <w:top w:val="nil"/>
              <w:left w:val="nil"/>
              <w:bottom w:val="single" w:sz="8" w:space="0" w:color="E2E2E2"/>
              <w:right w:val="single" w:sz="8" w:space="0" w:color="E2E2E2"/>
            </w:tcBorders>
            <w:vAlign w:val="center"/>
            <w:hideMark/>
          </w:tcPr>
          <w:p w14:paraId="42D5441B" w14:textId="77777777" w:rsidR="00B031BA" w:rsidRPr="00B031BA" w:rsidRDefault="00B031BA" w:rsidP="00B031BA">
            <w:pPr>
              <w:jc w:val="center"/>
              <w:rPr>
                <w:rFonts w:eastAsia="Times New Roman"/>
                <w:sz w:val="16"/>
                <w:szCs w:val="16"/>
              </w:rPr>
            </w:pPr>
            <w:r w:rsidRPr="00B031BA">
              <w:rPr>
                <w:rFonts w:eastAsia="Times New Roman"/>
                <w:sz w:val="16"/>
                <w:szCs w:val="16"/>
              </w:rPr>
              <w:t>16.5</w:t>
            </w:r>
          </w:p>
        </w:tc>
        <w:tc>
          <w:tcPr>
            <w:tcW w:w="740" w:type="dxa"/>
            <w:tcBorders>
              <w:top w:val="nil"/>
              <w:left w:val="nil"/>
              <w:bottom w:val="single" w:sz="8" w:space="0" w:color="E2E2E2"/>
              <w:right w:val="single" w:sz="8" w:space="0" w:color="E2E2E2"/>
            </w:tcBorders>
            <w:vAlign w:val="center"/>
            <w:hideMark/>
          </w:tcPr>
          <w:p w14:paraId="0AA2A5CA" w14:textId="77777777" w:rsidR="00B031BA" w:rsidRPr="00B031BA" w:rsidRDefault="00B031BA" w:rsidP="00B031BA">
            <w:pPr>
              <w:jc w:val="center"/>
              <w:rPr>
                <w:rFonts w:eastAsia="Times New Roman"/>
                <w:sz w:val="16"/>
                <w:szCs w:val="16"/>
              </w:rPr>
            </w:pPr>
            <w:r w:rsidRPr="00B031BA">
              <w:rPr>
                <w:rFonts w:eastAsia="Times New Roman"/>
                <w:sz w:val="16"/>
                <w:szCs w:val="16"/>
              </w:rPr>
              <w:t>22.1</w:t>
            </w:r>
          </w:p>
        </w:tc>
        <w:tc>
          <w:tcPr>
            <w:tcW w:w="900" w:type="dxa"/>
            <w:tcBorders>
              <w:top w:val="nil"/>
              <w:left w:val="nil"/>
              <w:bottom w:val="single" w:sz="8" w:space="0" w:color="E2E2E2"/>
              <w:right w:val="single" w:sz="8" w:space="0" w:color="E2E2E2"/>
            </w:tcBorders>
            <w:vAlign w:val="center"/>
            <w:hideMark/>
          </w:tcPr>
          <w:p w14:paraId="1CBEF207" w14:textId="77777777" w:rsidR="00B031BA" w:rsidRPr="00B031BA" w:rsidRDefault="00B031BA" w:rsidP="00B031BA">
            <w:pPr>
              <w:jc w:val="center"/>
              <w:rPr>
                <w:rFonts w:eastAsia="Times New Roman"/>
                <w:sz w:val="16"/>
                <w:szCs w:val="16"/>
              </w:rPr>
            </w:pPr>
            <w:r w:rsidRPr="00B031BA">
              <w:rPr>
                <w:rFonts w:eastAsia="Times New Roman"/>
                <w:sz w:val="16"/>
                <w:szCs w:val="16"/>
              </w:rPr>
              <w:t>15.1</w:t>
            </w:r>
          </w:p>
        </w:tc>
        <w:tc>
          <w:tcPr>
            <w:tcW w:w="820" w:type="dxa"/>
            <w:tcBorders>
              <w:top w:val="nil"/>
              <w:left w:val="nil"/>
              <w:bottom w:val="single" w:sz="8" w:space="0" w:color="E2E2E2"/>
              <w:right w:val="single" w:sz="8" w:space="0" w:color="E2E2E2"/>
            </w:tcBorders>
            <w:vAlign w:val="center"/>
            <w:hideMark/>
          </w:tcPr>
          <w:p w14:paraId="6457C07F" w14:textId="77777777" w:rsidR="00B031BA" w:rsidRPr="00B031BA" w:rsidRDefault="00B031BA" w:rsidP="00B031BA">
            <w:pPr>
              <w:jc w:val="center"/>
              <w:rPr>
                <w:rFonts w:eastAsia="Times New Roman"/>
                <w:sz w:val="16"/>
                <w:szCs w:val="16"/>
              </w:rPr>
            </w:pPr>
            <w:r w:rsidRPr="00B031BA">
              <w:rPr>
                <w:rFonts w:eastAsia="Times New Roman"/>
                <w:sz w:val="16"/>
                <w:szCs w:val="16"/>
              </w:rPr>
              <w:t>9.7</w:t>
            </w:r>
          </w:p>
        </w:tc>
        <w:tc>
          <w:tcPr>
            <w:tcW w:w="760" w:type="dxa"/>
            <w:tcBorders>
              <w:top w:val="nil"/>
              <w:left w:val="nil"/>
              <w:bottom w:val="single" w:sz="8" w:space="0" w:color="E2E2E2"/>
              <w:right w:val="single" w:sz="8" w:space="0" w:color="E2E2E2"/>
            </w:tcBorders>
            <w:vAlign w:val="center"/>
            <w:hideMark/>
          </w:tcPr>
          <w:p w14:paraId="1580ACB2" w14:textId="77777777" w:rsidR="00B031BA" w:rsidRPr="00B031BA" w:rsidRDefault="00B031BA" w:rsidP="00B031BA">
            <w:pPr>
              <w:jc w:val="center"/>
              <w:rPr>
                <w:rFonts w:eastAsia="Times New Roman"/>
                <w:sz w:val="16"/>
                <w:szCs w:val="16"/>
              </w:rPr>
            </w:pPr>
            <w:r w:rsidRPr="00B031BA">
              <w:rPr>
                <w:rFonts w:eastAsia="Times New Roman"/>
                <w:sz w:val="16"/>
                <w:szCs w:val="16"/>
              </w:rPr>
              <w:t>13.2</w:t>
            </w:r>
          </w:p>
        </w:tc>
        <w:tc>
          <w:tcPr>
            <w:tcW w:w="880" w:type="dxa"/>
            <w:tcBorders>
              <w:top w:val="nil"/>
              <w:left w:val="nil"/>
              <w:bottom w:val="single" w:sz="8" w:space="0" w:color="E2E2E2"/>
              <w:right w:val="single" w:sz="8" w:space="0" w:color="E2E2E2"/>
            </w:tcBorders>
            <w:vAlign w:val="center"/>
            <w:hideMark/>
          </w:tcPr>
          <w:p w14:paraId="046DD301" w14:textId="77777777" w:rsidR="00B031BA" w:rsidRPr="00B031BA" w:rsidRDefault="00B031BA" w:rsidP="00B031BA">
            <w:pPr>
              <w:jc w:val="center"/>
              <w:rPr>
                <w:rFonts w:eastAsia="Times New Roman"/>
                <w:sz w:val="16"/>
                <w:szCs w:val="16"/>
              </w:rPr>
            </w:pPr>
            <w:r w:rsidRPr="00B031BA">
              <w:rPr>
                <w:rFonts w:eastAsia="Times New Roman"/>
                <w:sz w:val="16"/>
                <w:szCs w:val="16"/>
              </w:rPr>
              <w:t>10.6</w:t>
            </w:r>
          </w:p>
        </w:tc>
        <w:tc>
          <w:tcPr>
            <w:tcW w:w="880" w:type="dxa"/>
            <w:tcBorders>
              <w:top w:val="nil"/>
              <w:left w:val="nil"/>
              <w:bottom w:val="single" w:sz="8" w:space="0" w:color="E2E2E2"/>
              <w:right w:val="single" w:sz="8" w:space="0" w:color="E2E2E2"/>
            </w:tcBorders>
            <w:vAlign w:val="center"/>
            <w:hideMark/>
          </w:tcPr>
          <w:p w14:paraId="04447288" w14:textId="77777777" w:rsidR="00B031BA" w:rsidRPr="00B031BA" w:rsidRDefault="00B031BA" w:rsidP="00B031BA">
            <w:pPr>
              <w:jc w:val="center"/>
              <w:rPr>
                <w:rFonts w:eastAsia="Times New Roman"/>
                <w:sz w:val="16"/>
                <w:szCs w:val="16"/>
              </w:rPr>
            </w:pPr>
            <w:r w:rsidRPr="00B031BA">
              <w:rPr>
                <w:rFonts w:eastAsia="Times New Roman"/>
                <w:sz w:val="16"/>
                <w:szCs w:val="16"/>
              </w:rPr>
              <w:t>57</w:t>
            </w:r>
          </w:p>
        </w:tc>
        <w:tc>
          <w:tcPr>
            <w:tcW w:w="820" w:type="dxa"/>
            <w:tcBorders>
              <w:top w:val="nil"/>
              <w:left w:val="nil"/>
              <w:bottom w:val="single" w:sz="8" w:space="0" w:color="E2E2E2"/>
              <w:right w:val="single" w:sz="8" w:space="0" w:color="E2E2E2"/>
            </w:tcBorders>
            <w:vAlign w:val="center"/>
            <w:hideMark/>
          </w:tcPr>
          <w:p w14:paraId="50EA827A" w14:textId="77777777" w:rsidR="00B031BA" w:rsidRPr="00B031BA" w:rsidRDefault="00B031BA" w:rsidP="00B031BA">
            <w:pPr>
              <w:jc w:val="center"/>
              <w:rPr>
                <w:rFonts w:eastAsia="Times New Roman"/>
                <w:sz w:val="16"/>
                <w:szCs w:val="16"/>
              </w:rPr>
            </w:pPr>
            <w:r w:rsidRPr="00B031BA">
              <w:rPr>
                <w:rFonts w:eastAsia="Times New Roman"/>
                <w:sz w:val="16"/>
                <w:szCs w:val="16"/>
              </w:rPr>
              <w:t>21.6</w:t>
            </w:r>
          </w:p>
        </w:tc>
        <w:tc>
          <w:tcPr>
            <w:tcW w:w="880" w:type="dxa"/>
            <w:tcBorders>
              <w:top w:val="nil"/>
              <w:left w:val="nil"/>
              <w:bottom w:val="single" w:sz="8" w:space="0" w:color="E2E2E2"/>
              <w:right w:val="single" w:sz="8" w:space="0" w:color="E2E2E2"/>
            </w:tcBorders>
            <w:vAlign w:val="center"/>
            <w:hideMark/>
          </w:tcPr>
          <w:p w14:paraId="4F9C6F91" w14:textId="77777777" w:rsidR="00B031BA" w:rsidRPr="00B031BA" w:rsidRDefault="00B031BA" w:rsidP="00B031BA">
            <w:pPr>
              <w:jc w:val="center"/>
              <w:rPr>
                <w:rFonts w:eastAsia="Times New Roman"/>
                <w:sz w:val="16"/>
                <w:szCs w:val="16"/>
              </w:rPr>
            </w:pPr>
            <w:r w:rsidRPr="00B031BA">
              <w:rPr>
                <w:rFonts w:eastAsia="Times New Roman"/>
                <w:sz w:val="16"/>
                <w:szCs w:val="16"/>
              </w:rPr>
              <w:t>51.5</w:t>
            </w:r>
          </w:p>
        </w:tc>
        <w:tc>
          <w:tcPr>
            <w:tcW w:w="840" w:type="dxa"/>
            <w:tcBorders>
              <w:top w:val="nil"/>
              <w:left w:val="nil"/>
              <w:bottom w:val="single" w:sz="8" w:space="0" w:color="E2E2E2"/>
              <w:right w:val="single" w:sz="8" w:space="0" w:color="E2E2E2"/>
            </w:tcBorders>
            <w:vAlign w:val="center"/>
            <w:hideMark/>
          </w:tcPr>
          <w:p w14:paraId="3F70E112" w14:textId="77777777" w:rsidR="00B031BA" w:rsidRPr="00B031BA" w:rsidRDefault="00B031BA" w:rsidP="00B031BA">
            <w:pPr>
              <w:jc w:val="center"/>
              <w:rPr>
                <w:rFonts w:eastAsia="Times New Roman"/>
                <w:sz w:val="16"/>
                <w:szCs w:val="16"/>
              </w:rPr>
            </w:pPr>
            <w:r w:rsidRPr="00B031BA">
              <w:rPr>
                <w:rFonts w:eastAsia="Times New Roman"/>
                <w:sz w:val="16"/>
                <w:szCs w:val="16"/>
              </w:rPr>
              <w:t>17.9</w:t>
            </w:r>
          </w:p>
        </w:tc>
      </w:tr>
      <w:tr w:rsidR="00B031BA" w:rsidRPr="00B031BA" w14:paraId="7B0875FE" w14:textId="77777777" w:rsidTr="00B031BA">
        <w:trPr>
          <w:trHeight w:val="300"/>
        </w:trPr>
        <w:tc>
          <w:tcPr>
            <w:tcW w:w="960" w:type="dxa"/>
            <w:tcBorders>
              <w:top w:val="nil"/>
              <w:left w:val="single" w:sz="8" w:space="0" w:color="E2E2E2"/>
              <w:bottom w:val="single" w:sz="8" w:space="0" w:color="E2E2E2"/>
              <w:right w:val="single" w:sz="8" w:space="0" w:color="E2E2E2"/>
            </w:tcBorders>
            <w:shd w:val="clear" w:color="000000" w:fill="FBF6EE"/>
            <w:vAlign w:val="center"/>
            <w:hideMark/>
          </w:tcPr>
          <w:p w14:paraId="443B34EB" w14:textId="77777777" w:rsidR="00B031BA" w:rsidRPr="00B031BA" w:rsidRDefault="00B031BA" w:rsidP="00B031BA">
            <w:pPr>
              <w:rPr>
                <w:rFonts w:eastAsia="Times New Roman"/>
                <w:b/>
                <w:bCs/>
                <w:sz w:val="16"/>
                <w:szCs w:val="16"/>
              </w:rPr>
            </w:pPr>
            <w:r w:rsidRPr="00B031BA">
              <w:rPr>
                <w:rFonts w:eastAsia="Times New Roman"/>
                <w:b/>
                <w:bCs/>
                <w:sz w:val="16"/>
                <w:szCs w:val="16"/>
              </w:rPr>
              <w:t>Jordan</w:t>
            </w:r>
          </w:p>
        </w:tc>
        <w:tc>
          <w:tcPr>
            <w:tcW w:w="880" w:type="dxa"/>
            <w:tcBorders>
              <w:top w:val="nil"/>
              <w:left w:val="nil"/>
              <w:bottom w:val="single" w:sz="8" w:space="0" w:color="E2E2E2"/>
              <w:right w:val="single" w:sz="8" w:space="0" w:color="E2E2E2"/>
            </w:tcBorders>
            <w:shd w:val="clear" w:color="000000" w:fill="FBF6EE"/>
            <w:vAlign w:val="center"/>
            <w:hideMark/>
          </w:tcPr>
          <w:p w14:paraId="2E69EFBE" w14:textId="77777777" w:rsidR="00B031BA" w:rsidRPr="00B031BA" w:rsidRDefault="00B031BA" w:rsidP="00B031BA">
            <w:pPr>
              <w:jc w:val="center"/>
              <w:rPr>
                <w:rFonts w:eastAsia="Times New Roman"/>
                <w:sz w:val="16"/>
                <w:szCs w:val="16"/>
              </w:rPr>
            </w:pPr>
            <w:r w:rsidRPr="00B031BA">
              <w:rPr>
                <w:rFonts w:eastAsia="Times New Roman"/>
                <w:sz w:val="16"/>
                <w:szCs w:val="16"/>
              </w:rPr>
              <w:t>15</w:t>
            </w:r>
          </w:p>
        </w:tc>
        <w:tc>
          <w:tcPr>
            <w:tcW w:w="740" w:type="dxa"/>
            <w:tcBorders>
              <w:top w:val="nil"/>
              <w:left w:val="nil"/>
              <w:bottom w:val="single" w:sz="8" w:space="0" w:color="E2E2E2"/>
              <w:right w:val="single" w:sz="8" w:space="0" w:color="E2E2E2"/>
            </w:tcBorders>
            <w:shd w:val="clear" w:color="000000" w:fill="FBF6EE"/>
            <w:vAlign w:val="center"/>
            <w:hideMark/>
          </w:tcPr>
          <w:p w14:paraId="311F13BB" w14:textId="77777777" w:rsidR="00B031BA" w:rsidRPr="00B031BA" w:rsidRDefault="00B031BA" w:rsidP="00B031BA">
            <w:pPr>
              <w:jc w:val="center"/>
              <w:rPr>
                <w:rFonts w:eastAsia="Times New Roman"/>
                <w:sz w:val="16"/>
                <w:szCs w:val="16"/>
              </w:rPr>
            </w:pPr>
            <w:r w:rsidRPr="00B031BA">
              <w:rPr>
                <w:rFonts w:eastAsia="Times New Roman"/>
                <w:sz w:val="16"/>
                <w:szCs w:val="16"/>
              </w:rPr>
              <w:t>15</w:t>
            </w:r>
          </w:p>
        </w:tc>
        <w:tc>
          <w:tcPr>
            <w:tcW w:w="740" w:type="dxa"/>
            <w:tcBorders>
              <w:top w:val="nil"/>
              <w:left w:val="nil"/>
              <w:bottom w:val="single" w:sz="8" w:space="0" w:color="E2E2E2"/>
              <w:right w:val="single" w:sz="8" w:space="0" w:color="E2E2E2"/>
            </w:tcBorders>
            <w:shd w:val="clear" w:color="000000" w:fill="FBF6EE"/>
            <w:vAlign w:val="center"/>
            <w:hideMark/>
          </w:tcPr>
          <w:p w14:paraId="1044C042" w14:textId="77777777" w:rsidR="00B031BA" w:rsidRPr="00B031BA" w:rsidRDefault="00B031BA" w:rsidP="00B031BA">
            <w:pPr>
              <w:jc w:val="center"/>
              <w:rPr>
                <w:rFonts w:eastAsia="Times New Roman"/>
                <w:sz w:val="16"/>
                <w:szCs w:val="16"/>
              </w:rPr>
            </w:pPr>
            <w:r w:rsidRPr="00B031BA">
              <w:rPr>
                <w:rFonts w:eastAsia="Times New Roman"/>
                <w:sz w:val="16"/>
                <w:szCs w:val="16"/>
              </w:rPr>
              <w:t>22.5</w:t>
            </w:r>
          </w:p>
        </w:tc>
        <w:tc>
          <w:tcPr>
            <w:tcW w:w="900" w:type="dxa"/>
            <w:tcBorders>
              <w:top w:val="nil"/>
              <w:left w:val="nil"/>
              <w:bottom w:val="single" w:sz="8" w:space="0" w:color="E2E2E2"/>
              <w:right w:val="single" w:sz="8" w:space="0" w:color="E2E2E2"/>
            </w:tcBorders>
            <w:shd w:val="clear" w:color="000000" w:fill="FBF6EE"/>
            <w:vAlign w:val="center"/>
            <w:hideMark/>
          </w:tcPr>
          <w:p w14:paraId="389056DB" w14:textId="77777777" w:rsidR="00B031BA" w:rsidRPr="00B031BA" w:rsidRDefault="00B031BA" w:rsidP="00B031BA">
            <w:pPr>
              <w:jc w:val="center"/>
              <w:rPr>
                <w:rFonts w:eastAsia="Times New Roman"/>
                <w:sz w:val="16"/>
                <w:szCs w:val="16"/>
              </w:rPr>
            </w:pPr>
            <w:r w:rsidRPr="00B031BA">
              <w:rPr>
                <w:rFonts w:eastAsia="Times New Roman"/>
                <w:sz w:val="16"/>
                <w:szCs w:val="16"/>
              </w:rPr>
              <w:t>16.3</w:t>
            </w:r>
          </w:p>
        </w:tc>
        <w:tc>
          <w:tcPr>
            <w:tcW w:w="820" w:type="dxa"/>
            <w:tcBorders>
              <w:top w:val="nil"/>
              <w:left w:val="nil"/>
              <w:bottom w:val="single" w:sz="8" w:space="0" w:color="E2E2E2"/>
              <w:right w:val="single" w:sz="8" w:space="0" w:color="E2E2E2"/>
            </w:tcBorders>
            <w:shd w:val="clear" w:color="000000" w:fill="FBF6EE"/>
            <w:vAlign w:val="center"/>
            <w:hideMark/>
          </w:tcPr>
          <w:p w14:paraId="1460CFDA" w14:textId="77777777" w:rsidR="00B031BA" w:rsidRPr="00B031BA" w:rsidRDefault="00B031BA" w:rsidP="00B031BA">
            <w:pPr>
              <w:jc w:val="center"/>
              <w:rPr>
                <w:rFonts w:eastAsia="Times New Roman"/>
                <w:sz w:val="16"/>
                <w:szCs w:val="16"/>
              </w:rPr>
            </w:pPr>
            <w:r w:rsidRPr="00B031BA">
              <w:rPr>
                <w:rFonts w:eastAsia="Times New Roman"/>
                <w:sz w:val="16"/>
                <w:szCs w:val="16"/>
              </w:rPr>
              <w:t>9.6</w:t>
            </w:r>
          </w:p>
        </w:tc>
        <w:tc>
          <w:tcPr>
            <w:tcW w:w="760" w:type="dxa"/>
            <w:tcBorders>
              <w:top w:val="nil"/>
              <w:left w:val="nil"/>
              <w:bottom w:val="single" w:sz="8" w:space="0" w:color="E2E2E2"/>
              <w:right w:val="single" w:sz="8" w:space="0" w:color="E2E2E2"/>
            </w:tcBorders>
            <w:shd w:val="clear" w:color="000000" w:fill="FBF6EE"/>
            <w:vAlign w:val="center"/>
            <w:hideMark/>
          </w:tcPr>
          <w:p w14:paraId="61128BD3" w14:textId="77777777" w:rsidR="00B031BA" w:rsidRPr="00B031BA" w:rsidRDefault="00B031BA" w:rsidP="00B031BA">
            <w:pPr>
              <w:jc w:val="center"/>
              <w:rPr>
                <w:rFonts w:eastAsia="Times New Roman"/>
                <w:sz w:val="16"/>
                <w:szCs w:val="16"/>
              </w:rPr>
            </w:pPr>
            <w:r w:rsidRPr="00B031BA">
              <w:rPr>
                <w:rFonts w:eastAsia="Times New Roman"/>
                <w:sz w:val="16"/>
                <w:szCs w:val="16"/>
              </w:rPr>
              <w:t>35.2</w:t>
            </w:r>
          </w:p>
        </w:tc>
        <w:tc>
          <w:tcPr>
            <w:tcW w:w="880" w:type="dxa"/>
            <w:tcBorders>
              <w:top w:val="nil"/>
              <w:left w:val="nil"/>
              <w:bottom w:val="single" w:sz="8" w:space="0" w:color="E2E2E2"/>
              <w:right w:val="single" w:sz="8" w:space="0" w:color="E2E2E2"/>
            </w:tcBorders>
            <w:shd w:val="clear" w:color="000000" w:fill="FBF6EE"/>
            <w:vAlign w:val="center"/>
            <w:hideMark/>
          </w:tcPr>
          <w:p w14:paraId="1F8B0F3F" w14:textId="77777777" w:rsidR="00B031BA" w:rsidRPr="00B031BA" w:rsidRDefault="00B031BA" w:rsidP="00B031BA">
            <w:pPr>
              <w:jc w:val="center"/>
              <w:rPr>
                <w:rFonts w:eastAsia="Times New Roman"/>
                <w:sz w:val="16"/>
                <w:szCs w:val="16"/>
              </w:rPr>
            </w:pPr>
            <w:r w:rsidRPr="00B031BA">
              <w:rPr>
                <w:rFonts w:eastAsia="Times New Roman"/>
                <w:sz w:val="16"/>
                <w:szCs w:val="16"/>
              </w:rPr>
              <w:t>53.2</w:t>
            </w:r>
          </w:p>
        </w:tc>
        <w:tc>
          <w:tcPr>
            <w:tcW w:w="880" w:type="dxa"/>
            <w:tcBorders>
              <w:top w:val="nil"/>
              <w:left w:val="nil"/>
              <w:bottom w:val="single" w:sz="8" w:space="0" w:color="E2E2E2"/>
              <w:right w:val="single" w:sz="8" w:space="0" w:color="E2E2E2"/>
            </w:tcBorders>
            <w:shd w:val="clear" w:color="000000" w:fill="FBF6EE"/>
            <w:vAlign w:val="center"/>
            <w:hideMark/>
          </w:tcPr>
          <w:p w14:paraId="34D4A573" w14:textId="77777777" w:rsidR="00B031BA" w:rsidRPr="00B031BA" w:rsidRDefault="00B031BA" w:rsidP="00B031BA">
            <w:pPr>
              <w:jc w:val="center"/>
              <w:rPr>
                <w:rFonts w:eastAsia="Times New Roman"/>
                <w:sz w:val="16"/>
                <w:szCs w:val="16"/>
              </w:rPr>
            </w:pPr>
            <w:r w:rsidRPr="00B031BA">
              <w:rPr>
                <w:rFonts w:eastAsia="Times New Roman"/>
                <w:sz w:val="16"/>
                <w:szCs w:val="16"/>
              </w:rPr>
              <w:t>38.8</w:t>
            </w:r>
          </w:p>
        </w:tc>
        <w:tc>
          <w:tcPr>
            <w:tcW w:w="820" w:type="dxa"/>
            <w:tcBorders>
              <w:top w:val="nil"/>
              <w:left w:val="nil"/>
              <w:bottom w:val="single" w:sz="8" w:space="0" w:color="E2E2E2"/>
              <w:right w:val="single" w:sz="8" w:space="0" w:color="E2E2E2"/>
            </w:tcBorders>
            <w:shd w:val="clear" w:color="000000" w:fill="FBF6EE"/>
            <w:vAlign w:val="center"/>
            <w:hideMark/>
          </w:tcPr>
          <w:p w14:paraId="5CDC0424" w14:textId="77777777" w:rsidR="00B031BA" w:rsidRPr="00B031BA" w:rsidRDefault="00B031BA" w:rsidP="00B031BA">
            <w:pPr>
              <w:jc w:val="center"/>
              <w:rPr>
                <w:rFonts w:eastAsia="Times New Roman"/>
                <w:sz w:val="16"/>
                <w:szCs w:val="16"/>
              </w:rPr>
            </w:pPr>
            <w:r w:rsidRPr="00B031BA">
              <w:rPr>
                <w:rFonts w:eastAsia="Times New Roman"/>
                <w:sz w:val="16"/>
                <w:szCs w:val="16"/>
              </w:rPr>
              <w:t>17.7</w:t>
            </w:r>
          </w:p>
        </w:tc>
        <w:tc>
          <w:tcPr>
            <w:tcW w:w="880" w:type="dxa"/>
            <w:tcBorders>
              <w:top w:val="nil"/>
              <w:left w:val="nil"/>
              <w:bottom w:val="single" w:sz="8" w:space="0" w:color="E2E2E2"/>
              <w:right w:val="single" w:sz="8" w:space="0" w:color="E2E2E2"/>
            </w:tcBorders>
            <w:shd w:val="clear" w:color="000000" w:fill="FBF6EE"/>
            <w:vAlign w:val="center"/>
            <w:hideMark/>
          </w:tcPr>
          <w:p w14:paraId="7F97D156" w14:textId="77777777" w:rsidR="00B031BA" w:rsidRPr="00B031BA" w:rsidRDefault="00B031BA" w:rsidP="00B031BA">
            <w:pPr>
              <w:jc w:val="center"/>
              <w:rPr>
                <w:rFonts w:eastAsia="Times New Roman"/>
                <w:sz w:val="16"/>
                <w:szCs w:val="16"/>
              </w:rPr>
            </w:pPr>
            <w:r w:rsidRPr="00B031BA">
              <w:rPr>
                <w:rFonts w:eastAsia="Times New Roman"/>
                <w:sz w:val="16"/>
                <w:szCs w:val="16"/>
              </w:rPr>
              <w:t>45.7</w:t>
            </w:r>
          </w:p>
        </w:tc>
        <w:tc>
          <w:tcPr>
            <w:tcW w:w="840" w:type="dxa"/>
            <w:tcBorders>
              <w:top w:val="nil"/>
              <w:left w:val="nil"/>
              <w:bottom w:val="single" w:sz="8" w:space="0" w:color="E2E2E2"/>
              <w:right w:val="single" w:sz="8" w:space="0" w:color="E2E2E2"/>
            </w:tcBorders>
            <w:shd w:val="clear" w:color="000000" w:fill="FBF6EE"/>
            <w:vAlign w:val="center"/>
            <w:hideMark/>
          </w:tcPr>
          <w:p w14:paraId="7E46BE88" w14:textId="77777777" w:rsidR="00B031BA" w:rsidRPr="00B031BA" w:rsidRDefault="00B031BA" w:rsidP="00B031BA">
            <w:pPr>
              <w:jc w:val="center"/>
              <w:rPr>
                <w:rFonts w:eastAsia="Times New Roman"/>
                <w:sz w:val="16"/>
                <w:szCs w:val="16"/>
              </w:rPr>
            </w:pPr>
            <w:r w:rsidRPr="00B031BA">
              <w:rPr>
                <w:rFonts w:eastAsia="Times New Roman"/>
                <w:sz w:val="16"/>
                <w:szCs w:val="16"/>
              </w:rPr>
              <w:t>19.4</w:t>
            </w:r>
          </w:p>
        </w:tc>
      </w:tr>
      <w:tr w:rsidR="00B031BA" w:rsidRPr="00B031BA" w14:paraId="79161D6A" w14:textId="77777777" w:rsidTr="00B031BA">
        <w:trPr>
          <w:trHeight w:val="430"/>
        </w:trPr>
        <w:tc>
          <w:tcPr>
            <w:tcW w:w="960" w:type="dxa"/>
            <w:tcBorders>
              <w:top w:val="nil"/>
              <w:left w:val="single" w:sz="8" w:space="0" w:color="E2E2E2"/>
              <w:bottom w:val="single" w:sz="8" w:space="0" w:color="E2E2E2"/>
              <w:right w:val="single" w:sz="8" w:space="0" w:color="E2E2E2"/>
            </w:tcBorders>
            <w:shd w:val="clear" w:color="000000" w:fill="FBF6EE"/>
            <w:vAlign w:val="center"/>
            <w:hideMark/>
          </w:tcPr>
          <w:p w14:paraId="0EA38497" w14:textId="77777777" w:rsidR="00B031BA" w:rsidRPr="00B031BA" w:rsidRDefault="00B031BA" w:rsidP="00B031BA">
            <w:pPr>
              <w:rPr>
                <w:rFonts w:eastAsia="Times New Roman"/>
                <w:b/>
                <w:bCs/>
                <w:sz w:val="16"/>
                <w:szCs w:val="16"/>
              </w:rPr>
            </w:pPr>
            <w:r w:rsidRPr="00B031BA">
              <w:rPr>
                <w:rFonts w:eastAsia="Times New Roman"/>
                <w:b/>
                <w:bCs/>
                <w:sz w:val="16"/>
                <w:szCs w:val="16"/>
              </w:rPr>
              <w:t>United Arab Emirates</w:t>
            </w:r>
          </w:p>
        </w:tc>
        <w:tc>
          <w:tcPr>
            <w:tcW w:w="880" w:type="dxa"/>
            <w:tcBorders>
              <w:top w:val="nil"/>
              <w:left w:val="nil"/>
              <w:bottom w:val="single" w:sz="8" w:space="0" w:color="E2E2E2"/>
              <w:right w:val="single" w:sz="8" w:space="0" w:color="E2E2E2"/>
            </w:tcBorders>
            <w:shd w:val="clear" w:color="000000" w:fill="FBF6EE"/>
            <w:vAlign w:val="center"/>
            <w:hideMark/>
          </w:tcPr>
          <w:p w14:paraId="32225D50" w14:textId="77777777" w:rsidR="00B031BA" w:rsidRPr="00B031BA" w:rsidRDefault="00B031BA" w:rsidP="00B031BA">
            <w:pPr>
              <w:jc w:val="center"/>
              <w:rPr>
                <w:rFonts w:eastAsia="Times New Roman"/>
                <w:sz w:val="16"/>
                <w:szCs w:val="16"/>
              </w:rPr>
            </w:pPr>
            <w:r w:rsidRPr="00B031BA">
              <w:rPr>
                <w:rFonts w:eastAsia="Times New Roman"/>
                <w:sz w:val="16"/>
                <w:szCs w:val="16"/>
              </w:rPr>
              <w:t>12</w:t>
            </w:r>
          </w:p>
        </w:tc>
        <w:tc>
          <w:tcPr>
            <w:tcW w:w="740" w:type="dxa"/>
            <w:tcBorders>
              <w:top w:val="nil"/>
              <w:left w:val="nil"/>
              <w:bottom w:val="single" w:sz="8" w:space="0" w:color="E2E2E2"/>
              <w:right w:val="single" w:sz="8" w:space="0" w:color="E2E2E2"/>
            </w:tcBorders>
            <w:shd w:val="clear" w:color="000000" w:fill="FBF6EE"/>
            <w:vAlign w:val="center"/>
            <w:hideMark/>
          </w:tcPr>
          <w:p w14:paraId="6B629256" w14:textId="77777777" w:rsidR="00B031BA" w:rsidRPr="00B031BA" w:rsidRDefault="00B031BA" w:rsidP="00B031BA">
            <w:pPr>
              <w:jc w:val="center"/>
              <w:rPr>
                <w:rFonts w:eastAsia="Times New Roman"/>
                <w:sz w:val="16"/>
                <w:szCs w:val="16"/>
              </w:rPr>
            </w:pPr>
            <w:r w:rsidRPr="00B031BA">
              <w:rPr>
                <w:rFonts w:eastAsia="Times New Roman"/>
                <w:sz w:val="16"/>
                <w:szCs w:val="16"/>
              </w:rPr>
              <w:t>24.1</w:t>
            </w:r>
          </w:p>
        </w:tc>
        <w:tc>
          <w:tcPr>
            <w:tcW w:w="740" w:type="dxa"/>
            <w:tcBorders>
              <w:top w:val="nil"/>
              <w:left w:val="nil"/>
              <w:bottom w:val="single" w:sz="8" w:space="0" w:color="E2E2E2"/>
              <w:right w:val="single" w:sz="8" w:space="0" w:color="E2E2E2"/>
            </w:tcBorders>
            <w:shd w:val="clear" w:color="000000" w:fill="FBF6EE"/>
            <w:vAlign w:val="center"/>
            <w:hideMark/>
          </w:tcPr>
          <w:p w14:paraId="3F94EA00" w14:textId="77777777" w:rsidR="00B031BA" w:rsidRPr="00B031BA" w:rsidRDefault="00B031BA" w:rsidP="00B031BA">
            <w:pPr>
              <w:jc w:val="center"/>
              <w:rPr>
                <w:rFonts w:eastAsia="Times New Roman"/>
                <w:sz w:val="16"/>
                <w:szCs w:val="16"/>
              </w:rPr>
            </w:pPr>
            <w:r w:rsidRPr="00B031BA">
              <w:rPr>
                <w:rFonts w:eastAsia="Times New Roman"/>
                <w:sz w:val="16"/>
                <w:szCs w:val="16"/>
              </w:rPr>
              <w:t>32.2</w:t>
            </w:r>
          </w:p>
        </w:tc>
        <w:tc>
          <w:tcPr>
            <w:tcW w:w="900" w:type="dxa"/>
            <w:tcBorders>
              <w:top w:val="nil"/>
              <w:left w:val="nil"/>
              <w:bottom w:val="single" w:sz="8" w:space="0" w:color="E2E2E2"/>
              <w:right w:val="single" w:sz="8" w:space="0" w:color="E2E2E2"/>
            </w:tcBorders>
            <w:shd w:val="clear" w:color="000000" w:fill="FBF6EE"/>
            <w:vAlign w:val="center"/>
            <w:hideMark/>
          </w:tcPr>
          <w:p w14:paraId="4EE1C61C" w14:textId="77777777" w:rsidR="00B031BA" w:rsidRPr="00B031BA" w:rsidRDefault="00B031BA" w:rsidP="00B031BA">
            <w:pPr>
              <w:jc w:val="center"/>
              <w:rPr>
                <w:rFonts w:eastAsia="Times New Roman"/>
                <w:sz w:val="16"/>
                <w:szCs w:val="16"/>
              </w:rPr>
            </w:pPr>
            <w:r w:rsidRPr="00B031BA">
              <w:rPr>
                <w:rFonts w:eastAsia="Times New Roman"/>
                <w:sz w:val="16"/>
                <w:szCs w:val="16"/>
              </w:rPr>
              <w:t>30.3</w:t>
            </w:r>
          </w:p>
        </w:tc>
        <w:tc>
          <w:tcPr>
            <w:tcW w:w="820" w:type="dxa"/>
            <w:tcBorders>
              <w:top w:val="nil"/>
              <w:left w:val="nil"/>
              <w:bottom w:val="single" w:sz="8" w:space="0" w:color="E2E2E2"/>
              <w:right w:val="single" w:sz="8" w:space="0" w:color="E2E2E2"/>
            </w:tcBorders>
            <w:shd w:val="clear" w:color="000000" w:fill="FBF6EE"/>
            <w:vAlign w:val="center"/>
            <w:hideMark/>
          </w:tcPr>
          <w:p w14:paraId="4679FE48" w14:textId="77777777" w:rsidR="00B031BA" w:rsidRPr="00B031BA" w:rsidRDefault="00B031BA" w:rsidP="00B031BA">
            <w:pPr>
              <w:jc w:val="center"/>
              <w:rPr>
                <w:rFonts w:eastAsia="Times New Roman"/>
                <w:sz w:val="16"/>
                <w:szCs w:val="16"/>
              </w:rPr>
            </w:pPr>
            <w:r w:rsidRPr="00B031BA">
              <w:rPr>
                <w:rFonts w:eastAsia="Times New Roman"/>
                <w:sz w:val="16"/>
                <w:szCs w:val="16"/>
              </w:rPr>
              <w:t>37.5</w:t>
            </w:r>
          </w:p>
        </w:tc>
        <w:tc>
          <w:tcPr>
            <w:tcW w:w="760" w:type="dxa"/>
            <w:tcBorders>
              <w:top w:val="nil"/>
              <w:left w:val="nil"/>
              <w:bottom w:val="single" w:sz="8" w:space="0" w:color="E2E2E2"/>
              <w:right w:val="single" w:sz="8" w:space="0" w:color="E2E2E2"/>
            </w:tcBorders>
            <w:shd w:val="clear" w:color="000000" w:fill="FBF6EE"/>
            <w:vAlign w:val="center"/>
            <w:hideMark/>
          </w:tcPr>
          <w:p w14:paraId="511CEF64" w14:textId="77777777" w:rsidR="00B031BA" w:rsidRPr="00B031BA" w:rsidRDefault="00B031BA" w:rsidP="00B031BA">
            <w:pPr>
              <w:jc w:val="center"/>
              <w:rPr>
                <w:rFonts w:eastAsia="Times New Roman"/>
                <w:sz w:val="16"/>
                <w:szCs w:val="16"/>
              </w:rPr>
            </w:pPr>
            <w:r w:rsidRPr="00B031BA">
              <w:rPr>
                <w:rFonts w:eastAsia="Times New Roman"/>
                <w:sz w:val="16"/>
                <w:szCs w:val="16"/>
              </w:rPr>
              <w:t>100</w:t>
            </w:r>
          </w:p>
        </w:tc>
        <w:tc>
          <w:tcPr>
            <w:tcW w:w="880" w:type="dxa"/>
            <w:tcBorders>
              <w:top w:val="nil"/>
              <w:left w:val="nil"/>
              <w:bottom w:val="single" w:sz="8" w:space="0" w:color="E2E2E2"/>
              <w:right w:val="single" w:sz="8" w:space="0" w:color="E2E2E2"/>
            </w:tcBorders>
            <w:shd w:val="clear" w:color="000000" w:fill="FBF6EE"/>
            <w:vAlign w:val="center"/>
            <w:hideMark/>
          </w:tcPr>
          <w:p w14:paraId="5E18A3FF" w14:textId="77777777" w:rsidR="00B031BA" w:rsidRPr="00B031BA" w:rsidRDefault="00B031BA" w:rsidP="00B031BA">
            <w:pPr>
              <w:jc w:val="center"/>
              <w:rPr>
                <w:rFonts w:eastAsia="Times New Roman"/>
                <w:sz w:val="16"/>
                <w:szCs w:val="16"/>
              </w:rPr>
            </w:pPr>
            <w:r w:rsidRPr="00B031BA">
              <w:rPr>
                <w:rFonts w:eastAsia="Times New Roman"/>
                <w:sz w:val="16"/>
                <w:szCs w:val="16"/>
              </w:rPr>
              <w:t>84.9</w:t>
            </w:r>
          </w:p>
        </w:tc>
        <w:tc>
          <w:tcPr>
            <w:tcW w:w="880" w:type="dxa"/>
            <w:tcBorders>
              <w:top w:val="nil"/>
              <w:left w:val="nil"/>
              <w:bottom w:val="single" w:sz="8" w:space="0" w:color="E2E2E2"/>
              <w:right w:val="single" w:sz="8" w:space="0" w:color="E2E2E2"/>
            </w:tcBorders>
            <w:shd w:val="clear" w:color="000000" w:fill="FBF6EE"/>
            <w:vAlign w:val="center"/>
            <w:hideMark/>
          </w:tcPr>
          <w:p w14:paraId="72585137" w14:textId="77777777" w:rsidR="00B031BA" w:rsidRPr="00B031BA" w:rsidRDefault="00B031BA" w:rsidP="00B031BA">
            <w:pPr>
              <w:jc w:val="center"/>
              <w:rPr>
                <w:rFonts w:eastAsia="Times New Roman"/>
                <w:sz w:val="16"/>
                <w:szCs w:val="16"/>
              </w:rPr>
            </w:pPr>
            <w:r w:rsidRPr="00B031BA">
              <w:rPr>
                <w:rFonts w:eastAsia="Times New Roman"/>
                <w:sz w:val="16"/>
                <w:szCs w:val="16"/>
              </w:rPr>
              <w:t>48.2</w:t>
            </w:r>
          </w:p>
        </w:tc>
        <w:tc>
          <w:tcPr>
            <w:tcW w:w="820" w:type="dxa"/>
            <w:tcBorders>
              <w:top w:val="nil"/>
              <w:left w:val="nil"/>
              <w:bottom w:val="single" w:sz="8" w:space="0" w:color="E2E2E2"/>
              <w:right w:val="single" w:sz="8" w:space="0" w:color="E2E2E2"/>
            </w:tcBorders>
            <w:shd w:val="clear" w:color="000000" w:fill="FBF6EE"/>
            <w:vAlign w:val="center"/>
            <w:hideMark/>
          </w:tcPr>
          <w:p w14:paraId="4130942E" w14:textId="77777777" w:rsidR="00B031BA" w:rsidRPr="00B031BA" w:rsidRDefault="00B031BA" w:rsidP="00B031BA">
            <w:pPr>
              <w:jc w:val="center"/>
              <w:rPr>
                <w:rFonts w:eastAsia="Times New Roman"/>
                <w:sz w:val="16"/>
                <w:szCs w:val="16"/>
              </w:rPr>
            </w:pPr>
            <w:r w:rsidRPr="00B031BA">
              <w:rPr>
                <w:rFonts w:eastAsia="Times New Roman"/>
                <w:sz w:val="16"/>
                <w:szCs w:val="16"/>
              </w:rPr>
              <w:t>47.4</w:t>
            </w:r>
          </w:p>
        </w:tc>
        <w:tc>
          <w:tcPr>
            <w:tcW w:w="880" w:type="dxa"/>
            <w:tcBorders>
              <w:top w:val="nil"/>
              <w:left w:val="nil"/>
              <w:bottom w:val="single" w:sz="8" w:space="0" w:color="E2E2E2"/>
              <w:right w:val="single" w:sz="8" w:space="0" w:color="E2E2E2"/>
            </w:tcBorders>
            <w:shd w:val="clear" w:color="000000" w:fill="FBF6EE"/>
            <w:vAlign w:val="center"/>
            <w:hideMark/>
          </w:tcPr>
          <w:p w14:paraId="7FB18372" w14:textId="77777777" w:rsidR="00B031BA" w:rsidRPr="00B031BA" w:rsidRDefault="00B031BA" w:rsidP="00B031BA">
            <w:pPr>
              <w:jc w:val="center"/>
              <w:rPr>
                <w:rFonts w:eastAsia="Times New Roman"/>
                <w:sz w:val="16"/>
                <w:szCs w:val="16"/>
              </w:rPr>
            </w:pPr>
            <w:r w:rsidRPr="00B031BA">
              <w:rPr>
                <w:rFonts w:eastAsia="Times New Roman"/>
                <w:sz w:val="16"/>
                <w:szCs w:val="16"/>
              </w:rPr>
              <w:t>51.5</w:t>
            </w:r>
          </w:p>
        </w:tc>
        <w:tc>
          <w:tcPr>
            <w:tcW w:w="840" w:type="dxa"/>
            <w:tcBorders>
              <w:top w:val="nil"/>
              <w:left w:val="nil"/>
              <w:bottom w:val="single" w:sz="8" w:space="0" w:color="E2E2E2"/>
              <w:right w:val="single" w:sz="8" w:space="0" w:color="E2E2E2"/>
            </w:tcBorders>
            <w:shd w:val="clear" w:color="000000" w:fill="FBF6EE"/>
            <w:vAlign w:val="center"/>
            <w:hideMark/>
          </w:tcPr>
          <w:p w14:paraId="580CAB57" w14:textId="77777777" w:rsidR="00B031BA" w:rsidRPr="00B031BA" w:rsidRDefault="00B031BA" w:rsidP="00B031BA">
            <w:pPr>
              <w:jc w:val="center"/>
              <w:rPr>
                <w:rFonts w:eastAsia="Times New Roman"/>
                <w:sz w:val="16"/>
                <w:szCs w:val="16"/>
              </w:rPr>
            </w:pPr>
            <w:r w:rsidRPr="00B031BA">
              <w:rPr>
                <w:rFonts w:eastAsia="Times New Roman"/>
                <w:sz w:val="16"/>
                <w:szCs w:val="16"/>
              </w:rPr>
              <w:t>38.3</w:t>
            </w:r>
          </w:p>
        </w:tc>
      </w:tr>
      <w:tr w:rsidR="00B031BA" w:rsidRPr="00B031BA" w14:paraId="22AFE80D" w14:textId="77777777" w:rsidTr="00B031BA">
        <w:trPr>
          <w:trHeight w:val="300"/>
        </w:trPr>
        <w:tc>
          <w:tcPr>
            <w:tcW w:w="960" w:type="dxa"/>
            <w:tcBorders>
              <w:top w:val="nil"/>
              <w:left w:val="single" w:sz="8" w:space="0" w:color="E2E2E2"/>
              <w:bottom w:val="single" w:sz="8" w:space="0" w:color="E2E2E2"/>
              <w:right w:val="single" w:sz="8" w:space="0" w:color="E2E2E2"/>
            </w:tcBorders>
            <w:shd w:val="clear" w:color="000000" w:fill="FBF6EE"/>
            <w:vAlign w:val="center"/>
            <w:hideMark/>
          </w:tcPr>
          <w:p w14:paraId="60737287" w14:textId="77777777" w:rsidR="00B031BA" w:rsidRPr="00B031BA" w:rsidRDefault="00B031BA" w:rsidP="00B031BA">
            <w:pPr>
              <w:rPr>
                <w:rFonts w:eastAsia="Times New Roman"/>
                <w:b/>
                <w:bCs/>
                <w:sz w:val="16"/>
                <w:szCs w:val="16"/>
              </w:rPr>
            </w:pPr>
            <w:r w:rsidRPr="00B031BA">
              <w:rPr>
                <w:rFonts w:eastAsia="Times New Roman"/>
                <w:b/>
                <w:bCs/>
                <w:sz w:val="16"/>
                <w:szCs w:val="16"/>
              </w:rPr>
              <w:t>Lebanon</w:t>
            </w:r>
          </w:p>
        </w:tc>
        <w:tc>
          <w:tcPr>
            <w:tcW w:w="880" w:type="dxa"/>
            <w:tcBorders>
              <w:top w:val="nil"/>
              <w:left w:val="nil"/>
              <w:bottom w:val="single" w:sz="8" w:space="0" w:color="E2E2E2"/>
              <w:right w:val="single" w:sz="8" w:space="0" w:color="E2E2E2"/>
            </w:tcBorders>
            <w:shd w:val="clear" w:color="000000" w:fill="FBF6EE"/>
            <w:vAlign w:val="center"/>
            <w:hideMark/>
          </w:tcPr>
          <w:p w14:paraId="47FD8B2C" w14:textId="77777777" w:rsidR="00B031BA" w:rsidRPr="00B031BA" w:rsidRDefault="00B031BA" w:rsidP="00B031BA">
            <w:pPr>
              <w:jc w:val="center"/>
              <w:rPr>
                <w:rFonts w:eastAsia="Times New Roman"/>
                <w:sz w:val="16"/>
                <w:szCs w:val="16"/>
              </w:rPr>
            </w:pPr>
            <w:r w:rsidRPr="00B031BA">
              <w:rPr>
                <w:rFonts w:eastAsia="Times New Roman"/>
                <w:sz w:val="16"/>
                <w:szCs w:val="16"/>
              </w:rPr>
              <w:t>9</w:t>
            </w:r>
          </w:p>
        </w:tc>
        <w:tc>
          <w:tcPr>
            <w:tcW w:w="740" w:type="dxa"/>
            <w:tcBorders>
              <w:top w:val="nil"/>
              <w:left w:val="nil"/>
              <w:bottom w:val="single" w:sz="8" w:space="0" w:color="E2E2E2"/>
              <w:right w:val="single" w:sz="8" w:space="0" w:color="E2E2E2"/>
            </w:tcBorders>
            <w:shd w:val="clear" w:color="000000" w:fill="FBF6EE"/>
            <w:vAlign w:val="center"/>
            <w:hideMark/>
          </w:tcPr>
          <w:p w14:paraId="64D0E090" w14:textId="77777777" w:rsidR="00B031BA" w:rsidRPr="00B031BA" w:rsidRDefault="00B031BA" w:rsidP="00B031BA">
            <w:pPr>
              <w:jc w:val="center"/>
              <w:rPr>
                <w:rFonts w:eastAsia="Times New Roman"/>
                <w:sz w:val="16"/>
                <w:szCs w:val="16"/>
              </w:rPr>
            </w:pPr>
            <w:r w:rsidRPr="00B031BA">
              <w:rPr>
                <w:rFonts w:eastAsia="Times New Roman"/>
                <w:sz w:val="16"/>
                <w:szCs w:val="16"/>
              </w:rPr>
              <w:t>17.2</w:t>
            </w:r>
          </w:p>
        </w:tc>
        <w:tc>
          <w:tcPr>
            <w:tcW w:w="740" w:type="dxa"/>
            <w:tcBorders>
              <w:top w:val="nil"/>
              <w:left w:val="nil"/>
              <w:bottom w:val="single" w:sz="8" w:space="0" w:color="E2E2E2"/>
              <w:right w:val="single" w:sz="8" w:space="0" w:color="E2E2E2"/>
            </w:tcBorders>
            <w:shd w:val="clear" w:color="000000" w:fill="FBF6EE"/>
            <w:vAlign w:val="center"/>
            <w:hideMark/>
          </w:tcPr>
          <w:p w14:paraId="3C43DC63" w14:textId="77777777" w:rsidR="00B031BA" w:rsidRPr="00B031BA" w:rsidRDefault="00B031BA" w:rsidP="00B031BA">
            <w:pPr>
              <w:jc w:val="center"/>
              <w:rPr>
                <w:rFonts w:eastAsia="Times New Roman"/>
                <w:sz w:val="16"/>
                <w:szCs w:val="16"/>
              </w:rPr>
            </w:pPr>
            <w:r w:rsidRPr="00B031BA">
              <w:rPr>
                <w:rFonts w:eastAsia="Times New Roman"/>
                <w:sz w:val="16"/>
                <w:szCs w:val="16"/>
              </w:rPr>
              <w:t>31.4</w:t>
            </w:r>
          </w:p>
        </w:tc>
        <w:tc>
          <w:tcPr>
            <w:tcW w:w="900" w:type="dxa"/>
            <w:tcBorders>
              <w:top w:val="nil"/>
              <w:left w:val="nil"/>
              <w:bottom w:val="single" w:sz="8" w:space="0" w:color="E2E2E2"/>
              <w:right w:val="single" w:sz="8" w:space="0" w:color="E2E2E2"/>
            </w:tcBorders>
            <w:shd w:val="clear" w:color="000000" w:fill="FBF6EE"/>
            <w:vAlign w:val="center"/>
            <w:hideMark/>
          </w:tcPr>
          <w:p w14:paraId="126AA745" w14:textId="77777777" w:rsidR="00B031BA" w:rsidRPr="00B031BA" w:rsidRDefault="00B031BA" w:rsidP="00B031BA">
            <w:pPr>
              <w:jc w:val="center"/>
              <w:rPr>
                <w:rFonts w:eastAsia="Times New Roman"/>
                <w:sz w:val="16"/>
                <w:szCs w:val="16"/>
              </w:rPr>
            </w:pPr>
            <w:r w:rsidRPr="00B031BA">
              <w:rPr>
                <w:rFonts w:eastAsia="Times New Roman"/>
                <w:sz w:val="16"/>
                <w:szCs w:val="16"/>
              </w:rPr>
              <w:t>40.2</w:t>
            </w:r>
          </w:p>
        </w:tc>
        <w:tc>
          <w:tcPr>
            <w:tcW w:w="820" w:type="dxa"/>
            <w:tcBorders>
              <w:top w:val="nil"/>
              <w:left w:val="nil"/>
              <w:bottom w:val="single" w:sz="8" w:space="0" w:color="E2E2E2"/>
              <w:right w:val="single" w:sz="8" w:space="0" w:color="E2E2E2"/>
            </w:tcBorders>
            <w:shd w:val="clear" w:color="000000" w:fill="FBF6EE"/>
            <w:vAlign w:val="center"/>
            <w:hideMark/>
          </w:tcPr>
          <w:p w14:paraId="209FCBB9" w14:textId="77777777" w:rsidR="00B031BA" w:rsidRPr="00B031BA" w:rsidRDefault="00B031BA" w:rsidP="00B031BA">
            <w:pPr>
              <w:jc w:val="center"/>
              <w:rPr>
                <w:rFonts w:eastAsia="Times New Roman"/>
                <w:sz w:val="16"/>
                <w:szCs w:val="16"/>
              </w:rPr>
            </w:pPr>
            <w:r w:rsidRPr="00B031BA">
              <w:rPr>
                <w:rFonts w:eastAsia="Times New Roman"/>
                <w:sz w:val="16"/>
                <w:szCs w:val="16"/>
              </w:rPr>
              <w:t>10.3</w:t>
            </w:r>
          </w:p>
        </w:tc>
        <w:tc>
          <w:tcPr>
            <w:tcW w:w="760" w:type="dxa"/>
            <w:tcBorders>
              <w:top w:val="nil"/>
              <w:left w:val="nil"/>
              <w:bottom w:val="single" w:sz="8" w:space="0" w:color="E2E2E2"/>
              <w:right w:val="single" w:sz="8" w:space="0" w:color="E2E2E2"/>
            </w:tcBorders>
            <w:shd w:val="clear" w:color="000000" w:fill="FBF6EE"/>
            <w:vAlign w:val="center"/>
            <w:hideMark/>
          </w:tcPr>
          <w:p w14:paraId="2D5740E4" w14:textId="77777777" w:rsidR="00B031BA" w:rsidRPr="00B031BA" w:rsidRDefault="00B031BA" w:rsidP="00B031BA">
            <w:pPr>
              <w:jc w:val="center"/>
              <w:rPr>
                <w:rFonts w:eastAsia="Times New Roman"/>
                <w:sz w:val="16"/>
                <w:szCs w:val="16"/>
              </w:rPr>
            </w:pPr>
            <w:r w:rsidRPr="00B031BA">
              <w:rPr>
                <w:rFonts w:eastAsia="Times New Roman"/>
                <w:sz w:val="16"/>
                <w:szCs w:val="16"/>
              </w:rPr>
              <w:t>67.7</w:t>
            </w:r>
          </w:p>
        </w:tc>
        <w:tc>
          <w:tcPr>
            <w:tcW w:w="880" w:type="dxa"/>
            <w:tcBorders>
              <w:top w:val="nil"/>
              <w:left w:val="nil"/>
              <w:bottom w:val="single" w:sz="8" w:space="0" w:color="E2E2E2"/>
              <w:right w:val="single" w:sz="8" w:space="0" w:color="E2E2E2"/>
            </w:tcBorders>
            <w:shd w:val="clear" w:color="000000" w:fill="FBF6EE"/>
            <w:vAlign w:val="center"/>
            <w:hideMark/>
          </w:tcPr>
          <w:p w14:paraId="076125A7" w14:textId="77777777" w:rsidR="00B031BA" w:rsidRPr="00B031BA" w:rsidRDefault="00B031BA" w:rsidP="00B031BA">
            <w:pPr>
              <w:jc w:val="center"/>
              <w:rPr>
                <w:rFonts w:eastAsia="Times New Roman"/>
                <w:sz w:val="16"/>
                <w:szCs w:val="16"/>
              </w:rPr>
            </w:pPr>
            <w:r w:rsidRPr="00B031BA">
              <w:rPr>
                <w:rFonts w:eastAsia="Times New Roman"/>
                <w:sz w:val="16"/>
                <w:szCs w:val="16"/>
              </w:rPr>
              <w:t>45</w:t>
            </w:r>
          </w:p>
        </w:tc>
        <w:tc>
          <w:tcPr>
            <w:tcW w:w="880" w:type="dxa"/>
            <w:tcBorders>
              <w:top w:val="nil"/>
              <w:left w:val="nil"/>
              <w:bottom w:val="single" w:sz="8" w:space="0" w:color="E2E2E2"/>
              <w:right w:val="single" w:sz="8" w:space="0" w:color="E2E2E2"/>
            </w:tcBorders>
            <w:shd w:val="clear" w:color="000000" w:fill="FBF6EE"/>
            <w:vAlign w:val="center"/>
            <w:hideMark/>
          </w:tcPr>
          <w:p w14:paraId="34EE1B56" w14:textId="77777777" w:rsidR="00B031BA" w:rsidRPr="00B031BA" w:rsidRDefault="00B031BA" w:rsidP="00B031BA">
            <w:pPr>
              <w:jc w:val="center"/>
              <w:rPr>
                <w:rFonts w:eastAsia="Times New Roman"/>
                <w:sz w:val="16"/>
                <w:szCs w:val="16"/>
              </w:rPr>
            </w:pPr>
            <w:r w:rsidRPr="00B031BA">
              <w:rPr>
                <w:rFonts w:eastAsia="Times New Roman"/>
                <w:sz w:val="16"/>
                <w:szCs w:val="16"/>
              </w:rPr>
              <w:t>35.7</w:t>
            </w:r>
          </w:p>
        </w:tc>
        <w:tc>
          <w:tcPr>
            <w:tcW w:w="820" w:type="dxa"/>
            <w:tcBorders>
              <w:top w:val="nil"/>
              <w:left w:val="nil"/>
              <w:bottom w:val="single" w:sz="8" w:space="0" w:color="E2E2E2"/>
              <w:right w:val="single" w:sz="8" w:space="0" w:color="E2E2E2"/>
            </w:tcBorders>
            <w:shd w:val="clear" w:color="000000" w:fill="FBF6EE"/>
            <w:vAlign w:val="center"/>
            <w:hideMark/>
          </w:tcPr>
          <w:p w14:paraId="2D9B7767" w14:textId="77777777" w:rsidR="00B031BA" w:rsidRPr="00B031BA" w:rsidRDefault="00B031BA" w:rsidP="00B031BA">
            <w:pPr>
              <w:jc w:val="center"/>
              <w:rPr>
                <w:rFonts w:eastAsia="Times New Roman"/>
                <w:sz w:val="16"/>
                <w:szCs w:val="16"/>
              </w:rPr>
            </w:pPr>
            <w:r w:rsidRPr="00B031BA">
              <w:rPr>
                <w:rFonts w:eastAsia="Times New Roman"/>
                <w:sz w:val="16"/>
                <w:szCs w:val="16"/>
              </w:rPr>
              <w:t>36.2</w:t>
            </w:r>
          </w:p>
        </w:tc>
        <w:tc>
          <w:tcPr>
            <w:tcW w:w="880" w:type="dxa"/>
            <w:tcBorders>
              <w:top w:val="nil"/>
              <w:left w:val="nil"/>
              <w:bottom w:val="single" w:sz="8" w:space="0" w:color="E2E2E2"/>
              <w:right w:val="single" w:sz="8" w:space="0" w:color="E2E2E2"/>
            </w:tcBorders>
            <w:shd w:val="clear" w:color="000000" w:fill="FBF6EE"/>
            <w:vAlign w:val="center"/>
            <w:hideMark/>
          </w:tcPr>
          <w:p w14:paraId="404076FF" w14:textId="77777777" w:rsidR="00B031BA" w:rsidRPr="00B031BA" w:rsidRDefault="00B031BA" w:rsidP="00B031BA">
            <w:pPr>
              <w:jc w:val="center"/>
              <w:rPr>
                <w:rFonts w:eastAsia="Times New Roman"/>
                <w:sz w:val="16"/>
                <w:szCs w:val="16"/>
              </w:rPr>
            </w:pPr>
            <w:r w:rsidRPr="00B031BA">
              <w:rPr>
                <w:rFonts w:eastAsia="Times New Roman"/>
                <w:sz w:val="16"/>
                <w:szCs w:val="16"/>
              </w:rPr>
              <w:t>52.5</w:t>
            </w:r>
          </w:p>
        </w:tc>
        <w:tc>
          <w:tcPr>
            <w:tcW w:w="840" w:type="dxa"/>
            <w:tcBorders>
              <w:top w:val="nil"/>
              <w:left w:val="nil"/>
              <w:bottom w:val="single" w:sz="8" w:space="0" w:color="E2E2E2"/>
              <w:right w:val="single" w:sz="8" w:space="0" w:color="E2E2E2"/>
            </w:tcBorders>
            <w:shd w:val="clear" w:color="000000" w:fill="FBF6EE"/>
            <w:vAlign w:val="center"/>
            <w:hideMark/>
          </w:tcPr>
          <w:p w14:paraId="0421E08B" w14:textId="77777777" w:rsidR="00B031BA" w:rsidRPr="00B031BA" w:rsidRDefault="00B031BA" w:rsidP="00B031BA">
            <w:pPr>
              <w:jc w:val="center"/>
              <w:rPr>
                <w:rFonts w:eastAsia="Times New Roman"/>
                <w:sz w:val="16"/>
                <w:szCs w:val="16"/>
              </w:rPr>
            </w:pPr>
            <w:r w:rsidRPr="00B031BA">
              <w:rPr>
                <w:rFonts w:eastAsia="Times New Roman"/>
                <w:sz w:val="16"/>
                <w:szCs w:val="16"/>
              </w:rPr>
              <w:t>26.2</w:t>
            </w:r>
          </w:p>
        </w:tc>
      </w:tr>
      <w:tr w:rsidR="00B031BA" w:rsidRPr="00B031BA" w14:paraId="7790B104" w14:textId="77777777" w:rsidTr="00B031BA">
        <w:trPr>
          <w:trHeight w:val="300"/>
        </w:trPr>
        <w:tc>
          <w:tcPr>
            <w:tcW w:w="960" w:type="dxa"/>
            <w:tcBorders>
              <w:top w:val="nil"/>
              <w:left w:val="single" w:sz="8" w:space="0" w:color="E2E2E2"/>
              <w:bottom w:val="single" w:sz="8" w:space="0" w:color="E2E2E2"/>
              <w:right w:val="single" w:sz="8" w:space="0" w:color="E2E2E2"/>
            </w:tcBorders>
            <w:vAlign w:val="center"/>
            <w:hideMark/>
          </w:tcPr>
          <w:p w14:paraId="5165ED00" w14:textId="77777777" w:rsidR="00B031BA" w:rsidRPr="00B031BA" w:rsidRDefault="00B031BA" w:rsidP="00B031BA">
            <w:pPr>
              <w:rPr>
                <w:rFonts w:eastAsia="Times New Roman"/>
                <w:b/>
                <w:bCs/>
                <w:sz w:val="16"/>
                <w:szCs w:val="16"/>
              </w:rPr>
            </w:pPr>
            <w:r w:rsidRPr="00B031BA">
              <w:rPr>
                <w:rFonts w:eastAsia="Times New Roman"/>
                <w:b/>
                <w:bCs/>
                <w:sz w:val="16"/>
                <w:szCs w:val="16"/>
              </w:rPr>
              <w:t>Oman</w:t>
            </w:r>
          </w:p>
        </w:tc>
        <w:tc>
          <w:tcPr>
            <w:tcW w:w="880" w:type="dxa"/>
            <w:tcBorders>
              <w:top w:val="nil"/>
              <w:left w:val="nil"/>
              <w:bottom w:val="single" w:sz="8" w:space="0" w:color="E2E2E2"/>
              <w:right w:val="single" w:sz="8" w:space="0" w:color="E2E2E2"/>
            </w:tcBorders>
            <w:vAlign w:val="center"/>
            <w:hideMark/>
          </w:tcPr>
          <w:p w14:paraId="4E41EE45" w14:textId="77777777" w:rsidR="00B031BA" w:rsidRPr="00B031BA" w:rsidRDefault="00B031BA" w:rsidP="00B031BA">
            <w:pPr>
              <w:jc w:val="center"/>
              <w:rPr>
                <w:rFonts w:eastAsia="Times New Roman"/>
                <w:sz w:val="16"/>
                <w:szCs w:val="16"/>
              </w:rPr>
            </w:pPr>
            <w:r w:rsidRPr="00B031BA">
              <w:rPr>
                <w:rFonts w:eastAsia="Times New Roman"/>
                <w:sz w:val="16"/>
                <w:szCs w:val="16"/>
              </w:rPr>
              <w:t>7</w:t>
            </w:r>
          </w:p>
        </w:tc>
        <w:tc>
          <w:tcPr>
            <w:tcW w:w="740" w:type="dxa"/>
            <w:tcBorders>
              <w:top w:val="nil"/>
              <w:left w:val="nil"/>
              <w:bottom w:val="single" w:sz="8" w:space="0" w:color="E2E2E2"/>
              <w:right w:val="single" w:sz="8" w:space="0" w:color="E2E2E2"/>
            </w:tcBorders>
            <w:vAlign w:val="center"/>
            <w:hideMark/>
          </w:tcPr>
          <w:p w14:paraId="525E9BAA" w14:textId="77777777" w:rsidR="00B031BA" w:rsidRPr="00B031BA" w:rsidRDefault="00B031BA" w:rsidP="00B031BA">
            <w:pPr>
              <w:jc w:val="center"/>
              <w:rPr>
                <w:rFonts w:eastAsia="Times New Roman"/>
                <w:sz w:val="16"/>
                <w:szCs w:val="16"/>
              </w:rPr>
            </w:pPr>
            <w:r w:rsidRPr="00B031BA">
              <w:rPr>
                <w:rFonts w:eastAsia="Times New Roman"/>
                <w:sz w:val="16"/>
                <w:szCs w:val="16"/>
              </w:rPr>
              <w:t>12.1</w:t>
            </w:r>
          </w:p>
        </w:tc>
        <w:tc>
          <w:tcPr>
            <w:tcW w:w="740" w:type="dxa"/>
            <w:tcBorders>
              <w:top w:val="nil"/>
              <w:left w:val="nil"/>
              <w:bottom w:val="single" w:sz="8" w:space="0" w:color="E2E2E2"/>
              <w:right w:val="single" w:sz="8" w:space="0" w:color="E2E2E2"/>
            </w:tcBorders>
            <w:vAlign w:val="center"/>
            <w:hideMark/>
          </w:tcPr>
          <w:p w14:paraId="1286B75B" w14:textId="77777777" w:rsidR="00B031BA" w:rsidRPr="00B031BA" w:rsidRDefault="00B031BA" w:rsidP="00B031BA">
            <w:pPr>
              <w:jc w:val="center"/>
              <w:rPr>
                <w:rFonts w:eastAsia="Times New Roman"/>
                <w:sz w:val="16"/>
                <w:szCs w:val="16"/>
              </w:rPr>
            </w:pPr>
            <w:r w:rsidRPr="00B031BA">
              <w:rPr>
                <w:rFonts w:eastAsia="Times New Roman"/>
                <w:sz w:val="16"/>
                <w:szCs w:val="16"/>
              </w:rPr>
              <w:t>17.3</w:t>
            </w:r>
          </w:p>
        </w:tc>
        <w:tc>
          <w:tcPr>
            <w:tcW w:w="900" w:type="dxa"/>
            <w:tcBorders>
              <w:top w:val="nil"/>
              <w:left w:val="nil"/>
              <w:bottom w:val="single" w:sz="8" w:space="0" w:color="E2E2E2"/>
              <w:right w:val="single" w:sz="8" w:space="0" w:color="E2E2E2"/>
            </w:tcBorders>
            <w:vAlign w:val="center"/>
            <w:hideMark/>
          </w:tcPr>
          <w:p w14:paraId="5534D56E" w14:textId="77777777" w:rsidR="00B031BA" w:rsidRPr="00B031BA" w:rsidRDefault="00B031BA" w:rsidP="00B031BA">
            <w:pPr>
              <w:jc w:val="center"/>
              <w:rPr>
                <w:rFonts w:eastAsia="Times New Roman"/>
                <w:sz w:val="16"/>
                <w:szCs w:val="16"/>
              </w:rPr>
            </w:pPr>
            <w:r w:rsidRPr="00B031BA">
              <w:rPr>
                <w:rFonts w:eastAsia="Times New Roman"/>
                <w:sz w:val="16"/>
                <w:szCs w:val="16"/>
              </w:rPr>
              <w:t>20.5</w:t>
            </w:r>
          </w:p>
        </w:tc>
        <w:tc>
          <w:tcPr>
            <w:tcW w:w="820" w:type="dxa"/>
            <w:tcBorders>
              <w:top w:val="nil"/>
              <w:left w:val="nil"/>
              <w:bottom w:val="single" w:sz="8" w:space="0" w:color="E2E2E2"/>
              <w:right w:val="single" w:sz="8" w:space="0" w:color="E2E2E2"/>
            </w:tcBorders>
            <w:vAlign w:val="center"/>
            <w:hideMark/>
          </w:tcPr>
          <w:p w14:paraId="66ECBFB7" w14:textId="77777777" w:rsidR="00B031BA" w:rsidRPr="00B031BA" w:rsidRDefault="00B031BA" w:rsidP="00B031BA">
            <w:pPr>
              <w:jc w:val="center"/>
              <w:rPr>
                <w:rFonts w:eastAsia="Times New Roman"/>
                <w:sz w:val="16"/>
                <w:szCs w:val="16"/>
              </w:rPr>
            </w:pPr>
            <w:r w:rsidRPr="00B031BA">
              <w:rPr>
                <w:rFonts w:eastAsia="Times New Roman"/>
                <w:sz w:val="16"/>
                <w:szCs w:val="16"/>
              </w:rPr>
              <w:t>18.1</w:t>
            </w:r>
          </w:p>
        </w:tc>
        <w:tc>
          <w:tcPr>
            <w:tcW w:w="760" w:type="dxa"/>
            <w:tcBorders>
              <w:top w:val="nil"/>
              <w:left w:val="nil"/>
              <w:bottom w:val="single" w:sz="8" w:space="0" w:color="E2E2E2"/>
              <w:right w:val="single" w:sz="8" w:space="0" w:color="E2E2E2"/>
            </w:tcBorders>
            <w:vAlign w:val="center"/>
            <w:hideMark/>
          </w:tcPr>
          <w:p w14:paraId="2383B8C2" w14:textId="77777777" w:rsidR="00B031BA" w:rsidRPr="00B031BA" w:rsidRDefault="00B031BA" w:rsidP="00B031BA">
            <w:pPr>
              <w:jc w:val="center"/>
              <w:rPr>
                <w:rFonts w:eastAsia="Times New Roman"/>
                <w:sz w:val="16"/>
                <w:szCs w:val="16"/>
              </w:rPr>
            </w:pPr>
            <w:r w:rsidRPr="00B031BA">
              <w:rPr>
                <w:rFonts w:eastAsia="Times New Roman"/>
                <w:sz w:val="16"/>
                <w:szCs w:val="16"/>
              </w:rPr>
              <w:t>98.8</w:t>
            </w:r>
          </w:p>
        </w:tc>
        <w:tc>
          <w:tcPr>
            <w:tcW w:w="880" w:type="dxa"/>
            <w:tcBorders>
              <w:top w:val="nil"/>
              <w:left w:val="nil"/>
              <w:bottom w:val="single" w:sz="8" w:space="0" w:color="E2E2E2"/>
              <w:right w:val="single" w:sz="8" w:space="0" w:color="E2E2E2"/>
            </w:tcBorders>
            <w:vAlign w:val="center"/>
            <w:hideMark/>
          </w:tcPr>
          <w:p w14:paraId="0F53A5D3" w14:textId="77777777" w:rsidR="00B031BA" w:rsidRPr="00B031BA" w:rsidRDefault="00B031BA" w:rsidP="00B031BA">
            <w:pPr>
              <w:jc w:val="center"/>
              <w:rPr>
                <w:rFonts w:eastAsia="Times New Roman"/>
                <w:sz w:val="16"/>
                <w:szCs w:val="16"/>
              </w:rPr>
            </w:pPr>
            <w:r w:rsidRPr="00B031BA">
              <w:rPr>
                <w:rFonts w:eastAsia="Times New Roman"/>
                <w:sz w:val="16"/>
                <w:szCs w:val="16"/>
              </w:rPr>
              <w:t>10.2</w:t>
            </w:r>
          </w:p>
        </w:tc>
        <w:tc>
          <w:tcPr>
            <w:tcW w:w="880" w:type="dxa"/>
            <w:tcBorders>
              <w:top w:val="nil"/>
              <w:left w:val="nil"/>
              <w:bottom w:val="single" w:sz="8" w:space="0" w:color="E2E2E2"/>
              <w:right w:val="single" w:sz="8" w:space="0" w:color="E2E2E2"/>
            </w:tcBorders>
            <w:vAlign w:val="center"/>
            <w:hideMark/>
          </w:tcPr>
          <w:p w14:paraId="170D3DBC" w14:textId="77777777" w:rsidR="00B031BA" w:rsidRPr="00B031BA" w:rsidRDefault="00B031BA" w:rsidP="00B031BA">
            <w:pPr>
              <w:jc w:val="center"/>
              <w:rPr>
                <w:rFonts w:eastAsia="Times New Roman"/>
                <w:sz w:val="16"/>
                <w:szCs w:val="16"/>
              </w:rPr>
            </w:pPr>
            <w:r w:rsidRPr="00B031BA">
              <w:rPr>
                <w:rFonts w:eastAsia="Times New Roman"/>
                <w:sz w:val="16"/>
                <w:szCs w:val="16"/>
              </w:rPr>
              <w:t>32.4</w:t>
            </w:r>
          </w:p>
        </w:tc>
        <w:tc>
          <w:tcPr>
            <w:tcW w:w="820" w:type="dxa"/>
            <w:tcBorders>
              <w:top w:val="nil"/>
              <w:left w:val="nil"/>
              <w:bottom w:val="single" w:sz="8" w:space="0" w:color="E2E2E2"/>
              <w:right w:val="single" w:sz="8" w:space="0" w:color="E2E2E2"/>
            </w:tcBorders>
            <w:vAlign w:val="center"/>
            <w:hideMark/>
          </w:tcPr>
          <w:p w14:paraId="720623F8" w14:textId="77777777" w:rsidR="00B031BA" w:rsidRPr="00B031BA" w:rsidRDefault="00B031BA" w:rsidP="00B031BA">
            <w:pPr>
              <w:jc w:val="center"/>
              <w:rPr>
                <w:rFonts w:eastAsia="Times New Roman"/>
                <w:sz w:val="16"/>
                <w:szCs w:val="16"/>
              </w:rPr>
            </w:pPr>
            <w:r w:rsidRPr="00B031BA">
              <w:rPr>
                <w:rFonts w:eastAsia="Times New Roman"/>
                <w:sz w:val="16"/>
                <w:szCs w:val="16"/>
              </w:rPr>
              <w:t>17.3</w:t>
            </w:r>
          </w:p>
        </w:tc>
        <w:tc>
          <w:tcPr>
            <w:tcW w:w="880" w:type="dxa"/>
            <w:tcBorders>
              <w:top w:val="nil"/>
              <w:left w:val="nil"/>
              <w:bottom w:val="single" w:sz="8" w:space="0" w:color="E2E2E2"/>
              <w:right w:val="single" w:sz="8" w:space="0" w:color="E2E2E2"/>
            </w:tcBorders>
            <w:vAlign w:val="center"/>
            <w:hideMark/>
          </w:tcPr>
          <w:p w14:paraId="709ED6A7" w14:textId="77777777" w:rsidR="00B031BA" w:rsidRPr="00B031BA" w:rsidRDefault="00B031BA" w:rsidP="00B031BA">
            <w:pPr>
              <w:jc w:val="center"/>
              <w:rPr>
                <w:rFonts w:eastAsia="Times New Roman"/>
                <w:sz w:val="16"/>
                <w:szCs w:val="16"/>
              </w:rPr>
            </w:pPr>
            <w:r w:rsidRPr="00B031BA">
              <w:rPr>
                <w:rFonts w:eastAsia="Times New Roman"/>
                <w:sz w:val="16"/>
                <w:szCs w:val="16"/>
              </w:rPr>
              <w:t>35.6</w:t>
            </w:r>
          </w:p>
        </w:tc>
        <w:tc>
          <w:tcPr>
            <w:tcW w:w="840" w:type="dxa"/>
            <w:tcBorders>
              <w:top w:val="nil"/>
              <w:left w:val="nil"/>
              <w:bottom w:val="single" w:sz="8" w:space="0" w:color="E2E2E2"/>
              <w:right w:val="single" w:sz="8" w:space="0" w:color="E2E2E2"/>
            </w:tcBorders>
            <w:vAlign w:val="center"/>
            <w:hideMark/>
          </w:tcPr>
          <w:p w14:paraId="189DC4B9" w14:textId="77777777" w:rsidR="00B031BA" w:rsidRPr="00B031BA" w:rsidRDefault="00B031BA" w:rsidP="00B031BA">
            <w:pPr>
              <w:jc w:val="center"/>
              <w:rPr>
                <w:rFonts w:eastAsia="Times New Roman"/>
                <w:sz w:val="16"/>
                <w:szCs w:val="16"/>
              </w:rPr>
            </w:pPr>
            <w:r w:rsidRPr="00B031BA">
              <w:rPr>
                <w:rFonts w:eastAsia="Times New Roman"/>
                <w:sz w:val="16"/>
                <w:szCs w:val="16"/>
              </w:rPr>
              <w:t>20.1</w:t>
            </w:r>
          </w:p>
        </w:tc>
      </w:tr>
      <w:tr w:rsidR="00B031BA" w:rsidRPr="00B031BA" w14:paraId="6D6A33CE" w14:textId="77777777" w:rsidTr="00B031BA">
        <w:trPr>
          <w:trHeight w:val="300"/>
        </w:trPr>
        <w:tc>
          <w:tcPr>
            <w:tcW w:w="960" w:type="dxa"/>
            <w:tcBorders>
              <w:top w:val="nil"/>
              <w:left w:val="single" w:sz="8" w:space="0" w:color="E2E2E2"/>
              <w:bottom w:val="single" w:sz="8" w:space="0" w:color="E2E2E2"/>
              <w:right w:val="single" w:sz="8" w:space="0" w:color="E2E2E2"/>
            </w:tcBorders>
            <w:shd w:val="clear" w:color="000000" w:fill="FBF6EE"/>
            <w:vAlign w:val="center"/>
            <w:hideMark/>
          </w:tcPr>
          <w:p w14:paraId="04E3CF0F" w14:textId="77777777" w:rsidR="00B031BA" w:rsidRPr="00B031BA" w:rsidRDefault="00B031BA" w:rsidP="00B031BA">
            <w:pPr>
              <w:rPr>
                <w:rFonts w:eastAsia="Times New Roman"/>
                <w:b/>
                <w:bCs/>
                <w:sz w:val="16"/>
                <w:szCs w:val="16"/>
              </w:rPr>
            </w:pPr>
            <w:r w:rsidRPr="00B031BA">
              <w:rPr>
                <w:rFonts w:eastAsia="Times New Roman"/>
                <w:b/>
                <w:bCs/>
                <w:sz w:val="16"/>
                <w:szCs w:val="16"/>
              </w:rPr>
              <w:t>Iraq</w:t>
            </w:r>
          </w:p>
        </w:tc>
        <w:tc>
          <w:tcPr>
            <w:tcW w:w="880" w:type="dxa"/>
            <w:tcBorders>
              <w:top w:val="nil"/>
              <w:left w:val="nil"/>
              <w:bottom w:val="single" w:sz="8" w:space="0" w:color="E2E2E2"/>
              <w:right w:val="single" w:sz="8" w:space="0" w:color="E2E2E2"/>
            </w:tcBorders>
            <w:shd w:val="clear" w:color="000000" w:fill="FBF6EE"/>
            <w:vAlign w:val="center"/>
            <w:hideMark/>
          </w:tcPr>
          <w:p w14:paraId="328B1571" w14:textId="77777777" w:rsidR="00B031BA" w:rsidRPr="00B031BA" w:rsidRDefault="00B031BA" w:rsidP="00B031BA">
            <w:pPr>
              <w:jc w:val="center"/>
              <w:rPr>
                <w:rFonts w:eastAsia="Times New Roman"/>
                <w:sz w:val="16"/>
                <w:szCs w:val="16"/>
              </w:rPr>
            </w:pPr>
            <w:r w:rsidRPr="00B031BA">
              <w:rPr>
                <w:rFonts w:eastAsia="Times New Roman"/>
                <w:sz w:val="16"/>
                <w:szCs w:val="16"/>
              </w:rPr>
              <w:t>7</w:t>
            </w:r>
          </w:p>
        </w:tc>
        <w:tc>
          <w:tcPr>
            <w:tcW w:w="740" w:type="dxa"/>
            <w:tcBorders>
              <w:top w:val="nil"/>
              <w:left w:val="nil"/>
              <w:bottom w:val="single" w:sz="8" w:space="0" w:color="E2E2E2"/>
              <w:right w:val="single" w:sz="8" w:space="0" w:color="E2E2E2"/>
            </w:tcBorders>
            <w:shd w:val="clear" w:color="000000" w:fill="FBF6EE"/>
            <w:vAlign w:val="center"/>
            <w:hideMark/>
          </w:tcPr>
          <w:p w14:paraId="1CC26339" w14:textId="77777777" w:rsidR="00B031BA" w:rsidRPr="00B031BA" w:rsidRDefault="00B031BA" w:rsidP="00B031BA">
            <w:pPr>
              <w:jc w:val="center"/>
              <w:rPr>
                <w:rFonts w:eastAsia="Times New Roman"/>
                <w:sz w:val="16"/>
                <w:szCs w:val="16"/>
              </w:rPr>
            </w:pPr>
            <w:r w:rsidRPr="00B031BA">
              <w:rPr>
                <w:rFonts w:eastAsia="Times New Roman"/>
                <w:sz w:val="16"/>
                <w:szCs w:val="16"/>
              </w:rPr>
              <w:t>10.5</w:t>
            </w:r>
          </w:p>
        </w:tc>
        <w:tc>
          <w:tcPr>
            <w:tcW w:w="740" w:type="dxa"/>
            <w:tcBorders>
              <w:top w:val="nil"/>
              <w:left w:val="nil"/>
              <w:bottom w:val="single" w:sz="8" w:space="0" w:color="E2E2E2"/>
              <w:right w:val="single" w:sz="8" w:space="0" w:color="E2E2E2"/>
            </w:tcBorders>
            <w:shd w:val="clear" w:color="000000" w:fill="FBF6EE"/>
            <w:vAlign w:val="center"/>
            <w:hideMark/>
          </w:tcPr>
          <w:p w14:paraId="68654D02" w14:textId="77777777" w:rsidR="00B031BA" w:rsidRPr="00B031BA" w:rsidRDefault="00B031BA" w:rsidP="00B031BA">
            <w:pPr>
              <w:jc w:val="center"/>
              <w:rPr>
                <w:rFonts w:eastAsia="Times New Roman"/>
                <w:sz w:val="16"/>
                <w:szCs w:val="16"/>
              </w:rPr>
            </w:pPr>
            <w:r w:rsidRPr="00B031BA">
              <w:rPr>
                <w:rFonts w:eastAsia="Times New Roman"/>
                <w:sz w:val="16"/>
                <w:szCs w:val="16"/>
              </w:rPr>
              <w:t>17.4</w:t>
            </w:r>
          </w:p>
        </w:tc>
        <w:tc>
          <w:tcPr>
            <w:tcW w:w="900" w:type="dxa"/>
            <w:tcBorders>
              <w:top w:val="nil"/>
              <w:left w:val="nil"/>
              <w:bottom w:val="single" w:sz="8" w:space="0" w:color="E2E2E2"/>
              <w:right w:val="single" w:sz="8" w:space="0" w:color="E2E2E2"/>
            </w:tcBorders>
            <w:shd w:val="clear" w:color="000000" w:fill="FBF6EE"/>
            <w:vAlign w:val="center"/>
            <w:hideMark/>
          </w:tcPr>
          <w:p w14:paraId="114834A0" w14:textId="77777777" w:rsidR="00B031BA" w:rsidRPr="00B031BA" w:rsidRDefault="00B031BA" w:rsidP="00B031BA">
            <w:pPr>
              <w:jc w:val="center"/>
              <w:rPr>
                <w:rFonts w:eastAsia="Times New Roman"/>
                <w:sz w:val="16"/>
                <w:szCs w:val="16"/>
              </w:rPr>
            </w:pPr>
            <w:r w:rsidRPr="00B031BA">
              <w:rPr>
                <w:rFonts w:eastAsia="Times New Roman"/>
                <w:sz w:val="16"/>
                <w:szCs w:val="16"/>
              </w:rPr>
              <w:t>42.3</w:t>
            </w:r>
          </w:p>
        </w:tc>
        <w:tc>
          <w:tcPr>
            <w:tcW w:w="820" w:type="dxa"/>
            <w:tcBorders>
              <w:top w:val="nil"/>
              <w:left w:val="nil"/>
              <w:bottom w:val="single" w:sz="8" w:space="0" w:color="E2E2E2"/>
              <w:right w:val="single" w:sz="8" w:space="0" w:color="E2E2E2"/>
            </w:tcBorders>
            <w:shd w:val="clear" w:color="000000" w:fill="FBF6EE"/>
            <w:vAlign w:val="center"/>
            <w:hideMark/>
          </w:tcPr>
          <w:p w14:paraId="1A178B02" w14:textId="77777777" w:rsidR="00B031BA" w:rsidRPr="00B031BA" w:rsidRDefault="00B031BA" w:rsidP="00B031BA">
            <w:pPr>
              <w:jc w:val="center"/>
              <w:rPr>
                <w:rFonts w:eastAsia="Times New Roman"/>
                <w:sz w:val="16"/>
                <w:szCs w:val="16"/>
              </w:rPr>
            </w:pPr>
            <w:r w:rsidRPr="00B031BA">
              <w:rPr>
                <w:rFonts w:eastAsia="Times New Roman"/>
                <w:sz w:val="16"/>
                <w:szCs w:val="16"/>
              </w:rPr>
              <w:t>4</w:t>
            </w:r>
          </w:p>
        </w:tc>
        <w:tc>
          <w:tcPr>
            <w:tcW w:w="760" w:type="dxa"/>
            <w:tcBorders>
              <w:top w:val="nil"/>
              <w:left w:val="nil"/>
              <w:bottom w:val="single" w:sz="8" w:space="0" w:color="E2E2E2"/>
              <w:right w:val="single" w:sz="8" w:space="0" w:color="E2E2E2"/>
            </w:tcBorders>
            <w:shd w:val="clear" w:color="000000" w:fill="FBF6EE"/>
            <w:vAlign w:val="center"/>
            <w:hideMark/>
          </w:tcPr>
          <w:p w14:paraId="143C9E00" w14:textId="77777777" w:rsidR="00B031BA" w:rsidRPr="00B031BA" w:rsidRDefault="00B031BA" w:rsidP="00B031BA">
            <w:pPr>
              <w:jc w:val="center"/>
              <w:rPr>
                <w:rFonts w:eastAsia="Times New Roman"/>
                <w:sz w:val="16"/>
                <w:szCs w:val="16"/>
              </w:rPr>
            </w:pPr>
            <w:r w:rsidRPr="00B031BA">
              <w:rPr>
                <w:rFonts w:eastAsia="Times New Roman"/>
                <w:sz w:val="16"/>
                <w:szCs w:val="16"/>
              </w:rPr>
              <w:t>15.9</w:t>
            </w:r>
          </w:p>
        </w:tc>
        <w:tc>
          <w:tcPr>
            <w:tcW w:w="880" w:type="dxa"/>
            <w:tcBorders>
              <w:top w:val="nil"/>
              <w:left w:val="nil"/>
              <w:bottom w:val="single" w:sz="8" w:space="0" w:color="E2E2E2"/>
              <w:right w:val="single" w:sz="8" w:space="0" w:color="E2E2E2"/>
            </w:tcBorders>
            <w:shd w:val="clear" w:color="000000" w:fill="FBF6EE"/>
            <w:vAlign w:val="center"/>
            <w:hideMark/>
          </w:tcPr>
          <w:p w14:paraId="74862A68" w14:textId="77777777" w:rsidR="00B031BA" w:rsidRPr="00B031BA" w:rsidRDefault="00B031BA" w:rsidP="00B031BA">
            <w:pPr>
              <w:jc w:val="center"/>
              <w:rPr>
                <w:rFonts w:eastAsia="Times New Roman"/>
                <w:sz w:val="16"/>
                <w:szCs w:val="16"/>
              </w:rPr>
            </w:pPr>
            <w:r w:rsidRPr="00B031BA">
              <w:rPr>
                <w:rFonts w:eastAsia="Times New Roman"/>
                <w:sz w:val="16"/>
                <w:szCs w:val="16"/>
              </w:rPr>
              <w:t>2.3</w:t>
            </w:r>
          </w:p>
        </w:tc>
        <w:tc>
          <w:tcPr>
            <w:tcW w:w="880" w:type="dxa"/>
            <w:tcBorders>
              <w:top w:val="nil"/>
              <w:left w:val="nil"/>
              <w:bottom w:val="single" w:sz="8" w:space="0" w:color="E2E2E2"/>
              <w:right w:val="single" w:sz="8" w:space="0" w:color="E2E2E2"/>
            </w:tcBorders>
            <w:shd w:val="clear" w:color="000000" w:fill="FBF6EE"/>
            <w:vAlign w:val="center"/>
            <w:hideMark/>
          </w:tcPr>
          <w:p w14:paraId="5A15D1C3" w14:textId="77777777" w:rsidR="00B031BA" w:rsidRPr="00B031BA" w:rsidRDefault="00B031BA" w:rsidP="00B031BA">
            <w:pPr>
              <w:jc w:val="center"/>
              <w:rPr>
                <w:rFonts w:eastAsia="Times New Roman"/>
                <w:sz w:val="16"/>
                <w:szCs w:val="16"/>
              </w:rPr>
            </w:pPr>
            <w:r w:rsidRPr="00B031BA">
              <w:rPr>
                <w:rFonts w:eastAsia="Times New Roman"/>
                <w:sz w:val="16"/>
                <w:szCs w:val="16"/>
              </w:rPr>
              <w:t>34.6</w:t>
            </w:r>
          </w:p>
        </w:tc>
        <w:tc>
          <w:tcPr>
            <w:tcW w:w="820" w:type="dxa"/>
            <w:tcBorders>
              <w:top w:val="nil"/>
              <w:left w:val="nil"/>
              <w:bottom w:val="single" w:sz="8" w:space="0" w:color="E2E2E2"/>
              <w:right w:val="single" w:sz="8" w:space="0" w:color="E2E2E2"/>
            </w:tcBorders>
            <w:shd w:val="clear" w:color="000000" w:fill="FBF6EE"/>
            <w:vAlign w:val="center"/>
            <w:hideMark/>
          </w:tcPr>
          <w:p w14:paraId="121D1AF5" w14:textId="77777777" w:rsidR="00B031BA" w:rsidRPr="00B031BA" w:rsidRDefault="00B031BA" w:rsidP="00B031BA">
            <w:pPr>
              <w:jc w:val="center"/>
              <w:rPr>
                <w:rFonts w:eastAsia="Times New Roman"/>
                <w:sz w:val="16"/>
                <w:szCs w:val="16"/>
              </w:rPr>
            </w:pPr>
            <w:r w:rsidRPr="00B031BA">
              <w:rPr>
                <w:rFonts w:eastAsia="Times New Roman"/>
                <w:sz w:val="16"/>
                <w:szCs w:val="16"/>
              </w:rPr>
              <w:t>18.1</w:t>
            </w:r>
          </w:p>
        </w:tc>
        <w:tc>
          <w:tcPr>
            <w:tcW w:w="880" w:type="dxa"/>
            <w:tcBorders>
              <w:top w:val="nil"/>
              <w:left w:val="nil"/>
              <w:bottom w:val="single" w:sz="8" w:space="0" w:color="E2E2E2"/>
              <w:right w:val="single" w:sz="8" w:space="0" w:color="E2E2E2"/>
            </w:tcBorders>
            <w:shd w:val="clear" w:color="000000" w:fill="FBF6EE"/>
            <w:vAlign w:val="center"/>
            <w:hideMark/>
          </w:tcPr>
          <w:p w14:paraId="019FD8D0" w14:textId="77777777" w:rsidR="00B031BA" w:rsidRPr="00B031BA" w:rsidRDefault="00B031BA" w:rsidP="00B031BA">
            <w:pPr>
              <w:jc w:val="center"/>
              <w:rPr>
                <w:rFonts w:eastAsia="Times New Roman"/>
                <w:sz w:val="16"/>
                <w:szCs w:val="16"/>
              </w:rPr>
            </w:pPr>
            <w:r w:rsidRPr="00B031BA">
              <w:rPr>
                <w:rFonts w:eastAsia="Times New Roman"/>
                <w:sz w:val="16"/>
                <w:szCs w:val="16"/>
              </w:rPr>
              <w:t>27.7</w:t>
            </w:r>
          </w:p>
        </w:tc>
        <w:tc>
          <w:tcPr>
            <w:tcW w:w="840" w:type="dxa"/>
            <w:tcBorders>
              <w:top w:val="nil"/>
              <w:left w:val="nil"/>
              <w:bottom w:val="single" w:sz="8" w:space="0" w:color="E2E2E2"/>
              <w:right w:val="single" w:sz="8" w:space="0" w:color="E2E2E2"/>
            </w:tcBorders>
            <w:shd w:val="clear" w:color="000000" w:fill="FBF6EE"/>
            <w:vAlign w:val="center"/>
            <w:hideMark/>
          </w:tcPr>
          <w:p w14:paraId="6C4D52B1" w14:textId="77777777" w:rsidR="00B031BA" w:rsidRPr="00B031BA" w:rsidRDefault="00B031BA" w:rsidP="00B031BA">
            <w:pPr>
              <w:jc w:val="center"/>
              <w:rPr>
                <w:rFonts w:eastAsia="Times New Roman"/>
                <w:sz w:val="16"/>
                <w:szCs w:val="16"/>
              </w:rPr>
            </w:pPr>
            <w:r w:rsidRPr="00B031BA">
              <w:rPr>
                <w:rFonts w:eastAsia="Times New Roman"/>
                <w:sz w:val="16"/>
                <w:szCs w:val="16"/>
              </w:rPr>
              <w:t>14.1</w:t>
            </w:r>
          </w:p>
        </w:tc>
      </w:tr>
      <w:tr w:rsidR="00B031BA" w:rsidRPr="00B031BA" w14:paraId="15F378FA" w14:textId="77777777" w:rsidTr="00B031BA">
        <w:trPr>
          <w:trHeight w:val="300"/>
        </w:trPr>
        <w:tc>
          <w:tcPr>
            <w:tcW w:w="960" w:type="dxa"/>
            <w:tcBorders>
              <w:top w:val="nil"/>
              <w:left w:val="single" w:sz="8" w:space="0" w:color="E2E2E2"/>
              <w:bottom w:val="single" w:sz="8" w:space="0" w:color="E2E2E2"/>
              <w:right w:val="single" w:sz="8" w:space="0" w:color="E2E2E2"/>
            </w:tcBorders>
            <w:vAlign w:val="center"/>
            <w:hideMark/>
          </w:tcPr>
          <w:p w14:paraId="1E52539C" w14:textId="77777777" w:rsidR="00B031BA" w:rsidRPr="00B031BA" w:rsidRDefault="00B031BA" w:rsidP="00B031BA">
            <w:pPr>
              <w:rPr>
                <w:rFonts w:eastAsia="Times New Roman"/>
                <w:b/>
                <w:bCs/>
                <w:sz w:val="16"/>
                <w:szCs w:val="16"/>
              </w:rPr>
            </w:pPr>
            <w:r w:rsidRPr="00B031BA">
              <w:rPr>
                <w:rFonts w:eastAsia="Times New Roman"/>
                <w:b/>
                <w:bCs/>
                <w:sz w:val="16"/>
                <w:szCs w:val="16"/>
              </w:rPr>
              <w:t>Tunisia</w:t>
            </w:r>
          </w:p>
        </w:tc>
        <w:tc>
          <w:tcPr>
            <w:tcW w:w="880" w:type="dxa"/>
            <w:tcBorders>
              <w:top w:val="nil"/>
              <w:left w:val="nil"/>
              <w:bottom w:val="single" w:sz="8" w:space="0" w:color="E2E2E2"/>
              <w:right w:val="single" w:sz="8" w:space="0" w:color="E2E2E2"/>
            </w:tcBorders>
            <w:vAlign w:val="center"/>
            <w:hideMark/>
          </w:tcPr>
          <w:p w14:paraId="575E3F31" w14:textId="77777777" w:rsidR="00B031BA" w:rsidRPr="00B031BA" w:rsidRDefault="00B031BA" w:rsidP="00B031BA">
            <w:pPr>
              <w:jc w:val="center"/>
              <w:rPr>
                <w:rFonts w:eastAsia="Times New Roman"/>
                <w:sz w:val="16"/>
                <w:szCs w:val="16"/>
              </w:rPr>
            </w:pPr>
            <w:r w:rsidRPr="00B031BA">
              <w:rPr>
                <w:rFonts w:eastAsia="Times New Roman"/>
                <w:sz w:val="16"/>
                <w:szCs w:val="16"/>
              </w:rPr>
              <w:t>4</w:t>
            </w:r>
          </w:p>
        </w:tc>
        <w:tc>
          <w:tcPr>
            <w:tcW w:w="740" w:type="dxa"/>
            <w:tcBorders>
              <w:top w:val="nil"/>
              <w:left w:val="nil"/>
              <w:bottom w:val="single" w:sz="8" w:space="0" w:color="E2E2E2"/>
              <w:right w:val="single" w:sz="8" w:space="0" w:color="E2E2E2"/>
            </w:tcBorders>
            <w:vAlign w:val="center"/>
            <w:hideMark/>
          </w:tcPr>
          <w:p w14:paraId="55AB2B7E" w14:textId="77777777" w:rsidR="00B031BA" w:rsidRPr="00B031BA" w:rsidRDefault="00B031BA" w:rsidP="00B031BA">
            <w:pPr>
              <w:jc w:val="center"/>
              <w:rPr>
                <w:rFonts w:eastAsia="Times New Roman"/>
                <w:sz w:val="16"/>
                <w:szCs w:val="16"/>
              </w:rPr>
            </w:pPr>
            <w:r w:rsidRPr="00B031BA">
              <w:rPr>
                <w:rFonts w:eastAsia="Times New Roman"/>
                <w:sz w:val="16"/>
                <w:szCs w:val="16"/>
              </w:rPr>
              <w:t>12.3</w:t>
            </w:r>
          </w:p>
        </w:tc>
        <w:tc>
          <w:tcPr>
            <w:tcW w:w="740" w:type="dxa"/>
            <w:tcBorders>
              <w:top w:val="nil"/>
              <w:left w:val="nil"/>
              <w:bottom w:val="single" w:sz="8" w:space="0" w:color="E2E2E2"/>
              <w:right w:val="single" w:sz="8" w:space="0" w:color="E2E2E2"/>
            </w:tcBorders>
            <w:vAlign w:val="center"/>
            <w:hideMark/>
          </w:tcPr>
          <w:p w14:paraId="22B061CF" w14:textId="77777777" w:rsidR="00B031BA" w:rsidRPr="00B031BA" w:rsidRDefault="00B031BA" w:rsidP="00B031BA">
            <w:pPr>
              <w:jc w:val="center"/>
              <w:rPr>
                <w:rFonts w:eastAsia="Times New Roman"/>
                <w:sz w:val="16"/>
                <w:szCs w:val="16"/>
              </w:rPr>
            </w:pPr>
            <w:r w:rsidRPr="00B031BA">
              <w:rPr>
                <w:rFonts w:eastAsia="Times New Roman"/>
                <w:sz w:val="16"/>
                <w:szCs w:val="16"/>
              </w:rPr>
              <w:t>5.8</w:t>
            </w:r>
          </w:p>
        </w:tc>
        <w:tc>
          <w:tcPr>
            <w:tcW w:w="900" w:type="dxa"/>
            <w:tcBorders>
              <w:top w:val="nil"/>
              <w:left w:val="nil"/>
              <w:bottom w:val="single" w:sz="8" w:space="0" w:color="E2E2E2"/>
              <w:right w:val="single" w:sz="8" w:space="0" w:color="E2E2E2"/>
            </w:tcBorders>
            <w:vAlign w:val="center"/>
            <w:hideMark/>
          </w:tcPr>
          <w:p w14:paraId="63A4FE4A" w14:textId="77777777" w:rsidR="00B031BA" w:rsidRPr="00B031BA" w:rsidRDefault="00B031BA" w:rsidP="00B031BA">
            <w:pPr>
              <w:jc w:val="center"/>
              <w:rPr>
                <w:rFonts w:eastAsia="Times New Roman"/>
                <w:sz w:val="16"/>
                <w:szCs w:val="16"/>
              </w:rPr>
            </w:pPr>
            <w:r w:rsidRPr="00B031BA">
              <w:rPr>
                <w:rFonts w:eastAsia="Times New Roman"/>
                <w:sz w:val="16"/>
                <w:szCs w:val="16"/>
              </w:rPr>
              <w:t>40.3</w:t>
            </w:r>
          </w:p>
        </w:tc>
        <w:tc>
          <w:tcPr>
            <w:tcW w:w="820" w:type="dxa"/>
            <w:tcBorders>
              <w:top w:val="nil"/>
              <w:left w:val="nil"/>
              <w:bottom w:val="single" w:sz="8" w:space="0" w:color="E2E2E2"/>
              <w:right w:val="single" w:sz="8" w:space="0" w:color="E2E2E2"/>
            </w:tcBorders>
            <w:vAlign w:val="center"/>
            <w:hideMark/>
          </w:tcPr>
          <w:p w14:paraId="4BBC50A6" w14:textId="77777777" w:rsidR="00B031BA" w:rsidRPr="00B031BA" w:rsidRDefault="00B031BA" w:rsidP="00B031BA">
            <w:pPr>
              <w:jc w:val="center"/>
              <w:rPr>
                <w:rFonts w:eastAsia="Times New Roman"/>
                <w:sz w:val="16"/>
                <w:szCs w:val="16"/>
              </w:rPr>
            </w:pPr>
            <w:r w:rsidRPr="00B031BA">
              <w:rPr>
                <w:rFonts w:eastAsia="Times New Roman"/>
                <w:sz w:val="16"/>
                <w:szCs w:val="16"/>
              </w:rPr>
              <w:t>5.3</w:t>
            </w:r>
          </w:p>
        </w:tc>
        <w:tc>
          <w:tcPr>
            <w:tcW w:w="760" w:type="dxa"/>
            <w:tcBorders>
              <w:top w:val="nil"/>
              <w:left w:val="nil"/>
              <w:bottom w:val="single" w:sz="8" w:space="0" w:color="E2E2E2"/>
              <w:right w:val="single" w:sz="8" w:space="0" w:color="E2E2E2"/>
            </w:tcBorders>
            <w:vAlign w:val="center"/>
            <w:hideMark/>
          </w:tcPr>
          <w:p w14:paraId="126EBC23" w14:textId="77777777" w:rsidR="00B031BA" w:rsidRPr="00B031BA" w:rsidRDefault="00B031BA" w:rsidP="00B031BA">
            <w:pPr>
              <w:jc w:val="center"/>
              <w:rPr>
                <w:rFonts w:eastAsia="Times New Roman"/>
                <w:sz w:val="16"/>
                <w:szCs w:val="16"/>
              </w:rPr>
            </w:pPr>
            <w:r w:rsidRPr="00B031BA">
              <w:rPr>
                <w:rFonts w:eastAsia="Times New Roman"/>
                <w:sz w:val="16"/>
                <w:szCs w:val="16"/>
              </w:rPr>
              <w:t>18.1</w:t>
            </w:r>
          </w:p>
        </w:tc>
        <w:tc>
          <w:tcPr>
            <w:tcW w:w="880" w:type="dxa"/>
            <w:tcBorders>
              <w:top w:val="nil"/>
              <w:left w:val="nil"/>
              <w:bottom w:val="single" w:sz="8" w:space="0" w:color="E2E2E2"/>
              <w:right w:val="single" w:sz="8" w:space="0" w:color="E2E2E2"/>
            </w:tcBorders>
            <w:vAlign w:val="center"/>
            <w:hideMark/>
          </w:tcPr>
          <w:p w14:paraId="3D34374C" w14:textId="77777777" w:rsidR="00B031BA" w:rsidRPr="00B031BA" w:rsidRDefault="00B031BA" w:rsidP="00B031BA">
            <w:pPr>
              <w:jc w:val="center"/>
              <w:rPr>
                <w:rFonts w:eastAsia="Times New Roman"/>
                <w:sz w:val="16"/>
                <w:szCs w:val="16"/>
              </w:rPr>
            </w:pPr>
            <w:r w:rsidRPr="00B031BA">
              <w:rPr>
                <w:rFonts w:eastAsia="Times New Roman"/>
                <w:sz w:val="16"/>
                <w:szCs w:val="16"/>
              </w:rPr>
              <w:t>7</w:t>
            </w:r>
          </w:p>
        </w:tc>
        <w:tc>
          <w:tcPr>
            <w:tcW w:w="880" w:type="dxa"/>
            <w:tcBorders>
              <w:top w:val="nil"/>
              <w:left w:val="nil"/>
              <w:bottom w:val="single" w:sz="8" w:space="0" w:color="E2E2E2"/>
              <w:right w:val="single" w:sz="8" w:space="0" w:color="E2E2E2"/>
            </w:tcBorders>
            <w:vAlign w:val="center"/>
            <w:hideMark/>
          </w:tcPr>
          <w:p w14:paraId="173A3B60" w14:textId="77777777" w:rsidR="00B031BA" w:rsidRPr="00B031BA" w:rsidRDefault="00B031BA" w:rsidP="00B031BA">
            <w:pPr>
              <w:jc w:val="center"/>
              <w:rPr>
                <w:rFonts w:eastAsia="Times New Roman"/>
                <w:sz w:val="16"/>
                <w:szCs w:val="16"/>
              </w:rPr>
            </w:pPr>
            <w:r w:rsidRPr="00B031BA">
              <w:rPr>
                <w:rFonts w:eastAsia="Times New Roman"/>
                <w:sz w:val="16"/>
                <w:szCs w:val="16"/>
              </w:rPr>
              <w:t>53.4</w:t>
            </w:r>
          </w:p>
        </w:tc>
        <w:tc>
          <w:tcPr>
            <w:tcW w:w="820" w:type="dxa"/>
            <w:tcBorders>
              <w:top w:val="nil"/>
              <w:left w:val="nil"/>
              <w:bottom w:val="single" w:sz="8" w:space="0" w:color="E2E2E2"/>
              <w:right w:val="single" w:sz="8" w:space="0" w:color="E2E2E2"/>
            </w:tcBorders>
            <w:vAlign w:val="center"/>
            <w:hideMark/>
          </w:tcPr>
          <w:p w14:paraId="30048068" w14:textId="77777777" w:rsidR="00B031BA" w:rsidRPr="00B031BA" w:rsidRDefault="00B031BA" w:rsidP="00B031BA">
            <w:pPr>
              <w:jc w:val="center"/>
              <w:rPr>
                <w:rFonts w:eastAsia="Times New Roman"/>
                <w:sz w:val="16"/>
                <w:szCs w:val="16"/>
              </w:rPr>
            </w:pPr>
            <w:r w:rsidRPr="00B031BA">
              <w:rPr>
                <w:rFonts w:eastAsia="Times New Roman"/>
                <w:sz w:val="16"/>
                <w:szCs w:val="16"/>
              </w:rPr>
              <w:t>35.6</w:t>
            </w:r>
          </w:p>
        </w:tc>
        <w:tc>
          <w:tcPr>
            <w:tcW w:w="880" w:type="dxa"/>
            <w:tcBorders>
              <w:top w:val="nil"/>
              <w:left w:val="nil"/>
              <w:bottom w:val="single" w:sz="8" w:space="0" w:color="E2E2E2"/>
              <w:right w:val="single" w:sz="8" w:space="0" w:color="E2E2E2"/>
            </w:tcBorders>
            <w:vAlign w:val="center"/>
            <w:hideMark/>
          </w:tcPr>
          <w:p w14:paraId="37BEE7E7" w14:textId="77777777" w:rsidR="00B031BA" w:rsidRPr="00B031BA" w:rsidRDefault="00B031BA" w:rsidP="00B031BA">
            <w:pPr>
              <w:jc w:val="center"/>
              <w:rPr>
                <w:rFonts w:eastAsia="Times New Roman"/>
                <w:sz w:val="16"/>
                <w:szCs w:val="16"/>
              </w:rPr>
            </w:pPr>
            <w:r w:rsidRPr="00B031BA">
              <w:rPr>
                <w:rFonts w:eastAsia="Times New Roman"/>
                <w:sz w:val="16"/>
                <w:szCs w:val="16"/>
              </w:rPr>
              <w:t>50.7</w:t>
            </w:r>
          </w:p>
        </w:tc>
        <w:tc>
          <w:tcPr>
            <w:tcW w:w="840" w:type="dxa"/>
            <w:tcBorders>
              <w:top w:val="nil"/>
              <w:left w:val="nil"/>
              <w:bottom w:val="single" w:sz="8" w:space="0" w:color="E2E2E2"/>
              <w:right w:val="single" w:sz="8" w:space="0" w:color="E2E2E2"/>
            </w:tcBorders>
            <w:vAlign w:val="center"/>
            <w:hideMark/>
          </w:tcPr>
          <w:p w14:paraId="31D365C1" w14:textId="77777777" w:rsidR="00B031BA" w:rsidRPr="00B031BA" w:rsidRDefault="00B031BA" w:rsidP="00B031BA">
            <w:pPr>
              <w:jc w:val="center"/>
              <w:rPr>
                <w:rFonts w:eastAsia="Times New Roman"/>
                <w:sz w:val="16"/>
                <w:szCs w:val="16"/>
              </w:rPr>
            </w:pPr>
            <w:r w:rsidRPr="00B031BA">
              <w:rPr>
                <w:rFonts w:eastAsia="Times New Roman"/>
                <w:sz w:val="16"/>
                <w:szCs w:val="16"/>
              </w:rPr>
              <w:t>16.3</w:t>
            </w:r>
          </w:p>
        </w:tc>
      </w:tr>
      <w:tr w:rsidR="00B031BA" w:rsidRPr="00B031BA" w14:paraId="519AA2DF" w14:textId="77777777" w:rsidTr="00B031BA">
        <w:trPr>
          <w:trHeight w:val="300"/>
        </w:trPr>
        <w:tc>
          <w:tcPr>
            <w:tcW w:w="960" w:type="dxa"/>
            <w:tcBorders>
              <w:top w:val="nil"/>
              <w:left w:val="single" w:sz="8" w:space="0" w:color="E2E2E2"/>
              <w:bottom w:val="single" w:sz="8" w:space="0" w:color="E2E2E2"/>
              <w:right w:val="single" w:sz="8" w:space="0" w:color="E2E2E2"/>
            </w:tcBorders>
            <w:vAlign w:val="center"/>
            <w:hideMark/>
          </w:tcPr>
          <w:p w14:paraId="3874DCD2" w14:textId="77777777" w:rsidR="00B031BA" w:rsidRPr="00B031BA" w:rsidRDefault="00B031BA" w:rsidP="00B031BA">
            <w:pPr>
              <w:rPr>
                <w:rFonts w:eastAsia="Times New Roman"/>
                <w:b/>
                <w:bCs/>
                <w:sz w:val="16"/>
                <w:szCs w:val="16"/>
              </w:rPr>
            </w:pPr>
            <w:r w:rsidRPr="00B031BA">
              <w:rPr>
                <w:rFonts w:eastAsia="Times New Roman"/>
                <w:b/>
                <w:bCs/>
                <w:sz w:val="16"/>
                <w:szCs w:val="16"/>
              </w:rPr>
              <w:t>Bahrain</w:t>
            </w:r>
          </w:p>
        </w:tc>
        <w:tc>
          <w:tcPr>
            <w:tcW w:w="880" w:type="dxa"/>
            <w:tcBorders>
              <w:top w:val="nil"/>
              <w:left w:val="nil"/>
              <w:bottom w:val="single" w:sz="8" w:space="0" w:color="E2E2E2"/>
              <w:right w:val="single" w:sz="8" w:space="0" w:color="E2E2E2"/>
            </w:tcBorders>
            <w:vAlign w:val="center"/>
            <w:hideMark/>
          </w:tcPr>
          <w:p w14:paraId="7648417F" w14:textId="77777777" w:rsidR="00B031BA" w:rsidRPr="00B031BA" w:rsidRDefault="00B031BA" w:rsidP="00B031BA">
            <w:pPr>
              <w:jc w:val="center"/>
              <w:rPr>
                <w:rFonts w:eastAsia="Times New Roman"/>
                <w:sz w:val="16"/>
                <w:szCs w:val="16"/>
              </w:rPr>
            </w:pPr>
            <w:r w:rsidRPr="00B031BA">
              <w:rPr>
                <w:rFonts w:eastAsia="Times New Roman"/>
                <w:sz w:val="16"/>
                <w:szCs w:val="16"/>
              </w:rPr>
              <w:t>3</w:t>
            </w:r>
          </w:p>
        </w:tc>
        <w:tc>
          <w:tcPr>
            <w:tcW w:w="740" w:type="dxa"/>
            <w:tcBorders>
              <w:top w:val="nil"/>
              <w:left w:val="nil"/>
              <w:bottom w:val="single" w:sz="8" w:space="0" w:color="E2E2E2"/>
              <w:right w:val="single" w:sz="8" w:space="0" w:color="E2E2E2"/>
            </w:tcBorders>
            <w:vAlign w:val="center"/>
            <w:hideMark/>
          </w:tcPr>
          <w:p w14:paraId="4D05A3D7" w14:textId="77777777" w:rsidR="00B031BA" w:rsidRPr="00B031BA" w:rsidRDefault="00B031BA" w:rsidP="00B031BA">
            <w:pPr>
              <w:jc w:val="center"/>
              <w:rPr>
                <w:rFonts w:eastAsia="Times New Roman"/>
                <w:sz w:val="16"/>
                <w:szCs w:val="16"/>
              </w:rPr>
            </w:pPr>
            <w:r w:rsidRPr="00B031BA">
              <w:rPr>
                <w:rFonts w:eastAsia="Times New Roman"/>
                <w:sz w:val="16"/>
                <w:szCs w:val="16"/>
              </w:rPr>
              <w:t>15.8</w:t>
            </w:r>
          </w:p>
        </w:tc>
        <w:tc>
          <w:tcPr>
            <w:tcW w:w="740" w:type="dxa"/>
            <w:tcBorders>
              <w:top w:val="nil"/>
              <w:left w:val="nil"/>
              <w:bottom w:val="single" w:sz="8" w:space="0" w:color="E2E2E2"/>
              <w:right w:val="single" w:sz="8" w:space="0" w:color="E2E2E2"/>
            </w:tcBorders>
            <w:vAlign w:val="center"/>
            <w:hideMark/>
          </w:tcPr>
          <w:p w14:paraId="6C6B4EF0" w14:textId="77777777" w:rsidR="00B031BA" w:rsidRPr="00B031BA" w:rsidRDefault="00B031BA" w:rsidP="00B031BA">
            <w:pPr>
              <w:jc w:val="center"/>
              <w:rPr>
                <w:rFonts w:eastAsia="Times New Roman"/>
                <w:sz w:val="16"/>
                <w:szCs w:val="16"/>
              </w:rPr>
            </w:pPr>
            <w:r w:rsidRPr="00B031BA">
              <w:rPr>
                <w:rFonts w:eastAsia="Times New Roman"/>
                <w:sz w:val="16"/>
                <w:szCs w:val="16"/>
              </w:rPr>
              <w:t>13.4</w:t>
            </w:r>
          </w:p>
        </w:tc>
        <w:tc>
          <w:tcPr>
            <w:tcW w:w="900" w:type="dxa"/>
            <w:tcBorders>
              <w:top w:val="nil"/>
              <w:left w:val="nil"/>
              <w:bottom w:val="single" w:sz="8" w:space="0" w:color="E2E2E2"/>
              <w:right w:val="single" w:sz="8" w:space="0" w:color="E2E2E2"/>
            </w:tcBorders>
            <w:vAlign w:val="center"/>
            <w:hideMark/>
          </w:tcPr>
          <w:p w14:paraId="6BC0333D" w14:textId="77777777" w:rsidR="00B031BA" w:rsidRPr="00B031BA" w:rsidRDefault="00B031BA" w:rsidP="00B031BA">
            <w:pPr>
              <w:jc w:val="center"/>
              <w:rPr>
                <w:rFonts w:eastAsia="Times New Roman"/>
                <w:sz w:val="16"/>
                <w:szCs w:val="16"/>
              </w:rPr>
            </w:pPr>
            <w:r w:rsidRPr="00B031BA">
              <w:rPr>
                <w:rFonts w:eastAsia="Times New Roman"/>
                <w:sz w:val="16"/>
                <w:szCs w:val="16"/>
              </w:rPr>
              <w:t>31.8</w:t>
            </w:r>
          </w:p>
        </w:tc>
        <w:tc>
          <w:tcPr>
            <w:tcW w:w="820" w:type="dxa"/>
            <w:tcBorders>
              <w:top w:val="nil"/>
              <w:left w:val="nil"/>
              <w:bottom w:val="single" w:sz="8" w:space="0" w:color="E2E2E2"/>
              <w:right w:val="single" w:sz="8" w:space="0" w:color="E2E2E2"/>
            </w:tcBorders>
            <w:vAlign w:val="center"/>
            <w:hideMark/>
          </w:tcPr>
          <w:p w14:paraId="477A9449" w14:textId="77777777" w:rsidR="00B031BA" w:rsidRPr="00B031BA" w:rsidRDefault="00B031BA" w:rsidP="00B031BA">
            <w:pPr>
              <w:jc w:val="center"/>
              <w:rPr>
                <w:rFonts w:eastAsia="Times New Roman"/>
                <w:sz w:val="16"/>
                <w:szCs w:val="16"/>
              </w:rPr>
            </w:pPr>
            <w:r w:rsidRPr="00B031BA">
              <w:rPr>
                <w:rFonts w:eastAsia="Times New Roman"/>
                <w:sz w:val="16"/>
                <w:szCs w:val="16"/>
              </w:rPr>
              <w:t>8.4</w:t>
            </w:r>
          </w:p>
        </w:tc>
        <w:tc>
          <w:tcPr>
            <w:tcW w:w="760" w:type="dxa"/>
            <w:tcBorders>
              <w:top w:val="nil"/>
              <w:left w:val="nil"/>
              <w:bottom w:val="single" w:sz="8" w:space="0" w:color="E2E2E2"/>
              <w:right w:val="single" w:sz="8" w:space="0" w:color="E2E2E2"/>
            </w:tcBorders>
            <w:vAlign w:val="center"/>
            <w:hideMark/>
          </w:tcPr>
          <w:p w14:paraId="4497885D" w14:textId="77777777" w:rsidR="00B031BA" w:rsidRPr="00B031BA" w:rsidRDefault="00B031BA" w:rsidP="00B031BA">
            <w:pPr>
              <w:jc w:val="center"/>
              <w:rPr>
                <w:rFonts w:eastAsia="Times New Roman"/>
                <w:sz w:val="16"/>
                <w:szCs w:val="16"/>
              </w:rPr>
            </w:pPr>
            <w:r w:rsidRPr="00B031BA">
              <w:rPr>
                <w:rFonts w:eastAsia="Times New Roman"/>
                <w:sz w:val="16"/>
                <w:szCs w:val="16"/>
              </w:rPr>
              <w:t>95.8</w:t>
            </w:r>
          </w:p>
        </w:tc>
        <w:tc>
          <w:tcPr>
            <w:tcW w:w="880" w:type="dxa"/>
            <w:tcBorders>
              <w:top w:val="nil"/>
              <w:left w:val="nil"/>
              <w:bottom w:val="single" w:sz="8" w:space="0" w:color="E2E2E2"/>
              <w:right w:val="single" w:sz="8" w:space="0" w:color="E2E2E2"/>
            </w:tcBorders>
            <w:vAlign w:val="center"/>
            <w:hideMark/>
          </w:tcPr>
          <w:p w14:paraId="04573B72" w14:textId="77777777" w:rsidR="00B031BA" w:rsidRPr="00B031BA" w:rsidRDefault="00B031BA" w:rsidP="00B031BA">
            <w:pPr>
              <w:jc w:val="center"/>
              <w:rPr>
                <w:rFonts w:eastAsia="Times New Roman"/>
                <w:sz w:val="16"/>
                <w:szCs w:val="16"/>
              </w:rPr>
            </w:pPr>
            <w:r w:rsidRPr="00B031BA">
              <w:rPr>
                <w:rFonts w:eastAsia="Times New Roman"/>
                <w:sz w:val="16"/>
                <w:szCs w:val="16"/>
              </w:rPr>
              <w:t>47.6</w:t>
            </w:r>
          </w:p>
        </w:tc>
        <w:tc>
          <w:tcPr>
            <w:tcW w:w="880" w:type="dxa"/>
            <w:tcBorders>
              <w:top w:val="nil"/>
              <w:left w:val="nil"/>
              <w:bottom w:val="single" w:sz="8" w:space="0" w:color="E2E2E2"/>
              <w:right w:val="single" w:sz="8" w:space="0" w:color="E2E2E2"/>
            </w:tcBorders>
            <w:vAlign w:val="center"/>
            <w:hideMark/>
          </w:tcPr>
          <w:p w14:paraId="219027DB" w14:textId="77777777" w:rsidR="00B031BA" w:rsidRPr="00B031BA" w:rsidRDefault="00B031BA" w:rsidP="00B031BA">
            <w:pPr>
              <w:jc w:val="center"/>
              <w:rPr>
                <w:rFonts w:eastAsia="Times New Roman"/>
                <w:sz w:val="16"/>
                <w:szCs w:val="16"/>
              </w:rPr>
            </w:pPr>
            <w:r w:rsidRPr="00B031BA">
              <w:rPr>
                <w:rFonts w:eastAsia="Times New Roman"/>
                <w:sz w:val="16"/>
                <w:szCs w:val="16"/>
              </w:rPr>
              <w:t>21.2</w:t>
            </w:r>
          </w:p>
        </w:tc>
        <w:tc>
          <w:tcPr>
            <w:tcW w:w="820" w:type="dxa"/>
            <w:tcBorders>
              <w:top w:val="nil"/>
              <w:left w:val="nil"/>
              <w:bottom w:val="single" w:sz="8" w:space="0" w:color="E2E2E2"/>
              <w:right w:val="single" w:sz="8" w:space="0" w:color="E2E2E2"/>
            </w:tcBorders>
            <w:vAlign w:val="center"/>
            <w:hideMark/>
          </w:tcPr>
          <w:p w14:paraId="3255D32D" w14:textId="77777777" w:rsidR="00B031BA" w:rsidRPr="00B031BA" w:rsidRDefault="00B031BA" w:rsidP="00B031BA">
            <w:pPr>
              <w:jc w:val="center"/>
              <w:rPr>
                <w:rFonts w:eastAsia="Times New Roman"/>
                <w:sz w:val="16"/>
                <w:szCs w:val="16"/>
              </w:rPr>
            </w:pPr>
            <w:r w:rsidRPr="00B031BA">
              <w:rPr>
                <w:rFonts w:eastAsia="Times New Roman"/>
                <w:sz w:val="16"/>
                <w:szCs w:val="16"/>
              </w:rPr>
              <w:t>57.7</w:t>
            </w:r>
          </w:p>
        </w:tc>
        <w:tc>
          <w:tcPr>
            <w:tcW w:w="880" w:type="dxa"/>
            <w:tcBorders>
              <w:top w:val="nil"/>
              <w:left w:val="nil"/>
              <w:bottom w:val="single" w:sz="8" w:space="0" w:color="E2E2E2"/>
              <w:right w:val="single" w:sz="8" w:space="0" w:color="E2E2E2"/>
            </w:tcBorders>
            <w:vAlign w:val="center"/>
            <w:hideMark/>
          </w:tcPr>
          <w:p w14:paraId="21933E4A" w14:textId="77777777" w:rsidR="00B031BA" w:rsidRPr="00B031BA" w:rsidRDefault="00B031BA" w:rsidP="00B031BA">
            <w:pPr>
              <w:jc w:val="center"/>
              <w:rPr>
                <w:rFonts w:eastAsia="Times New Roman"/>
                <w:sz w:val="16"/>
                <w:szCs w:val="16"/>
              </w:rPr>
            </w:pPr>
            <w:r w:rsidRPr="00B031BA">
              <w:rPr>
                <w:rFonts w:eastAsia="Times New Roman"/>
                <w:sz w:val="16"/>
                <w:szCs w:val="16"/>
              </w:rPr>
              <w:t>39.2</w:t>
            </w:r>
          </w:p>
        </w:tc>
        <w:tc>
          <w:tcPr>
            <w:tcW w:w="840" w:type="dxa"/>
            <w:tcBorders>
              <w:top w:val="nil"/>
              <w:left w:val="nil"/>
              <w:bottom w:val="single" w:sz="8" w:space="0" w:color="E2E2E2"/>
              <w:right w:val="single" w:sz="8" w:space="0" w:color="E2E2E2"/>
            </w:tcBorders>
            <w:vAlign w:val="center"/>
            <w:hideMark/>
          </w:tcPr>
          <w:p w14:paraId="28C967AA" w14:textId="77777777" w:rsidR="00B031BA" w:rsidRPr="00B031BA" w:rsidRDefault="00B031BA" w:rsidP="00B031BA">
            <w:pPr>
              <w:jc w:val="center"/>
              <w:rPr>
                <w:rFonts w:eastAsia="Times New Roman"/>
                <w:sz w:val="16"/>
                <w:szCs w:val="16"/>
              </w:rPr>
            </w:pPr>
            <w:r w:rsidRPr="00B031BA">
              <w:rPr>
                <w:rFonts w:eastAsia="Times New Roman"/>
                <w:sz w:val="16"/>
                <w:szCs w:val="16"/>
              </w:rPr>
              <w:t>23.3</w:t>
            </w:r>
          </w:p>
        </w:tc>
      </w:tr>
      <w:tr w:rsidR="00B031BA" w:rsidRPr="00B031BA" w14:paraId="60BC61A0" w14:textId="77777777" w:rsidTr="00B031BA">
        <w:trPr>
          <w:trHeight w:val="300"/>
        </w:trPr>
        <w:tc>
          <w:tcPr>
            <w:tcW w:w="960" w:type="dxa"/>
            <w:tcBorders>
              <w:top w:val="nil"/>
              <w:left w:val="single" w:sz="8" w:space="0" w:color="E2E2E2"/>
              <w:bottom w:val="single" w:sz="8" w:space="0" w:color="E2E2E2"/>
              <w:right w:val="single" w:sz="8" w:space="0" w:color="E2E2E2"/>
            </w:tcBorders>
            <w:shd w:val="clear" w:color="000000" w:fill="FBF6EE"/>
            <w:vAlign w:val="center"/>
            <w:hideMark/>
          </w:tcPr>
          <w:p w14:paraId="3467351B" w14:textId="77777777" w:rsidR="00B031BA" w:rsidRPr="00B031BA" w:rsidRDefault="00B031BA" w:rsidP="00B031BA">
            <w:pPr>
              <w:rPr>
                <w:rFonts w:eastAsia="Times New Roman"/>
                <w:b/>
                <w:bCs/>
                <w:sz w:val="16"/>
                <w:szCs w:val="16"/>
              </w:rPr>
            </w:pPr>
            <w:r w:rsidRPr="00B031BA">
              <w:rPr>
                <w:rFonts w:eastAsia="Times New Roman"/>
                <w:b/>
                <w:bCs/>
                <w:sz w:val="16"/>
                <w:szCs w:val="16"/>
              </w:rPr>
              <w:t>Kuwait</w:t>
            </w:r>
          </w:p>
        </w:tc>
        <w:tc>
          <w:tcPr>
            <w:tcW w:w="880" w:type="dxa"/>
            <w:tcBorders>
              <w:top w:val="nil"/>
              <w:left w:val="nil"/>
              <w:bottom w:val="single" w:sz="8" w:space="0" w:color="E2E2E2"/>
              <w:right w:val="single" w:sz="8" w:space="0" w:color="E2E2E2"/>
            </w:tcBorders>
            <w:shd w:val="clear" w:color="000000" w:fill="FBF6EE"/>
            <w:vAlign w:val="center"/>
            <w:hideMark/>
          </w:tcPr>
          <w:p w14:paraId="766D1C74" w14:textId="77777777" w:rsidR="00B031BA" w:rsidRPr="00B031BA" w:rsidRDefault="00B031BA" w:rsidP="00B031BA">
            <w:pPr>
              <w:jc w:val="center"/>
              <w:rPr>
                <w:rFonts w:eastAsia="Times New Roman"/>
                <w:sz w:val="16"/>
                <w:szCs w:val="16"/>
              </w:rPr>
            </w:pPr>
            <w:r w:rsidRPr="00B031BA">
              <w:rPr>
                <w:rFonts w:eastAsia="Times New Roman"/>
                <w:sz w:val="16"/>
                <w:szCs w:val="16"/>
              </w:rPr>
              <w:t>3</w:t>
            </w:r>
          </w:p>
        </w:tc>
        <w:tc>
          <w:tcPr>
            <w:tcW w:w="740" w:type="dxa"/>
            <w:tcBorders>
              <w:top w:val="nil"/>
              <w:left w:val="nil"/>
              <w:bottom w:val="single" w:sz="8" w:space="0" w:color="E2E2E2"/>
              <w:right w:val="single" w:sz="8" w:space="0" w:color="E2E2E2"/>
            </w:tcBorders>
            <w:shd w:val="clear" w:color="000000" w:fill="FBF6EE"/>
            <w:vAlign w:val="center"/>
            <w:hideMark/>
          </w:tcPr>
          <w:p w14:paraId="52E99190" w14:textId="77777777" w:rsidR="00B031BA" w:rsidRPr="00B031BA" w:rsidRDefault="00B031BA" w:rsidP="00B031BA">
            <w:pPr>
              <w:jc w:val="center"/>
              <w:rPr>
                <w:rFonts w:eastAsia="Times New Roman"/>
                <w:sz w:val="16"/>
                <w:szCs w:val="16"/>
              </w:rPr>
            </w:pPr>
            <w:r w:rsidRPr="00B031BA">
              <w:rPr>
                <w:rFonts w:eastAsia="Times New Roman"/>
                <w:sz w:val="16"/>
                <w:szCs w:val="16"/>
              </w:rPr>
              <w:t>16.8</w:t>
            </w:r>
          </w:p>
        </w:tc>
        <w:tc>
          <w:tcPr>
            <w:tcW w:w="740" w:type="dxa"/>
            <w:tcBorders>
              <w:top w:val="nil"/>
              <w:left w:val="nil"/>
              <w:bottom w:val="single" w:sz="8" w:space="0" w:color="E2E2E2"/>
              <w:right w:val="single" w:sz="8" w:space="0" w:color="E2E2E2"/>
            </w:tcBorders>
            <w:shd w:val="clear" w:color="000000" w:fill="FBF6EE"/>
            <w:vAlign w:val="center"/>
            <w:hideMark/>
          </w:tcPr>
          <w:p w14:paraId="6582323A" w14:textId="77777777" w:rsidR="00B031BA" w:rsidRPr="00B031BA" w:rsidRDefault="00B031BA" w:rsidP="00B031BA">
            <w:pPr>
              <w:jc w:val="center"/>
              <w:rPr>
                <w:rFonts w:eastAsia="Times New Roman"/>
                <w:sz w:val="16"/>
                <w:szCs w:val="16"/>
              </w:rPr>
            </w:pPr>
            <w:r w:rsidRPr="00B031BA">
              <w:rPr>
                <w:rFonts w:eastAsia="Times New Roman"/>
                <w:sz w:val="16"/>
                <w:szCs w:val="16"/>
              </w:rPr>
              <w:t>16.9</w:t>
            </w:r>
          </w:p>
        </w:tc>
        <w:tc>
          <w:tcPr>
            <w:tcW w:w="900" w:type="dxa"/>
            <w:tcBorders>
              <w:top w:val="nil"/>
              <w:left w:val="nil"/>
              <w:bottom w:val="single" w:sz="8" w:space="0" w:color="E2E2E2"/>
              <w:right w:val="single" w:sz="8" w:space="0" w:color="E2E2E2"/>
            </w:tcBorders>
            <w:shd w:val="clear" w:color="000000" w:fill="FBF6EE"/>
            <w:vAlign w:val="center"/>
            <w:hideMark/>
          </w:tcPr>
          <w:p w14:paraId="4ECDD102" w14:textId="77777777" w:rsidR="00B031BA" w:rsidRPr="00B031BA" w:rsidRDefault="00B031BA" w:rsidP="00B031BA">
            <w:pPr>
              <w:jc w:val="center"/>
              <w:rPr>
                <w:rFonts w:eastAsia="Times New Roman"/>
                <w:sz w:val="16"/>
                <w:szCs w:val="16"/>
              </w:rPr>
            </w:pPr>
            <w:r w:rsidRPr="00B031BA">
              <w:rPr>
                <w:rFonts w:eastAsia="Times New Roman"/>
                <w:sz w:val="16"/>
                <w:szCs w:val="16"/>
              </w:rPr>
              <w:t>17.1</w:t>
            </w:r>
          </w:p>
        </w:tc>
        <w:tc>
          <w:tcPr>
            <w:tcW w:w="820" w:type="dxa"/>
            <w:tcBorders>
              <w:top w:val="nil"/>
              <w:left w:val="nil"/>
              <w:bottom w:val="single" w:sz="8" w:space="0" w:color="E2E2E2"/>
              <w:right w:val="single" w:sz="8" w:space="0" w:color="E2E2E2"/>
            </w:tcBorders>
            <w:shd w:val="clear" w:color="000000" w:fill="FBF6EE"/>
            <w:vAlign w:val="center"/>
            <w:hideMark/>
          </w:tcPr>
          <w:p w14:paraId="48D80FD2" w14:textId="77777777" w:rsidR="00B031BA" w:rsidRPr="00B031BA" w:rsidRDefault="00B031BA" w:rsidP="00B031BA">
            <w:pPr>
              <w:jc w:val="center"/>
              <w:rPr>
                <w:rFonts w:eastAsia="Times New Roman"/>
                <w:sz w:val="16"/>
                <w:szCs w:val="16"/>
              </w:rPr>
            </w:pPr>
            <w:r w:rsidRPr="00B031BA">
              <w:rPr>
                <w:rFonts w:eastAsia="Times New Roman"/>
                <w:sz w:val="16"/>
                <w:szCs w:val="16"/>
              </w:rPr>
              <w:t>10.2</w:t>
            </w:r>
          </w:p>
        </w:tc>
        <w:tc>
          <w:tcPr>
            <w:tcW w:w="760" w:type="dxa"/>
            <w:tcBorders>
              <w:top w:val="nil"/>
              <w:left w:val="nil"/>
              <w:bottom w:val="single" w:sz="8" w:space="0" w:color="E2E2E2"/>
              <w:right w:val="single" w:sz="8" w:space="0" w:color="E2E2E2"/>
            </w:tcBorders>
            <w:shd w:val="clear" w:color="000000" w:fill="FBF6EE"/>
            <w:vAlign w:val="center"/>
            <w:hideMark/>
          </w:tcPr>
          <w:p w14:paraId="23E3B9D1" w14:textId="77777777" w:rsidR="00B031BA" w:rsidRPr="00B031BA" w:rsidRDefault="00B031BA" w:rsidP="00B031BA">
            <w:pPr>
              <w:jc w:val="center"/>
              <w:rPr>
                <w:rFonts w:eastAsia="Times New Roman"/>
                <w:sz w:val="16"/>
                <w:szCs w:val="16"/>
              </w:rPr>
            </w:pPr>
            <w:r w:rsidRPr="00B031BA">
              <w:rPr>
                <w:rFonts w:eastAsia="Times New Roman"/>
                <w:sz w:val="16"/>
                <w:szCs w:val="16"/>
              </w:rPr>
              <w:t>72.8</w:t>
            </w:r>
          </w:p>
        </w:tc>
        <w:tc>
          <w:tcPr>
            <w:tcW w:w="880" w:type="dxa"/>
            <w:tcBorders>
              <w:top w:val="nil"/>
              <w:left w:val="nil"/>
              <w:bottom w:val="single" w:sz="8" w:space="0" w:color="E2E2E2"/>
              <w:right w:val="single" w:sz="8" w:space="0" w:color="E2E2E2"/>
            </w:tcBorders>
            <w:shd w:val="clear" w:color="000000" w:fill="FBF6EE"/>
            <w:vAlign w:val="center"/>
            <w:hideMark/>
          </w:tcPr>
          <w:p w14:paraId="725C4830" w14:textId="77777777" w:rsidR="00B031BA" w:rsidRPr="00B031BA" w:rsidRDefault="00B031BA" w:rsidP="00B031BA">
            <w:pPr>
              <w:jc w:val="center"/>
              <w:rPr>
                <w:rFonts w:eastAsia="Times New Roman"/>
                <w:sz w:val="16"/>
                <w:szCs w:val="16"/>
              </w:rPr>
            </w:pPr>
            <w:r w:rsidRPr="00B031BA">
              <w:rPr>
                <w:rFonts w:eastAsia="Times New Roman"/>
                <w:sz w:val="16"/>
                <w:szCs w:val="16"/>
              </w:rPr>
              <w:t>28.6</w:t>
            </w:r>
          </w:p>
        </w:tc>
        <w:tc>
          <w:tcPr>
            <w:tcW w:w="880" w:type="dxa"/>
            <w:tcBorders>
              <w:top w:val="nil"/>
              <w:left w:val="nil"/>
              <w:bottom w:val="single" w:sz="8" w:space="0" w:color="E2E2E2"/>
              <w:right w:val="single" w:sz="8" w:space="0" w:color="E2E2E2"/>
            </w:tcBorders>
            <w:shd w:val="clear" w:color="000000" w:fill="FBF6EE"/>
            <w:vAlign w:val="center"/>
            <w:hideMark/>
          </w:tcPr>
          <w:p w14:paraId="594A3B4B" w14:textId="77777777" w:rsidR="00B031BA" w:rsidRPr="00B031BA" w:rsidRDefault="00B031BA" w:rsidP="00B031BA">
            <w:pPr>
              <w:jc w:val="center"/>
              <w:rPr>
                <w:rFonts w:eastAsia="Times New Roman"/>
                <w:sz w:val="16"/>
                <w:szCs w:val="16"/>
              </w:rPr>
            </w:pPr>
            <w:r w:rsidRPr="00B031BA">
              <w:rPr>
                <w:rFonts w:eastAsia="Times New Roman"/>
                <w:sz w:val="16"/>
                <w:szCs w:val="16"/>
              </w:rPr>
              <w:t>55.2</w:t>
            </w:r>
          </w:p>
        </w:tc>
        <w:tc>
          <w:tcPr>
            <w:tcW w:w="820" w:type="dxa"/>
            <w:tcBorders>
              <w:top w:val="nil"/>
              <w:left w:val="nil"/>
              <w:bottom w:val="single" w:sz="8" w:space="0" w:color="E2E2E2"/>
              <w:right w:val="single" w:sz="8" w:space="0" w:color="E2E2E2"/>
            </w:tcBorders>
            <w:shd w:val="clear" w:color="000000" w:fill="FBF6EE"/>
            <w:vAlign w:val="center"/>
            <w:hideMark/>
          </w:tcPr>
          <w:p w14:paraId="0FD18EC8" w14:textId="77777777" w:rsidR="00B031BA" w:rsidRPr="00B031BA" w:rsidRDefault="00B031BA" w:rsidP="00B031BA">
            <w:pPr>
              <w:jc w:val="center"/>
              <w:rPr>
                <w:rFonts w:eastAsia="Times New Roman"/>
                <w:sz w:val="16"/>
                <w:szCs w:val="16"/>
              </w:rPr>
            </w:pPr>
            <w:r w:rsidRPr="00B031BA">
              <w:rPr>
                <w:rFonts w:eastAsia="Times New Roman"/>
                <w:sz w:val="16"/>
                <w:szCs w:val="16"/>
              </w:rPr>
              <w:t>41.3</w:t>
            </w:r>
          </w:p>
        </w:tc>
        <w:tc>
          <w:tcPr>
            <w:tcW w:w="880" w:type="dxa"/>
            <w:tcBorders>
              <w:top w:val="nil"/>
              <w:left w:val="nil"/>
              <w:bottom w:val="single" w:sz="8" w:space="0" w:color="E2E2E2"/>
              <w:right w:val="single" w:sz="8" w:space="0" w:color="E2E2E2"/>
            </w:tcBorders>
            <w:shd w:val="clear" w:color="000000" w:fill="FBF6EE"/>
            <w:vAlign w:val="center"/>
            <w:hideMark/>
          </w:tcPr>
          <w:p w14:paraId="755F3CA9" w14:textId="77777777" w:rsidR="00B031BA" w:rsidRPr="00B031BA" w:rsidRDefault="00B031BA" w:rsidP="00B031BA">
            <w:pPr>
              <w:jc w:val="center"/>
              <w:rPr>
                <w:rFonts w:eastAsia="Times New Roman"/>
                <w:sz w:val="16"/>
                <w:szCs w:val="16"/>
              </w:rPr>
            </w:pPr>
            <w:r w:rsidRPr="00B031BA">
              <w:rPr>
                <w:rFonts w:eastAsia="Times New Roman"/>
                <w:sz w:val="16"/>
                <w:szCs w:val="16"/>
              </w:rPr>
              <w:t>56.5</w:t>
            </w:r>
          </w:p>
        </w:tc>
        <w:tc>
          <w:tcPr>
            <w:tcW w:w="840" w:type="dxa"/>
            <w:tcBorders>
              <w:top w:val="nil"/>
              <w:left w:val="nil"/>
              <w:bottom w:val="single" w:sz="8" w:space="0" w:color="E2E2E2"/>
              <w:right w:val="single" w:sz="8" w:space="0" w:color="E2E2E2"/>
            </w:tcBorders>
            <w:shd w:val="clear" w:color="000000" w:fill="FBF6EE"/>
            <w:vAlign w:val="center"/>
            <w:hideMark/>
          </w:tcPr>
          <w:p w14:paraId="61A70D76" w14:textId="77777777" w:rsidR="00B031BA" w:rsidRPr="00B031BA" w:rsidRDefault="00B031BA" w:rsidP="00B031BA">
            <w:pPr>
              <w:jc w:val="center"/>
              <w:rPr>
                <w:rFonts w:eastAsia="Times New Roman"/>
                <w:sz w:val="16"/>
                <w:szCs w:val="16"/>
              </w:rPr>
            </w:pPr>
            <w:r w:rsidRPr="00B031BA">
              <w:rPr>
                <w:rFonts w:eastAsia="Times New Roman"/>
                <w:sz w:val="16"/>
                <w:szCs w:val="16"/>
              </w:rPr>
              <w:t>22.6</w:t>
            </w:r>
          </w:p>
        </w:tc>
      </w:tr>
      <w:tr w:rsidR="00B031BA" w:rsidRPr="00B031BA" w14:paraId="26E2F9C0" w14:textId="77777777" w:rsidTr="00B031BA">
        <w:trPr>
          <w:trHeight w:val="300"/>
        </w:trPr>
        <w:tc>
          <w:tcPr>
            <w:tcW w:w="960" w:type="dxa"/>
            <w:tcBorders>
              <w:top w:val="nil"/>
              <w:left w:val="single" w:sz="8" w:space="0" w:color="E2E2E2"/>
              <w:bottom w:val="single" w:sz="8" w:space="0" w:color="E2E2E2"/>
              <w:right w:val="single" w:sz="8" w:space="0" w:color="E2E2E2"/>
            </w:tcBorders>
            <w:shd w:val="clear" w:color="000000" w:fill="FBF6EE"/>
            <w:vAlign w:val="center"/>
            <w:hideMark/>
          </w:tcPr>
          <w:p w14:paraId="35FA1755" w14:textId="77777777" w:rsidR="00B031BA" w:rsidRPr="00B031BA" w:rsidRDefault="00B031BA" w:rsidP="00B031BA">
            <w:pPr>
              <w:rPr>
                <w:rFonts w:eastAsia="Times New Roman"/>
                <w:b/>
                <w:bCs/>
                <w:sz w:val="16"/>
                <w:szCs w:val="16"/>
              </w:rPr>
            </w:pPr>
            <w:r w:rsidRPr="00B031BA">
              <w:rPr>
                <w:rFonts w:eastAsia="Times New Roman"/>
                <w:b/>
                <w:bCs/>
                <w:sz w:val="16"/>
                <w:szCs w:val="16"/>
              </w:rPr>
              <w:t>Palestine</w:t>
            </w:r>
          </w:p>
        </w:tc>
        <w:tc>
          <w:tcPr>
            <w:tcW w:w="880" w:type="dxa"/>
            <w:tcBorders>
              <w:top w:val="nil"/>
              <w:left w:val="nil"/>
              <w:bottom w:val="single" w:sz="8" w:space="0" w:color="E2E2E2"/>
              <w:right w:val="single" w:sz="8" w:space="0" w:color="E2E2E2"/>
            </w:tcBorders>
            <w:shd w:val="clear" w:color="000000" w:fill="FBF6EE"/>
            <w:vAlign w:val="center"/>
            <w:hideMark/>
          </w:tcPr>
          <w:p w14:paraId="565DFA69" w14:textId="77777777" w:rsidR="00B031BA" w:rsidRPr="00B031BA" w:rsidRDefault="00B031BA" w:rsidP="00B031BA">
            <w:pPr>
              <w:jc w:val="center"/>
              <w:rPr>
                <w:rFonts w:eastAsia="Times New Roman"/>
                <w:sz w:val="16"/>
                <w:szCs w:val="16"/>
              </w:rPr>
            </w:pPr>
            <w:r w:rsidRPr="00B031BA">
              <w:rPr>
                <w:rFonts w:eastAsia="Times New Roman"/>
                <w:sz w:val="16"/>
                <w:szCs w:val="16"/>
              </w:rPr>
              <w:t>3</w:t>
            </w:r>
          </w:p>
        </w:tc>
        <w:tc>
          <w:tcPr>
            <w:tcW w:w="740" w:type="dxa"/>
            <w:tcBorders>
              <w:top w:val="nil"/>
              <w:left w:val="nil"/>
              <w:bottom w:val="single" w:sz="8" w:space="0" w:color="E2E2E2"/>
              <w:right w:val="single" w:sz="8" w:space="0" w:color="E2E2E2"/>
            </w:tcBorders>
            <w:shd w:val="clear" w:color="000000" w:fill="FBF6EE"/>
            <w:vAlign w:val="center"/>
            <w:hideMark/>
          </w:tcPr>
          <w:p w14:paraId="6E5C6283" w14:textId="77777777" w:rsidR="00B031BA" w:rsidRPr="00B031BA" w:rsidRDefault="00B031BA" w:rsidP="00B031BA">
            <w:pPr>
              <w:jc w:val="center"/>
              <w:rPr>
                <w:rFonts w:eastAsia="Times New Roman"/>
                <w:sz w:val="16"/>
                <w:szCs w:val="16"/>
              </w:rPr>
            </w:pPr>
            <w:r w:rsidRPr="00B031BA">
              <w:rPr>
                <w:rFonts w:eastAsia="Times New Roman"/>
                <w:sz w:val="16"/>
                <w:szCs w:val="16"/>
              </w:rPr>
              <w:t>9.9</w:t>
            </w:r>
          </w:p>
        </w:tc>
        <w:tc>
          <w:tcPr>
            <w:tcW w:w="740" w:type="dxa"/>
            <w:tcBorders>
              <w:top w:val="nil"/>
              <w:left w:val="nil"/>
              <w:bottom w:val="single" w:sz="8" w:space="0" w:color="E2E2E2"/>
              <w:right w:val="single" w:sz="8" w:space="0" w:color="E2E2E2"/>
            </w:tcBorders>
            <w:shd w:val="clear" w:color="000000" w:fill="FBF6EE"/>
            <w:vAlign w:val="center"/>
            <w:hideMark/>
          </w:tcPr>
          <w:p w14:paraId="693C29A8" w14:textId="77777777" w:rsidR="00B031BA" w:rsidRPr="00B031BA" w:rsidRDefault="00B031BA" w:rsidP="00B031BA">
            <w:pPr>
              <w:jc w:val="center"/>
              <w:rPr>
                <w:rFonts w:eastAsia="Times New Roman"/>
                <w:sz w:val="16"/>
                <w:szCs w:val="16"/>
              </w:rPr>
            </w:pPr>
            <w:r w:rsidRPr="00B031BA">
              <w:rPr>
                <w:rFonts w:eastAsia="Times New Roman"/>
                <w:sz w:val="16"/>
                <w:szCs w:val="16"/>
              </w:rPr>
              <w:t>17.5</w:t>
            </w:r>
          </w:p>
        </w:tc>
        <w:tc>
          <w:tcPr>
            <w:tcW w:w="900" w:type="dxa"/>
            <w:tcBorders>
              <w:top w:val="nil"/>
              <w:left w:val="nil"/>
              <w:bottom w:val="single" w:sz="8" w:space="0" w:color="E2E2E2"/>
              <w:right w:val="single" w:sz="8" w:space="0" w:color="E2E2E2"/>
            </w:tcBorders>
            <w:shd w:val="clear" w:color="000000" w:fill="FBF6EE"/>
            <w:vAlign w:val="center"/>
            <w:hideMark/>
          </w:tcPr>
          <w:p w14:paraId="44170BCA" w14:textId="77777777" w:rsidR="00B031BA" w:rsidRPr="00B031BA" w:rsidRDefault="00B031BA" w:rsidP="00B031BA">
            <w:pPr>
              <w:jc w:val="center"/>
              <w:rPr>
                <w:rFonts w:eastAsia="Times New Roman"/>
                <w:sz w:val="16"/>
                <w:szCs w:val="16"/>
              </w:rPr>
            </w:pPr>
            <w:r w:rsidRPr="00B031BA">
              <w:rPr>
                <w:rFonts w:eastAsia="Times New Roman"/>
                <w:sz w:val="16"/>
                <w:szCs w:val="16"/>
              </w:rPr>
              <w:t>20.5</w:t>
            </w:r>
          </w:p>
        </w:tc>
        <w:tc>
          <w:tcPr>
            <w:tcW w:w="820" w:type="dxa"/>
            <w:tcBorders>
              <w:top w:val="nil"/>
              <w:left w:val="nil"/>
              <w:bottom w:val="single" w:sz="8" w:space="0" w:color="E2E2E2"/>
              <w:right w:val="single" w:sz="8" w:space="0" w:color="E2E2E2"/>
            </w:tcBorders>
            <w:shd w:val="clear" w:color="000000" w:fill="FBF6EE"/>
            <w:vAlign w:val="center"/>
            <w:hideMark/>
          </w:tcPr>
          <w:p w14:paraId="432C2497" w14:textId="77777777" w:rsidR="00B031BA" w:rsidRPr="00B031BA" w:rsidRDefault="00B031BA" w:rsidP="00B031BA">
            <w:pPr>
              <w:jc w:val="center"/>
              <w:rPr>
                <w:rFonts w:eastAsia="Times New Roman"/>
                <w:sz w:val="16"/>
                <w:szCs w:val="16"/>
              </w:rPr>
            </w:pPr>
            <w:r w:rsidRPr="00B031BA">
              <w:rPr>
                <w:rFonts w:eastAsia="Times New Roman"/>
                <w:sz w:val="16"/>
                <w:szCs w:val="16"/>
              </w:rPr>
              <w:t>3.5</w:t>
            </w:r>
          </w:p>
        </w:tc>
        <w:tc>
          <w:tcPr>
            <w:tcW w:w="760" w:type="dxa"/>
            <w:tcBorders>
              <w:top w:val="nil"/>
              <w:left w:val="nil"/>
              <w:bottom w:val="single" w:sz="8" w:space="0" w:color="E2E2E2"/>
              <w:right w:val="single" w:sz="8" w:space="0" w:color="E2E2E2"/>
            </w:tcBorders>
            <w:shd w:val="clear" w:color="000000" w:fill="FBF6EE"/>
            <w:vAlign w:val="center"/>
            <w:hideMark/>
          </w:tcPr>
          <w:p w14:paraId="0F849764" w14:textId="77777777" w:rsidR="00B031BA" w:rsidRPr="00B031BA" w:rsidRDefault="00B031BA" w:rsidP="00B031BA">
            <w:pPr>
              <w:jc w:val="center"/>
              <w:rPr>
                <w:rFonts w:eastAsia="Times New Roman"/>
                <w:sz w:val="16"/>
                <w:szCs w:val="16"/>
              </w:rPr>
            </w:pPr>
            <w:r w:rsidRPr="00B031BA">
              <w:rPr>
                <w:rFonts w:eastAsia="Times New Roman"/>
                <w:sz w:val="16"/>
                <w:szCs w:val="16"/>
              </w:rPr>
              <w:t>68.2</w:t>
            </w:r>
          </w:p>
        </w:tc>
        <w:tc>
          <w:tcPr>
            <w:tcW w:w="880" w:type="dxa"/>
            <w:tcBorders>
              <w:top w:val="nil"/>
              <w:left w:val="nil"/>
              <w:bottom w:val="single" w:sz="8" w:space="0" w:color="E2E2E2"/>
              <w:right w:val="single" w:sz="8" w:space="0" w:color="E2E2E2"/>
            </w:tcBorders>
            <w:shd w:val="clear" w:color="000000" w:fill="FBF6EE"/>
            <w:vAlign w:val="center"/>
            <w:hideMark/>
          </w:tcPr>
          <w:p w14:paraId="6CB08555" w14:textId="77777777" w:rsidR="00B031BA" w:rsidRPr="00B031BA" w:rsidRDefault="00B031BA" w:rsidP="00B031BA">
            <w:pPr>
              <w:jc w:val="center"/>
              <w:rPr>
                <w:rFonts w:eastAsia="Times New Roman"/>
                <w:sz w:val="16"/>
                <w:szCs w:val="16"/>
              </w:rPr>
            </w:pPr>
            <w:r w:rsidRPr="00B031BA">
              <w:rPr>
                <w:rFonts w:eastAsia="Times New Roman"/>
                <w:sz w:val="16"/>
                <w:szCs w:val="16"/>
              </w:rPr>
              <w:t>58.6</w:t>
            </w:r>
          </w:p>
        </w:tc>
        <w:tc>
          <w:tcPr>
            <w:tcW w:w="880" w:type="dxa"/>
            <w:tcBorders>
              <w:top w:val="nil"/>
              <w:left w:val="nil"/>
              <w:bottom w:val="single" w:sz="8" w:space="0" w:color="E2E2E2"/>
              <w:right w:val="single" w:sz="8" w:space="0" w:color="E2E2E2"/>
            </w:tcBorders>
            <w:shd w:val="clear" w:color="000000" w:fill="FBF6EE"/>
            <w:vAlign w:val="center"/>
            <w:hideMark/>
          </w:tcPr>
          <w:p w14:paraId="4AF7FBF3" w14:textId="77777777" w:rsidR="00B031BA" w:rsidRPr="00B031BA" w:rsidRDefault="00B031BA" w:rsidP="00B031BA">
            <w:pPr>
              <w:jc w:val="center"/>
              <w:rPr>
                <w:rFonts w:eastAsia="Times New Roman"/>
                <w:sz w:val="16"/>
                <w:szCs w:val="16"/>
              </w:rPr>
            </w:pPr>
            <w:r w:rsidRPr="00B031BA">
              <w:rPr>
                <w:rFonts w:eastAsia="Times New Roman"/>
                <w:sz w:val="16"/>
                <w:szCs w:val="16"/>
              </w:rPr>
              <w:t>24.2</w:t>
            </w:r>
          </w:p>
        </w:tc>
        <w:tc>
          <w:tcPr>
            <w:tcW w:w="820" w:type="dxa"/>
            <w:tcBorders>
              <w:top w:val="nil"/>
              <w:left w:val="nil"/>
              <w:bottom w:val="single" w:sz="8" w:space="0" w:color="E2E2E2"/>
              <w:right w:val="single" w:sz="8" w:space="0" w:color="E2E2E2"/>
            </w:tcBorders>
            <w:shd w:val="clear" w:color="000000" w:fill="FBF6EE"/>
            <w:vAlign w:val="center"/>
            <w:hideMark/>
          </w:tcPr>
          <w:p w14:paraId="26896CAD" w14:textId="77777777" w:rsidR="00B031BA" w:rsidRPr="00B031BA" w:rsidRDefault="00B031BA" w:rsidP="00B031BA">
            <w:pPr>
              <w:jc w:val="center"/>
              <w:rPr>
                <w:rFonts w:eastAsia="Times New Roman"/>
                <w:sz w:val="16"/>
                <w:szCs w:val="16"/>
              </w:rPr>
            </w:pPr>
            <w:r w:rsidRPr="00B031BA">
              <w:rPr>
                <w:rFonts w:eastAsia="Times New Roman"/>
                <w:sz w:val="16"/>
                <w:szCs w:val="16"/>
              </w:rPr>
              <w:t>14.4</w:t>
            </w:r>
          </w:p>
        </w:tc>
        <w:tc>
          <w:tcPr>
            <w:tcW w:w="880" w:type="dxa"/>
            <w:tcBorders>
              <w:top w:val="nil"/>
              <w:left w:val="nil"/>
              <w:bottom w:val="single" w:sz="8" w:space="0" w:color="E2E2E2"/>
              <w:right w:val="single" w:sz="8" w:space="0" w:color="E2E2E2"/>
            </w:tcBorders>
            <w:shd w:val="clear" w:color="000000" w:fill="FBF6EE"/>
            <w:vAlign w:val="center"/>
            <w:hideMark/>
          </w:tcPr>
          <w:p w14:paraId="011AE2B2" w14:textId="77777777" w:rsidR="00B031BA" w:rsidRPr="00B031BA" w:rsidRDefault="00B031BA" w:rsidP="00B031BA">
            <w:pPr>
              <w:jc w:val="center"/>
              <w:rPr>
                <w:rFonts w:eastAsia="Times New Roman"/>
                <w:sz w:val="16"/>
                <w:szCs w:val="16"/>
              </w:rPr>
            </w:pPr>
            <w:r w:rsidRPr="00B031BA">
              <w:rPr>
                <w:rFonts w:eastAsia="Times New Roman"/>
                <w:sz w:val="16"/>
                <w:szCs w:val="16"/>
              </w:rPr>
              <w:t>41.5</w:t>
            </w:r>
          </w:p>
        </w:tc>
        <w:tc>
          <w:tcPr>
            <w:tcW w:w="840" w:type="dxa"/>
            <w:tcBorders>
              <w:top w:val="nil"/>
              <w:left w:val="nil"/>
              <w:bottom w:val="single" w:sz="8" w:space="0" w:color="E2E2E2"/>
              <w:right w:val="single" w:sz="8" w:space="0" w:color="E2E2E2"/>
            </w:tcBorders>
            <w:shd w:val="clear" w:color="000000" w:fill="FBF6EE"/>
            <w:vAlign w:val="center"/>
            <w:hideMark/>
          </w:tcPr>
          <w:p w14:paraId="7F7782D4" w14:textId="77777777" w:rsidR="00B031BA" w:rsidRPr="00B031BA" w:rsidRDefault="00B031BA" w:rsidP="00B031BA">
            <w:pPr>
              <w:jc w:val="center"/>
              <w:rPr>
                <w:rFonts w:eastAsia="Times New Roman"/>
                <w:sz w:val="16"/>
                <w:szCs w:val="16"/>
              </w:rPr>
            </w:pPr>
            <w:r w:rsidRPr="00B031BA">
              <w:rPr>
                <w:rFonts w:eastAsia="Times New Roman"/>
                <w:sz w:val="16"/>
                <w:szCs w:val="16"/>
              </w:rPr>
              <w:t>17.1</w:t>
            </w:r>
          </w:p>
        </w:tc>
      </w:tr>
      <w:tr w:rsidR="00B031BA" w:rsidRPr="00B031BA" w14:paraId="1A71BCF4" w14:textId="77777777" w:rsidTr="00B031BA">
        <w:trPr>
          <w:trHeight w:val="300"/>
        </w:trPr>
        <w:tc>
          <w:tcPr>
            <w:tcW w:w="960" w:type="dxa"/>
            <w:tcBorders>
              <w:top w:val="nil"/>
              <w:left w:val="single" w:sz="8" w:space="0" w:color="E2E2E2"/>
              <w:bottom w:val="single" w:sz="8" w:space="0" w:color="E2E2E2"/>
              <w:right w:val="single" w:sz="8" w:space="0" w:color="E2E2E2"/>
            </w:tcBorders>
            <w:vAlign w:val="center"/>
            <w:hideMark/>
          </w:tcPr>
          <w:p w14:paraId="6C940DFE" w14:textId="77777777" w:rsidR="00B031BA" w:rsidRPr="00B031BA" w:rsidRDefault="00B031BA" w:rsidP="00B031BA">
            <w:pPr>
              <w:rPr>
                <w:rFonts w:eastAsia="Times New Roman"/>
                <w:b/>
                <w:bCs/>
                <w:sz w:val="16"/>
                <w:szCs w:val="16"/>
              </w:rPr>
            </w:pPr>
            <w:r w:rsidRPr="00B031BA">
              <w:rPr>
                <w:rFonts w:eastAsia="Times New Roman"/>
                <w:b/>
                <w:bCs/>
                <w:sz w:val="16"/>
                <w:szCs w:val="16"/>
              </w:rPr>
              <w:t>Qatar</w:t>
            </w:r>
          </w:p>
        </w:tc>
        <w:tc>
          <w:tcPr>
            <w:tcW w:w="880" w:type="dxa"/>
            <w:tcBorders>
              <w:top w:val="nil"/>
              <w:left w:val="nil"/>
              <w:bottom w:val="single" w:sz="8" w:space="0" w:color="E2E2E2"/>
              <w:right w:val="single" w:sz="8" w:space="0" w:color="E2E2E2"/>
            </w:tcBorders>
            <w:vAlign w:val="center"/>
            <w:hideMark/>
          </w:tcPr>
          <w:p w14:paraId="06E9C1E9" w14:textId="77777777" w:rsidR="00B031BA" w:rsidRPr="00B031BA" w:rsidRDefault="00B031BA" w:rsidP="00B031BA">
            <w:pPr>
              <w:jc w:val="center"/>
              <w:rPr>
                <w:rFonts w:eastAsia="Times New Roman"/>
                <w:sz w:val="16"/>
                <w:szCs w:val="16"/>
              </w:rPr>
            </w:pPr>
            <w:r w:rsidRPr="00B031BA">
              <w:rPr>
                <w:rFonts w:eastAsia="Times New Roman"/>
                <w:sz w:val="16"/>
                <w:szCs w:val="16"/>
              </w:rPr>
              <w:t>2</w:t>
            </w:r>
          </w:p>
        </w:tc>
        <w:tc>
          <w:tcPr>
            <w:tcW w:w="740" w:type="dxa"/>
            <w:tcBorders>
              <w:top w:val="nil"/>
              <w:left w:val="nil"/>
              <w:bottom w:val="single" w:sz="8" w:space="0" w:color="E2E2E2"/>
              <w:right w:val="single" w:sz="8" w:space="0" w:color="E2E2E2"/>
            </w:tcBorders>
            <w:vAlign w:val="center"/>
            <w:hideMark/>
          </w:tcPr>
          <w:p w14:paraId="50C0CC34" w14:textId="77777777" w:rsidR="00B031BA" w:rsidRPr="00B031BA" w:rsidRDefault="00B031BA" w:rsidP="00B031BA">
            <w:pPr>
              <w:jc w:val="center"/>
              <w:rPr>
                <w:rFonts w:eastAsia="Times New Roman"/>
                <w:sz w:val="16"/>
                <w:szCs w:val="16"/>
              </w:rPr>
            </w:pPr>
            <w:r w:rsidRPr="00B031BA">
              <w:rPr>
                <w:rFonts w:eastAsia="Times New Roman"/>
                <w:sz w:val="16"/>
                <w:szCs w:val="16"/>
              </w:rPr>
              <w:t>30</w:t>
            </w:r>
          </w:p>
        </w:tc>
        <w:tc>
          <w:tcPr>
            <w:tcW w:w="740" w:type="dxa"/>
            <w:tcBorders>
              <w:top w:val="nil"/>
              <w:left w:val="nil"/>
              <w:bottom w:val="single" w:sz="8" w:space="0" w:color="E2E2E2"/>
              <w:right w:val="single" w:sz="8" w:space="0" w:color="E2E2E2"/>
            </w:tcBorders>
            <w:vAlign w:val="center"/>
            <w:hideMark/>
          </w:tcPr>
          <w:p w14:paraId="0F66C873" w14:textId="77777777" w:rsidR="00B031BA" w:rsidRPr="00B031BA" w:rsidRDefault="00B031BA" w:rsidP="00B031BA">
            <w:pPr>
              <w:jc w:val="center"/>
              <w:rPr>
                <w:rFonts w:eastAsia="Times New Roman"/>
                <w:sz w:val="16"/>
                <w:szCs w:val="16"/>
              </w:rPr>
            </w:pPr>
            <w:r w:rsidRPr="00B031BA">
              <w:rPr>
                <w:rFonts w:eastAsia="Times New Roman"/>
                <w:sz w:val="16"/>
                <w:szCs w:val="16"/>
              </w:rPr>
              <w:t>27.5</w:t>
            </w:r>
          </w:p>
        </w:tc>
        <w:tc>
          <w:tcPr>
            <w:tcW w:w="900" w:type="dxa"/>
            <w:tcBorders>
              <w:top w:val="nil"/>
              <w:left w:val="nil"/>
              <w:bottom w:val="single" w:sz="8" w:space="0" w:color="E2E2E2"/>
              <w:right w:val="single" w:sz="8" w:space="0" w:color="E2E2E2"/>
            </w:tcBorders>
            <w:vAlign w:val="center"/>
            <w:hideMark/>
          </w:tcPr>
          <w:p w14:paraId="7524AA48" w14:textId="77777777" w:rsidR="00B031BA" w:rsidRPr="00B031BA" w:rsidRDefault="00B031BA" w:rsidP="00B031BA">
            <w:pPr>
              <w:jc w:val="center"/>
              <w:rPr>
                <w:rFonts w:eastAsia="Times New Roman"/>
                <w:sz w:val="16"/>
                <w:szCs w:val="16"/>
              </w:rPr>
            </w:pPr>
            <w:r w:rsidRPr="00B031BA">
              <w:rPr>
                <w:rFonts w:eastAsia="Times New Roman"/>
                <w:sz w:val="16"/>
                <w:szCs w:val="16"/>
              </w:rPr>
              <w:t>85</w:t>
            </w:r>
          </w:p>
        </w:tc>
        <w:tc>
          <w:tcPr>
            <w:tcW w:w="820" w:type="dxa"/>
            <w:tcBorders>
              <w:top w:val="nil"/>
              <w:left w:val="nil"/>
              <w:bottom w:val="single" w:sz="8" w:space="0" w:color="E2E2E2"/>
              <w:right w:val="single" w:sz="8" w:space="0" w:color="E2E2E2"/>
            </w:tcBorders>
            <w:vAlign w:val="center"/>
            <w:hideMark/>
          </w:tcPr>
          <w:p w14:paraId="1AA58970" w14:textId="77777777" w:rsidR="00B031BA" w:rsidRPr="00B031BA" w:rsidRDefault="00B031BA" w:rsidP="00B031BA">
            <w:pPr>
              <w:jc w:val="center"/>
              <w:rPr>
                <w:rFonts w:eastAsia="Times New Roman"/>
                <w:sz w:val="16"/>
                <w:szCs w:val="16"/>
              </w:rPr>
            </w:pPr>
            <w:r w:rsidRPr="00B031BA">
              <w:rPr>
                <w:rFonts w:eastAsia="Times New Roman"/>
                <w:sz w:val="16"/>
                <w:szCs w:val="16"/>
              </w:rPr>
              <w:t>91.2</w:t>
            </w:r>
          </w:p>
        </w:tc>
        <w:tc>
          <w:tcPr>
            <w:tcW w:w="760" w:type="dxa"/>
            <w:tcBorders>
              <w:top w:val="nil"/>
              <w:left w:val="nil"/>
              <w:bottom w:val="single" w:sz="8" w:space="0" w:color="E2E2E2"/>
              <w:right w:val="single" w:sz="8" w:space="0" w:color="E2E2E2"/>
            </w:tcBorders>
            <w:vAlign w:val="center"/>
            <w:hideMark/>
          </w:tcPr>
          <w:p w14:paraId="5B965C23" w14:textId="77777777" w:rsidR="00B031BA" w:rsidRPr="00B031BA" w:rsidRDefault="00B031BA" w:rsidP="00B031BA">
            <w:pPr>
              <w:jc w:val="center"/>
              <w:rPr>
                <w:rFonts w:eastAsia="Times New Roman"/>
                <w:sz w:val="16"/>
                <w:szCs w:val="16"/>
              </w:rPr>
            </w:pPr>
            <w:r w:rsidRPr="00B031BA">
              <w:rPr>
                <w:rFonts w:eastAsia="Times New Roman"/>
                <w:sz w:val="16"/>
                <w:szCs w:val="16"/>
              </w:rPr>
              <w:t>100</w:t>
            </w:r>
          </w:p>
        </w:tc>
        <w:tc>
          <w:tcPr>
            <w:tcW w:w="880" w:type="dxa"/>
            <w:tcBorders>
              <w:top w:val="nil"/>
              <w:left w:val="nil"/>
              <w:bottom w:val="single" w:sz="8" w:space="0" w:color="E2E2E2"/>
              <w:right w:val="single" w:sz="8" w:space="0" w:color="E2E2E2"/>
            </w:tcBorders>
            <w:vAlign w:val="center"/>
            <w:hideMark/>
          </w:tcPr>
          <w:p w14:paraId="32598B60" w14:textId="77777777" w:rsidR="00B031BA" w:rsidRPr="00B031BA" w:rsidRDefault="00B031BA" w:rsidP="00B031BA">
            <w:pPr>
              <w:jc w:val="center"/>
              <w:rPr>
                <w:rFonts w:eastAsia="Times New Roman"/>
                <w:sz w:val="16"/>
                <w:szCs w:val="16"/>
              </w:rPr>
            </w:pPr>
            <w:r w:rsidRPr="00B031BA">
              <w:rPr>
                <w:rFonts w:eastAsia="Times New Roman"/>
                <w:sz w:val="16"/>
                <w:szCs w:val="16"/>
              </w:rPr>
              <w:t>99</w:t>
            </w:r>
          </w:p>
        </w:tc>
        <w:tc>
          <w:tcPr>
            <w:tcW w:w="880" w:type="dxa"/>
            <w:tcBorders>
              <w:top w:val="nil"/>
              <w:left w:val="nil"/>
              <w:bottom w:val="single" w:sz="8" w:space="0" w:color="E2E2E2"/>
              <w:right w:val="single" w:sz="8" w:space="0" w:color="E2E2E2"/>
            </w:tcBorders>
            <w:vAlign w:val="center"/>
            <w:hideMark/>
          </w:tcPr>
          <w:p w14:paraId="3044A17E" w14:textId="77777777" w:rsidR="00B031BA" w:rsidRPr="00B031BA" w:rsidRDefault="00B031BA" w:rsidP="00B031BA">
            <w:pPr>
              <w:jc w:val="center"/>
              <w:rPr>
                <w:rFonts w:eastAsia="Times New Roman"/>
                <w:sz w:val="16"/>
                <w:szCs w:val="16"/>
              </w:rPr>
            </w:pPr>
            <w:r w:rsidRPr="00B031BA">
              <w:rPr>
                <w:rFonts w:eastAsia="Times New Roman"/>
                <w:sz w:val="16"/>
                <w:szCs w:val="16"/>
              </w:rPr>
              <w:t>85.6</w:t>
            </w:r>
          </w:p>
        </w:tc>
        <w:tc>
          <w:tcPr>
            <w:tcW w:w="820" w:type="dxa"/>
            <w:tcBorders>
              <w:top w:val="nil"/>
              <w:left w:val="nil"/>
              <w:bottom w:val="single" w:sz="8" w:space="0" w:color="E2E2E2"/>
              <w:right w:val="single" w:sz="8" w:space="0" w:color="E2E2E2"/>
            </w:tcBorders>
            <w:vAlign w:val="center"/>
            <w:hideMark/>
          </w:tcPr>
          <w:p w14:paraId="53F41A6A" w14:textId="77777777" w:rsidR="00B031BA" w:rsidRPr="00B031BA" w:rsidRDefault="00B031BA" w:rsidP="00B031BA">
            <w:pPr>
              <w:jc w:val="center"/>
              <w:rPr>
                <w:rFonts w:eastAsia="Times New Roman"/>
                <w:sz w:val="16"/>
                <w:szCs w:val="16"/>
              </w:rPr>
            </w:pPr>
            <w:r w:rsidRPr="00B031BA">
              <w:rPr>
                <w:rFonts w:eastAsia="Times New Roman"/>
                <w:sz w:val="16"/>
                <w:szCs w:val="16"/>
              </w:rPr>
              <w:t>75.6</w:t>
            </w:r>
          </w:p>
        </w:tc>
        <w:tc>
          <w:tcPr>
            <w:tcW w:w="880" w:type="dxa"/>
            <w:tcBorders>
              <w:top w:val="nil"/>
              <w:left w:val="nil"/>
              <w:bottom w:val="single" w:sz="8" w:space="0" w:color="E2E2E2"/>
              <w:right w:val="single" w:sz="8" w:space="0" w:color="E2E2E2"/>
            </w:tcBorders>
            <w:vAlign w:val="center"/>
            <w:hideMark/>
          </w:tcPr>
          <w:p w14:paraId="56A644D3" w14:textId="77777777" w:rsidR="00B031BA" w:rsidRPr="00B031BA" w:rsidRDefault="00B031BA" w:rsidP="00B031BA">
            <w:pPr>
              <w:jc w:val="center"/>
              <w:rPr>
                <w:rFonts w:eastAsia="Times New Roman"/>
                <w:sz w:val="16"/>
                <w:szCs w:val="16"/>
              </w:rPr>
            </w:pPr>
            <w:r w:rsidRPr="00B031BA">
              <w:rPr>
                <w:rFonts w:eastAsia="Times New Roman"/>
                <w:sz w:val="16"/>
                <w:szCs w:val="16"/>
              </w:rPr>
              <w:t>63.1</w:t>
            </w:r>
          </w:p>
        </w:tc>
        <w:tc>
          <w:tcPr>
            <w:tcW w:w="840" w:type="dxa"/>
            <w:tcBorders>
              <w:top w:val="nil"/>
              <w:left w:val="nil"/>
              <w:bottom w:val="single" w:sz="8" w:space="0" w:color="E2E2E2"/>
              <w:right w:val="single" w:sz="8" w:space="0" w:color="E2E2E2"/>
            </w:tcBorders>
            <w:vAlign w:val="center"/>
            <w:hideMark/>
          </w:tcPr>
          <w:p w14:paraId="43AB3735" w14:textId="77777777" w:rsidR="00B031BA" w:rsidRPr="00B031BA" w:rsidRDefault="00B031BA" w:rsidP="00B031BA">
            <w:pPr>
              <w:jc w:val="center"/>
              <w:rPr>
                <w:rFonts w:eastAsia="Times New Roman"/>
                <w:sz w:val="16"/>
                <w:szCs w:val="16"/>
              </w:rPr>
            </w:pPr>
            <w:r w:rsidRPr="00B031BA">
              <w:rPr>
                <w:rFonts w:eastAsia="Times New Roman"/>
                <w:sz w:val="16"/>
                <w:szCs w:val="16"/>
              </w:rPr>
              <w:t>60.9</w:t>
            </w:r>
          </w:p>
        </w:tc>
      </w:tr>
      <w:tr w:rsidR="00B031BA" w:rsidRPr="00B031BA" w14:paraId="0C68EE87" w14:textId="77777777" w:rsidTr="00B031BA">
        <w:trPr>
          <w:trHeight w:val="300"/>
        </w:trPr>
        <w:tc>
          <w:tcPr>
            <w:tcW w:w="960" w:type="dxa"/>
            <w:tcBorders>
              <w:top w:val="nil"/>
              <w:left w:val="single" w:sz="8" w:space="0" w:color="E2E2E2"/>
              <w:bottom w:val="single" w:sz="8" w:space="0" w:color="E2E2E2"/>
              <w:right w:val="single" w:sz="8" w:space="0" w:color="E2E2E2"/>
            </w:tcBorders>
            <w:shd w:val="clear" w:color="000000" w:fill="FBF6EE"/>
            <w:vAlign w:val="center"/>
            <w:hideMark/>
          </w:tcPr>
          <w:p w14:paraId="186AA82C" w14:textId="77777777" w:rsidR="00B031BA" w:rsidRPr="00B031BA" w:rsidRDefault="00B031BA" w:rsidP="00B031BA">
            <w:pPr>
              <w:rPr>
                <w:rFonts w:eastAsia="Times New Roman"/>
                <w:b/>
                <w:bCs/>
                <w:sz w:val="16"/>
                <w:szCs w:val="16"/>
              </w:rPr>
            </w:pPr>
            <w:r w:rsidRPr="00B031BA">
              <w:rPr>
                <w:rFonts w:eastAsia="Times New Roman"/>
                <w:b/>
                <w:bCs/>
                <w:sz w:val="16"/>
                <w:szCs w:val="16"/>
              </w:rPr>
              <w:t>Morocco</w:t>
            </w:r>
          </w:p>
        </w:tc>
        <w:tc>
          <w:tcPr>
            <w:tcW w:w="880" w:type="dxa"/>
            <w:tcBorders>
              <w:top w:val="nil"/>
              <w:left w:val="nil"/>
              <w:bottom w:val="single" w:sz="8" w:space="0" w:color="E2E2E2"/>
              <w:right w:val="single" w:sz="8" w:space="0" w:color="E2E2E2"/>
            </w:tcBorders>
            <w:shd w:val="clear" w:color="000000" w:fill="FBF6EE"/>
            <w:vAlign w:val="center"/>
            <w:hideMark/>
          </w:tcPr>
          <w:p w14:paraId="4EC2570E" w14:textId="77777777" w:rsidR="00B031BA" w:rsidRPr="00B031BA" w:rsidRDefault="00B031BA" w:rsidP="00B031BA">
            <w:pPr>
              <w:jc w:val="center"/>
              <w:rPr>
                <w:rFonts w:eastAsia="Times New Roman"/>
                <w:sz w:val="16"/>
                <w:szCs w:val="16"/>
              </w:rPr>
            </w:pPr>
            <w:r w:rsidRPr="00B031BA">
              <w:rPr>
                <w:rFonts w:eastAsia="Times New Roman"/>
                <w:sz w:val="16"/>
                <w:szCs w:val="16"/>
              </w:rPr>
              <w:t>2</w:t>
            </w:r>
          </w:p>
        </w:tc>
        <w:tc>
          <w:tcPr>
            <w:tcW w:w="740" w:type="dxa"/>
            <w:tcBorders>
              <w:top w:val="nil"/>
              <w:left w:val="nil"/>
              <w:bottom w:val="single" w:sz="8" w:space="0" w:color="E2E2E2"/>
              <w:right w:val="single" w:sz="8" w:space="0" w:color="E2E2E2"/>
            </w:tcBorders>
            <w:shd w:val="clear" w:color="000000" w:fill="FBF6EE"/>
            <w:vAlign w:val="center"/>
            <w:hideMark/>
          </w:tcPr>
          <w:p w14:paraId="1092A156" w14:textId="77777777" w:rsidR="00B031BA" w:rsidRPr="00B031BA" w:rsidRDefault="00B031BA" w:rsidP="00B031BA">
            <w:pPr>
              <w:jc w:val="center"/>
              <w:rPr>
                <w:rFonts w:eastAsia="Times New Roman"/>
                <w:sz w:val="16"/>
                <w:szCs w:val="16"/>
              </w:rPr>
            </w:pPr>
            <w:r w:rsidRPr="00B031BA">
              <w:rPr>
                <w:rFonts w:eastAsia="Times New Roman"/>
                <w:sz w:val="16"/>
                <w:szCs w:val="16"/>
              </w:rPr>
              <w:t>9.2</w:t>
            </w:r>
          </w:p>
        </w:tc>
        <w:tc>
          <w:tcPr>
            <w:tcW w:w="740" w:type="dxa"/>
            <w:tcBorders>
              <w:top w:val="nil"/>
              <w:left w:val="nil"/>
              <w:bottom w:val="single" w:sz="8" w:space="0" w:color="E2E2E2"/>
              <w:right w:val="single" w:sz="8" w:space="0" w:color="E2E2E2"/>
            </w:tcBorders>
            <w:shd w:val="clear" w:color="000000" w:fill="FBF6EE"/>
            <w:vAlign w:val="center"/>
            <w:hideMark/>
          </w:tcPr>
          <w:p w14:paraId="64440D46" w14:textId="77777777" w:rsidR="00B031BA" w:rsidRPr="00B031BA" w:rsidRDefault="00B031BA" w:rsidP="00B031BA">
            <w:pPr>
              <w:jc w:val="center"/>
              <w:rPr>
                <w:rFonts w:eastAsia="Times New Roman"/>
                <w:sz w:val="16"/>
                <w:szCs w:val="16"/>
              </w:rPr>
            </w:pPr>
            <w:r w:rsidRPr="00B031BA">
              <w:rPr>
                <w:rFonts w:eastAsia="Times New Roman"/>
                <w:sz w:val="16"/>
                <w:szCs w:val="16"/>
              </w:rPr>
              <w:t>7.1</w:t>
            </w:r>
          </w:p>
        </w:tc>
        <w:tc>
          <w:tcPr>
            <w:tcW w:w="900" w:type="dxa"/>
            <w:tcBorders>
              <w:top w:val="nil"/>
              <w:left w:val="nil"/>
              <w:bottom w:val="single" w:sz="8" w:space="0" w:color="E2E2E2"/>
              <w:right w:val="single" w:sz="8" w:space="0" w:color="E2E2E2"/>
            </w:tcBorders>
            <w:shd w:val="clear" w:color="000000" w:fill="FBF6EE"/>
            <w:vAlign w:val="center"/>
            <w:hideMark/>
          </w:tcPr>
          <w:p w14:paraId="21BE16A4" w14:textId="77777777" w:rsidR="00B031BA" w:rsidRPr="00B031BA" w:rsidRDefault="00B031BA" w:rsidP="00B031BA">
            <w:pPr>
              <w:jc w:val="center"/>
              <w:rPr>
                <w:rFonts w:eastAsia="Times New Roman"/>
                <w:sz w:val="16"/>
                <w:szCs w:val="16"/>
              </w:rPr>
            </w:pPr>
            <w:r w:rsidRPr="00B031BA">
              <w:rPr>
                <w:rFonts w:eastAsia="Times New Roman"/>
                <w:sz w:val="16"/>
                <w:szCs w:val="16"/>
              </w:rPr>
              <w:t>1.9</w:t>
            </w:r>
          </w:p>
        </w:tc>
        <w:tc>
          <w:tcPr>
            <w:tcW w:w="820" w:type="dxa"/>
            <w:tcBorders>
              <w:top w:val="nil"/>
              <w:left w:val="nil"/>
              <w:bottom w:val="single" w:sz="8" w:space="0" w:color="E2E2E2"/>
              <w:right w:val="single" w:sz="8" w:space="0" w:color="E2E2E2"/>
            </w:tcBorders>
            <w:shd w:val="clear" w:color="000000" w:fill="FBF6EE"/>
            <w:vAlign w:val="center"/>
            <w:hideMark/>
          </w:tcPr>
          <w:p w14:paraId="14774DC0" w14:textId="77777777" w:rsidR="00B031BA" w:rsidRPr="00B031BA" w:rsidRDefault="00B031BA" w:rsidP="00B031BA">
            <w:pPr>
              <w:jc w:val="center"/>
              <w:rPr>
                <w:rFonts w:eastAsia="Times New Roman"/>
                <w:sz w:val="16"/>
                <w:szCs w:val="16"/>
              </w:rPr>
            </w:pPr>
            <w:r w:rsidRPr="00B031BA">
              <w:rPr>
                <w:rFonts w:eastAsia="Times New Roman"/>
                <w:sz w:val="16"/>
                <w:szCs w:val="16"/>
              </w:rPr>
              <w:t>11.5</w:t>
            </w:r>
          </w:p>
        </w:tc>
        <w:tc>
          <w:tcPr>
            <w:tcW w:w="760" w:type="dxa"/>
            <w:tcBorders>
              <w:top w:val="nil"/>
              <w:left w:val="nil"/>
              <w:bottom w:val="single" w:sz="8" w:space="0" w:color="E2E2E2"/>
              <w:right w:val="single" w:sz="8" w:space="0" w:color="E2E2E2"/>
            </w:tcBorders>
            <w:shd w:val="clear" w:color="000000" w:fill="FBF6EE"/>
            <w:vAlign w:val="center"/>
            <w:hideMark/>
          </w:tcPr>
          <w:p w14:paraId="3FEE6CC2" w14:textId="77777777" w:rsidR="00B031BA" w:rsidRPr="00B031BA" w:rsidRDefault="00B031BA" w:rsidP="00B031BA">
            <w:pPr>
              <w:jc w:val="center"/>
              <w:rPr>
                <w:rFonts w:eastAsia="Times New Roman"/>
                <w:sz w:val="16"/>
                <w:szCs w:val="16"/>
              </w:rPr>
            </w:pPr>
            <w:r w:rsidRPr="00B031BA">
              <w:rPr>
                <w:rFonts w:eastAsia="Times New Roman"/>
                <w:sz w:val="16"/>
                <w:szCs w:val="16"/>
              </w:rPr>
              <w:t>14.3</w:t>
            </w:r>
          </w:p>
        </w:tc>
        <w:tc>
          <w:tcPr>
            <w:tcW w:w="880" w:type="dxa"/>
            <w:tcBorders>
              <w:top w:val="nil"/>
              <w:left w:val="nil"/>
              <w:bottom w:val="single" w:sz="8" w:space="0" w:color="E2E2E2"/>
              <w:right w:val="single" w:sz="8" w:space="0" w:color="E2E2E2"/>
            </w:tcBorders>
            <w:shd w:val="clear" w:color="000000" w:fill="FBF6EE"/>
            <w:vAlign w:val="center"/>
            <w:hideMark/>
          </w:tcPr>
          <w:p w14:paraId="38CF162F" w14:textId="77777777" w:rsidR="00B031BA" w:rsidRPr="00B031BA" w:rsidRDefault="00B031BA" w:rsidP="00B031BA">
            <w:pPr>
              <w:jc w:val="center"/>
              <w:rPr>
                <w:rFonts w:eastAsia="Times New Roman"/>
                <w:sz w:val="16"/>
                <w:szCs w:val="16"/>
              </w:rPr>
            </w:pPr>
            <w:r w:rsidRPr="00B031BA">
              <w:rPr>
                <w:rFonts w:eastAsia="Times New Roman"/>
                <w:sz w:val="16"/>
                <w:szCs w:val="16"/>
              </w:rPr>
              <w:t>4.7</w:t>
            </w:r>
          </w:p>
        </w:tc>
        <w:tc>
          <w:tcPr>
            <w:tcW w:w="880" w:type="dxa"/>
            <w:tcBorders>
              <w:top w:val="nil"/>
              <w:left w:val="nil"/>
              <w:bottom w:val="single" w:sz="8" w:space="0" w:color="E2E2E2"/>
              <w:right w:val="single" w:sz="8" w:space="0" w:color="E2E2E2"/>
            </w:tcBorders>
            <w:shd w:val="clear" w:color="000000" w:fill="FBF6EE"/>
            <w:vAlign w:val="center"/>
            <w:hideMark/>
          </w:tcPr>
          <w:p w14:paraId="7B92DC64" w14:textId="77777777" w:rsidR="00B031BA" w:rsidRPr="00B031BA" w:rsidRDefault="00B031BA" w:rsidP="00B031BA">
            <w:pPr>
              <w:jc w:val="center"/>
              <w:rPr>
                <w:rFonts w:eastAsia="Times New Roman"/>
                <w:sz w:val="16"/>
                <w:szCs w:val="16"/>
              </w:rPr>
            </w:pPr>
            <w:r w:rsidRPr="00B031BA">
              <w:rPr>
                <w:rFonts w:eastAsia="Times New Roman"/>
                <w:sz w:val="16"/>
                <w:szCs w:val="16"/>
              </w:rPr>
              <w:t>63.2</w:t>
            </w:r>
          </w:p>
        </w:tc>
        <w:tc>
          <w:tcPr>
            <w:tcW w:w="820" w:type="dxa"/>
            <w:tcBorders>
              <w:top w:val="nil"/>
              <w:left w:val="nil"/>
              <w:bottom w:val="single" w:sz="8" w:space="0" w:color="E2E2E2"/>
              <w:right w:val="single" w:sz="8" w:space="0" w:color="E2E2E2"/>
            </w:tcBorders>
            <w:shd w:val="clear" w:color="000000" w:fill="FBF6EE"/>
            <w:vAlign w:val="center"/>
            <w:hideMark/>
          </w:tcPr>
          <w:p w14:paraId="4C1DE7EE" w14:textId="77777777" w:rsidR="00B031BA" w:rsidRPr="00B031BA" w:rsidRDefault="00B031BA" w:rsidP="00B031BA">
            <w:pPr>
              <w:jc w:val="center"/>
              <w:rPr>
                <w:rFonts w:eastAsia="Times New Roman"/>
                <w:sz w:val="16"/>
                <w:szCs w:val="16"/>
              </w:rPr>
            </w:pPr>
            <w:r w:rsidRPr="00B031BA">
              <w:rPr>
                <w:rFonts w:eastAsia="Times New Roman"/>
                <w:sz w:val="16"/>
                <w:szCs w:val="16"/>
              </w:rPr>
              <w:t>36.2</w:t>
            </w:r>
          </w:p>
        </w:tc>
        <w:tc>
          <w:tcPr>
            <w:tcW w:w="880" w:type="dxa"/>
            <w:tcBorders>
              <w:top w:val="nil"/>
              <w:left w:val="nil"/>
              <w:bottom w:val="single" w:sz="8" w:space="0" w:color="E2E2E2"/>
              <w:right w:val="single" w:sz="8" w:space="0" w:color="E2E2E2"/>
            </w:tcBorders>
            <w:shd w:val="clear" w:color="000000" w:fill="FBF6EE"/>
            <w:vAlign w:val="center"/>
            <w:hideMark/>
          </w:tcPr>
          <w:p w14:paraId="32577C30" w14:textId="77777777" w:rsidR="00B031BA" w:rsidRPr="00B031BA" w:rsidRDefault="00B031BA" w:rsidP="00B031BA">
            <w:pPr>
              <w:jc w:val="center"/>
              <w:rPr>
                <w:rFonts w:eastAsia="Times New Roman"/>
                <w:sz w:val="16"/>
                <w:szCs w:val="16"/>
              </w:rPr>
            </w:pPr>
            <w:r w:rsidRPr="00B031BA">
              <w:rPr>
                <w:rFonts w:eastAsia="Times New Roman"/>
                <w:sz w:val="16"/>
                <w:szCs w:val="16"/>
              </w:rPr>
              <w:t>43.7</w:t>
            </w:r>
          </w:p>
        </w:tc>
        <w:tc>
          <w:tcPr>
            <w:tcW w:w="840" w:type="dxa"/>
            <w:tcBorders>
              <w:top w:val="nil"/>
              <w:left w:val="nil"/>
              <w:bottom w:val="single" w:sz="8" w:space="0" w:color="E2E2E2"/>
              <w:right w:val="single" w:sz="8" w:space="0" w:color="E2E2E2"/>
            </w:tcBorders>
            <w:shd w:val="clear" w:color="000000" w:fill="FBF6EE"/>
            <w:vAlign w:val="center"/>
            <w:hideMark/>
          </w:tcPr>
          <w:p w14:paraId="61441866" w14:textId="77777777" w:rsidR="00B031BA" w:rsidRPr="00B031BA" w:rsidRDefault="00B031BA" w:rsidP="00B031BA">
            <w:pPr>
              <w:jc w:val="center"/>
              <w:rPr>
                <w:rFonts w:eastAsia="Times New Roman"/>
                <w:sz w:val="16"/>
                <w:szCs w:val="16"/>
              </w:rPr>
            </w:pPr>
            <w:r w:rsidRPr="00B031BA">
              <w:rPr>
                <w:rFonts w:eastAsia="Times New Roman"/>
                <w:sz w:val="16"/>
                <w:szCs w:val="16"/>
              </w:rPr>
              <w:t>12.8</w:t>
            </w:r>
          </w:p>
        </w:tc>
      </w:tr>
      <w:tr w:rsidR="00B031BA" w:rsidRPr="00B031BA" w14:paraId="28398DD3" w14:textId="77777777" w:rsidTr="00B031BA">
        <w:trPr>
          <w:trHeight w:val="300"/>
        </w:trPr>
        <w:tc>
          <w:tcPr>
            <w:tcW w:w="960" w:type="dxa"/>
            <w:tcBorders>
              <w:top w:val="nil"/>
              <w:left w:val="single" w:sz="8" w:space="0" w:color="E2E2E2"/>
              <w:bottom w:val="single" w:sz="8" w:space="0" w:color="E2E2E2"/>
              <w:right w:val="single" w:sz="8" w:space="0" w:color="E2E2E2"/>
            </w:tcBorders>
            <w:vAlign w:val="center"/>
            <w:hideMark/>
          </w:tcPr>
          <w:p w14:paraId="309372FB" w14:textId="77777777" w:rsidR="00B031BA" w:rsidRPr="00B031BA" w:rsidRDefault="00B031BA" w:rsidP="00B031BA">
            <w:pPr>
              <w:rPr>
                <w:rFonts w:eastAsia="Times New Roman"/>
                <w:b/>
                <w:bCs/>
                <w:sz w:val="16"/>
                <w:szCs w:val="16"/>
              </w:rPr>
            </w:pPr>
            <w:r w:rsidRPr="00B031BA">
              <w:rPr>
                <w:rFonts w:eastAsia="Times New Roman"/>
                <w:b/>
                <w:bCs/>
                <w:sz w:val="16"/>
                <w:szCs w:val="16"/>
              </w:rPr>
              <w:t>Sudan</w:t>
            </w:r>
          </w:p>
        </w:tc>
        <w:tc>
          <w:tcPr>
            <w:tcW w:w="880" w:type="dxa"/>
            <w:tcBorders>
              <w:top w:val="nil"/>
              <w:left w:val="nil"/>
              <w:bottom w:val="single" w:sz="8" w:space="0" w:color="E2E2E2"/>
              <w:right w:val="single" w:sz="8" w:space="0" w:color="E2E2E2"/>
            </w:tcBorders>
            <w:vAlign w:val="center"/>
            <w:hideMark/>
          </w:tcPr>
          <w:p w14:paraId="23AEDB08" w14:textId="77777777" w:rsidR="00B031BA" w:rsidRPr="00B031BA" w:rsidRDefault="00B031BA" w:rsidP="00B031BA">
            <w:pPr>
              <w:jc w:val="center"/>
              <w:rPr>
                <w:rFonts w:eastAsia="Times New Roman"/>
                <w:sz w:val="16"/>
                <w:szCs w:val="16"/>
              </w:rPr>
            </w:pPr>
            <w:r w:rsidRPr="00B031BA">
              <w:rPr>
                <w:rFonts w:eastAsia="Times New Roman"/>
                <w:sz w:val="16"/>
                <w:szCs w:val="16"/>
              </w:rPr>
              <w:t>1</w:t>
            </w:r>
          </w:p>
        </w:tc>
        <w:tc>
          <w:tcPr>
            <w:tcW w:w="740" w:type="dxa"/>
            <w:tcBorders>
              <w:top w:val="nil"/>
              <w:left w:val="nil"/>
              <w:bottom w:val="single" w:sz="8" w:space="0" w:color="E2E2E2"/>
              <w:right w:val="single" w:sz="8" w:space="0" w:color="E2E2E2"/>
            </w:tcBorders>
            <w:vAlign w:val="center"/>
            <w:hideMark/>
          </w:tcPr>
          <w:p w14:paraId="06157F34" w14:textId="77777777" w:rsidR="00B031BA" w:rsidRPr="00B031BA" w:rsidRDefault="00B031BA" w:rsidP="00B031BA">
            <w:pPr>
              <w:jc w:val="center"/>
              <w:rPr>
                <w:rFonts w:eastAsia="Times New Roman"/>
                <w:sz w:val="16"/>
                <w:szCs w:val="16"/>
              </w:rPr>
            </w:pPr>
            <w:r w:rsidRPr="00B031BA">
              <w:rPr>
                <w:rFonts w:eastAsia="Times New Roman"/>
                <w:sz w:val="16"/>
                <w:szCs w:val="16"/>
              </w:rPr>
              <w:t>6.7</w:t>
            </w:r>
          </w:p>
        </w:tc>
        <w:tc>
          <w:tcPr>
            <w:tcW w:w="740" w:type="dxa"/>
            <w:tcBorders>
              <w:top w:val="nil"/>
              <w:left w:val="nil"/>
              <w:bottom w:val="single" w:sz="8" w:space="0" w:color="E2E2E2"/>
              <w:right w:val="single" w:sz="8" w:space="0" w:color="E2E2E2"/>
            </w:tcBorders>
            <w:vAlign w:val="center"/>
            <w:hideMark/>
          </w:tcPr>
          <w:p w14:paraId="01BD9156" w14:textId="77777777" w:rsidR="00B031BA" w:rsidRPr="00B031BA" w:rsidRDefault="00B031BA" w:rsidP="00B031BA">
            <w:pPr>
              <w:jc w:val="center"/>
              <w:rPr>
                <w:rFonts w:eastAsia="Times New Roman"/>
                <w:sz w:val="16"/>
                <w:szCs w:val="16"/>
              </w:rPr>
            </w:pPr>
            <w:r w:rsidRPr="00B031BA">
              <w:rPr>
                <w:rFonts w:eastAsia="Times New Roman"/>
                <w:sz w:val="16"/>
                <w:szCs w:val="16"/>
              </w:rPr>
              <w:t>12.7</w:t>
            </w:r>
          </w:p>
        </w:tc>
        <w:tc>
          <w:tcPr>
            <w:tcW w:w="900" w:type="dxa"/>
            <w:tcBorders>
              <w:top w:val="nil"/>
              <w:left w:val="nil"/>
              <w:bottom w:val="single" w:sz="8" w:space="0" w:color="E2E2E2"/>
              <w:right w:val="single" w:sz="8" w:space="0" w:color="E2E2E2"/>
            </w:tcBorders>
            <w:vAlign w:val="center"/>
            <w:hideMark/>
          </w:tcPr>
          <w:p w14:paraId="607D407F" w14:textId="77777777" w:rsidR="00B031BA" w:rsidRPr="00B031BA" w:rsidRDefault="00B031BA" w:rsidP="00B031BA">
            <w:pPr>
              <w:jc w:val="center"/>
              <w:rPr>
                <w:rFonts w:eastAsia="Times New Roman"/>
                <w:sz w:val="16"/>
                <w:szCs w:val="16"/>
              </w:rPr>
            </w:pPr>
            <w:r w:rsidRPr="00B031BA">
              <w:rPr>
                <w:rFonts w:eastAsia="Times New Roman"/>
                <w:sz w:val="16"/>
                <w:szCs w:val="16"/>
              </w:rPr>
              <w:t>6.3</w:t>
            </w:r>
          </w:p>
        </w:tc>
        <w:tc>
          <w:tcPr>
            <w:tcW w:w="820" w:type="dxa"/>
            <w:tcBorders>
              <w:top w:val="nil"/>
              <w:left w:val="nil"/>
              <w:bottom w:val="single" w:sz="8" w:space="0" w:color="E2E2E2"/>
              <w:right w:val="single" w:sz="8" w:space="0" w:color="E2E2E2"/>
            </w:tcBorders>
            <w:vAlign w:val="center"/>
            <w:hideMark/>
          </w:tcPr>
          <w:p w14:paraId="40202114" w14:textId="77777777" w:rsidR="00B031BA" w:rsidRPr="00B031BA" w:rsidRDefault="00B031BA" w:rsidP="00B031BA">
            <w:pPr>
              <w:jc w:val="center"/>
              <w:rPr>
                <w:rFonts w:eastAsia="Times New Roman"/>
                <w:sz w:val="16"/>
                <w:szCs w:val="16"/>
              </w:rPr>
            </w:pPr>
            <w:r w:rsidRPr="00B031BA">
              <w:rPr>
                <w:rFonts w:eastAsia="Times New Roman"/>
                <w:sz w:val="16"/>
                <w:szCs w:val="16"/>
              </w:rPr>
              <w:t>3.9</w:t>
            </w:r>
          </w:p>
        </w:tc>
        <w:tc>
          <w:tcPr>
            <w:tcW w:w="760" w:type="dxa"/>
            <w:tcBorders>
              <w:top w:val="nil"/>
              <w:left w:val="nil"/>
              <w:bottom w:val="single" w:sz="8" w:space="0" w:color="E2E2E2"/>
              <w:right w:val="single" w:sz="8" w:space="0" w:color="E2E2E2"/>
            </w:tcBorders>
            <w:vAlign w:val="center"/>
            <w:hideMark/>
          </w:tcPr>
          <w:p w14:paraId="2BA1DE0C" w14:textId="77777777" w:rsidR="00B031BA" w:rsidRPr="00B031BA" w:rsidRDefault="00B031BA" w:rsidP="00B031BA">
            <w:pPr>
              <w:jc w:val="center"/>
              <w:rPr>
                <w:rFonts w:eastAsia="Times New Roman"/>
              </w:rPr>
            </w:pPr>
            <w:r w:rsidRPr="00B031BA">
              <w:rPr>
                <w:rFonts w:eastAsia="Times New Roman"/>
              </w:rPr>
              <w:t> </w:t>
            </w:r>
          </w:p>
        </w:tc>
        <w:tc>
          <w:tcPr>
            <w:tcW w:w="880" w:type="dxa"/>
            <w:tcBorders>
              <w:top w:val="nil"/>
              <w:left w:val="nil"/>
              <w:bottom w:val="single" w:sz="8" w:space="0" w:color="E2E2E2"/>
              <w:right w:val="single" w:sz="8" w:space="0" w:color="E2E2E2"/>
            </w:tcBorders>
            <w:vAlign w:val="center"/>
            <w:hideMark/>
          </w:tcPr>
          <w:p w14:paraId="7BD04DC5" w14:textId="77777777" w:rsidR="00B031BA" w:rsidRPr="00B031BA" w:rsidRDefault="00B031BA" w:rsidP="00B031BA">
            <w:pPr>
              <w:jc w:val="center"/>
              <w:rPr>
                <w:rFonts w:eastAsia="Times New Roman"/>
                <w:sz w:val="16"/>
                <w:szCs w:val="16"/>
              </w:rPr>
            </w:pPr>
            <w:r w:rsidRPr="00B031BA">
              <w:rPr>
                <w:rFonts w:eastAsia="Times New Roman"/>
                <w:sz w:val="16"/>
                <w:szCs w:val="16"/>
              </w:rPr>
              <w:t>1.6</w:t>
            </w:r>
          </w:p>
        </w:tc>
        <w:tc>
          <w:tcPr>
            <w:tcW w:w="880" w:type="dxa"/>
            <w:tcBorders>
              <w:top w:val="nil"/>
              <w:left w:val="nil"/>
              <w:bottom w:val="single" w:sz="8" w:space="0" w:color="E2E2E2"/>
              <w:right w:val="single" w:sz="8" w:space="0" w:color="E2E2E2"/>
            </w:tcBorders>
            <w:vAlign w:val="center"/>
            <w:hideMark/>
          </w:tcPr>
          <w:p w14:paraId="01446F7D" w14:textId="77777777" w:rsidR="00B031BA" w:rsidRPr="00B031BA" w:rsidRDefault="00B031BA" w:rsidP="00B031BA">
            <w:pPr>
              <w:jc w:val="center"/>
              <w:rPr>
                <w:rFonts w:eastAsia="Times New Roman"/>
                <w:sz w:val="16"/>
                <w:szCs w:val="16"/>
              </w:rPr>
            </w:pPr>
            <w:r w:rsidRPr="00B031BA">
              <w:rPr>
                <w:rFonts w:eastAsia="Times New Roman"/>
                <w:sz w:val="16"/>
                <w:szCs w:val="16"/>
              </w:rPr>
              <w:t>55.6</w:t>
            </w:r>
          </w:p>
        </w:tc>
        <w:tc>
          <w:tcPr>
            <w:tcW w:w="820" w:type="dxa"/>
            <w:tcBorders>
              <w:top w:val="nil"/>
              <w:left w:val="nil"/>
              <w:bottom w:val="single" w:sz="8" w:space="0" w:color="E2E2E2"/>
              <w:right w:val="single" w:sz="8" w:space="0" w:color="E2E2E2"/>
            </w:tcBorders>
            <w:vAlign w:val="center"/>
            <w:hideMark/>
          </w:tcPr>
          <w:p w14:paraId="3975B7B2" w14:textId="77777777" w:rsidR="00B031BA" w:rsidRPr="00B031BA" w:rsidRDefault="00B031BA" w:rsidP="00B031BA">
            <w:pPr>
              <w:jc w:val="center"/>
              <w:rPr>
                <w:rFonts w:eastAsia="Times New Roman"/>
                <w:sz w:val="16"/>
                <w:szCs w:val="16"/>
              </w:rPr>
            </w:pPr>
            <w:r w:rsidRPr="00B031BA">
              <w:rPr>
                <w:rFonts w:eastAsia="Times New Roman"/>
                <w:sz w:val="16"/>
                <w:szCs w:val="16"/>
              </w:rPr>
              <w:t>82.3</w:t>
            </w:r>
          </w:p>
        </w:tc>
        <w:tc>
          <w:tcPr>
            <w:tcW w:w="880" w:type="dxa"/>
            <w:tcBorders>
              <w:top w:val="nil"/>
              <w:left w:val="nil"/>
              <w:bottom w:val="single" w:sz="8" w:space="0" w:color="E2E2E2"/>
              <w:right w:val="single" w:sz="8" w:space="0" w:color="E2E2E2"/>
            </w:tcBorders>
            <w:vAlign w:val="center"/>
            <w:hideMark/>
          </w:tcPr>
          <w:p w14:paraId="741504B9" w14:textId="77777777" w:rsidR="00B031BA" w:rsidRPr="00B031BA" w:rsidRDefault="00B031BA" w:rsidP="00B031BA">
            <w:pPr>
              <w:jc w:val="center"/>
              <w:rPr>
                <w:rFonts w:eastAsia="Times New Roman"/>
                <w:sz w:val="16"/>
                <w:szCs w:val="16"/>
              </w:rPr>
            </w:pPr>
            <w:r w:rsidRPr="00B031BA">
              <w:rPr>
                <w:rFonts w:eastAsia="Times New Roman"/>
                <w:sz w:val="16"/>
                <w:szCs w:val="16"/>
              </w:rPr>
              <w:t>23.6</w:t>
            </w:r>
          </w:p>
        </w:tc>
        <w:tc>
          <w:tcPr>
            <w:tcW w:w="840" w:type="dxa"/>
            <w:tcBorders>
              <w:top w:val="nil"/>
              <w:left w:val="nil"/>
              <w:bottom w:val="single" w:sz="8" w:space="0" w:color="E2E2E2"/>
              <w:right w:val="single" w:sz="8" w:space="0" w:color="E2E2E2"/>
            </w:tcBorders>
            <w:vAlign w:val="center"/>
            <w:hideMark/>
          </w:tcPr>
          <w:p w14:paraId="65632970" w14:textId="77777777" w:rsidR="00B031BA" w:rsidRPr="00B031BA" w:rsidRDefault="00B031BA" w:rsidP="00B031BA">
            <w:pPr>
              <w:jc w:val="center"/>
              <w:rPr>
                <w:rFonts w:eastAsia="Times New Roman"/>
                <w:sz w:val="16"/>
                <w:szCs w:val="16"/>
              </w:rPr>
            </w:pPr>
            <w:r w:rsidRPr="00B031BA">
              <w:rPr>
                <w:rFonts w:eastAsia="Times New Roman"/>
                <w:sz w:val="16"/>
                <w:szCs w:val="16"/>
              </w:rPr>
              <w:t>11.8</w:t>
            </w:r>
          </w:p>
        </w:tc>
      </w:tr>
      <w:tr w:rsidR="00B031BA" w:rsidRPr="00B031BA" w14:paraId="1221B9A1" w14:textId="77777777" w:rsidTr="00B031BA">
        <w:trPr>
          <w:trHeight w:val="430"/>
        </w:trPr>
        <w:tc>
          <w:tcPr>
            <w:tcW w:w="960" w:type="dxa"/>
            <w:tcBorders>
              <w:top w:val="nil"/>
              <w:left w:val="single" w:sz="8" w:space="0" w:color="E2E2E2"/>
              <w:bottom w:val="single" w:sz="8" w:space="0" w:color="E2E2E2"/>
              <w:right w:val="single" w:sz="8" w:space="0" w:color="E2E2E2"/>
            </w:tcBorders>
            <w:vAlign w:val="center"/>
            <w:hideMark/>
          </w:tcPr>
          <w:p w14:paraId="43028CDA" w14:textId="77777777" w:rsidR="00B031BA" w:rsidRPr="00B031BA" w:rsidRDefault="00B031BA" w:rsidP="00B031BA">
            <w:pPr>
              <w:rPr>
                <w:rFonts w:eastAsia="Times New Roman"/>
                <w:b/>
                <w:bCs/>
                <w:sz w:val="16"/>
                <w:szCs w:val="16"/>
              </w:rPr>
            </w:pPr>
            <w:r w:rsidRPr="00B031BA">
              <w:rPr>
                <w:rFonts w:eastAsia="Times New Roman"/>
                <w:b/>
                <w:bCs/>
                <w:sz w:val="16"/>
                <w:szCs w:val="16"/>
              </w:rPr>
              <w:t>Syrian Arab Republic</w:t>
            </w:r>
          </w:p>
        </w:tc>
        <w:tc>
          <w:tcPr>
            <w:tcW w:w="880" w:type="dxa"/>
            <w:tcBorders>
              <w:top w:val="nil"/>
              <w:left w:val="nil"/>
              <w:bottom w:val="single" w:sz="8" w:space="0" w:color="E2E2E2"/>
              <w:right w:val="single" w:sz="8" w:space="0" w:color="E2E2E2"/>
            </w:tcBorders>
            <w:vAlign w:val="center"/>
            <w:hideMark/>
          </w:tcPr>
          <w:p w14:paraId="53E25FAF" w14:textId="77777777" w:rsidR="00B031BA" w:rsidRPr="00B031BA" w:rsidRDefault="00B031BA" w:rsidP="00B031BA">
            <w:pPr>
              <w:jc w:val="center"/>
              <w:rPr>
                <w:rFonts w:eastAsia="Times New Roman"/>
                <w:sz w:val="16"/>
                <w:szCs w:val="16"/>
              </w:rPr>
            </w:pPr>
            <w:r w:rsidRPr="00B031BA">
              <w:rPr>
                <w:rFonts w:eastAsia="Times New Roman"/>
                <w:sz w:val="16"/>
                <w:szCs w:val="16"/>
              </w:rPr>
              <w:t>1</w:t>
            </w:r>
          </w:p>
        </w:tc>
        <w:tc>
          <w:tcPr>
            <w:tcW w:w="740" w:type="dxa"/>
            <w:tcBorders>
              <w:top w:val="nil"/>
              <w:left w:val="nil"/>
              <w:bottom w:val="single" w:sz="8" w:space="0" w:color="E2E2E2"/>
              <w:right w:val="single" w:sz="8" w:space="0" w:color="E2E2E2"/>
            </w:tcBorders>
            <w:vAlign w:val="center"/>
            <w:hideMark/>
          </w:tcPr>
          <w:p w14:paraId="2E7DAA45" w14:textId="77777777" w:rsidR="00B031BA" w:rsidRPr="00B031BA" w:rsidRDefault="00B031BA" w:rsidP="00B031BA">
            <w:pPr>
              <w:jc w:val="center"/>
              <w:rPr>
                <w:rFonts w:eastAsia="Times New Roman"/>
                <w:sz w:val="16"/>
                <w:szCs w:val="16"/>
              </w:rPr>
            </w:pPr>
            <w:r w:rsidRPr="00B031BA">
              <w:rPr>
                <w:rFonts w:eastAsia="Times New Roman"/>
                <w:sz w:val="16"/>
                <w:szCs w:val="16"/>
              </w:rPr>
              <w:t>8.2</w:t>
            </w:r>
          </w:p>
        </w:tc>
        <w:tc>
          <w:tcPr>
            <w:tcW w:w="740" w:type="dxa"/>
            <w:tcBorders>
              <w:top w:val="nil"/>
              <w:left w:val="nil"/>
              <w:bottom w:val="single" w:sz="8" w:space="0" w:color="E2E2E2"/>
              <w:right w:val="single" w:sz="8" w:space="0" w:color="E2E2E2"/>
            </w:tcBorders>
            <w:vAlign w:val="center"/>
            <w:hideMark/>
          </w:tcPr>
          <w:p w14:paraId="25F9EFE9" w14:textId="77777777" w:rsidR="00B031BA" w:rsidRPr="00B031BA" w:rsidRDefault="00B031BA" w:rsidP="00B031BA">
            <w:pPr>
              <w:jc w:val="center"/>
              <w:rPr>
                <w:rFonts w:eastAsia="Times New Roman"/>
                <w:sz w:val="16"/>
                <w:szCs w:val="16"/>
              </w:rPr>
            </w:pPr>
            <w:r w:rsidRPr="00B031BA">
              <w:rPr>
                <w:rFonts w:eastAsia="Times New Roman"/>
                <w:sz w:val="16"/>
                <w:szCs w:val="16"/>
              </w:rPr>
              <w:t>10.8</w:t>
            </w:r>
          </w:p>
        </w:tc>
        <w:tc>
          <w:tcPr>
            <w:tcW w:w="900" w:type="dxa"/>
            <w:tcBorders>
              <w:top w:val="nil"/>
              <w:left w:val="nil"/>
              <w:bottom w:val="single" w:sz="8" w:space="0" w:color="E2E2E2"/>
              <w:right w:val="single" w:sz="8" w:space="0" w:color="E2E2E2"/>
            </w:tcBorders>
            <w:vAlign w:val="center"/>
            <w:hideMark/>
          </w:tcPr>
          <w:p w14:paraId="00758521" w14:textId="77777777" w:rsidR="00B031BA" w:rsidRPr="00B031BA" w:rsidRDefault="00B031BA" w:rsidP="00B031BA">
            <w:pPr>
              <w:jc w:val="center"/>
              <w:rPr>
                <w:rFonts w:eastAsia="Times New Roman"/>
                <w:sz w:val="16"/>
                <w:szCs w:val="16"/>
              </w:rPr>
            </w:pPr>
            <w:r w:rsidRPr="00B031BA">
              <w:rPr>
                <w:rFonts w:eastAsia="Times New Roman"/>
                <w:sz w:val="16"/>
                <w:szCs w:val="16"/>
              </w:rPr>
              <w:t>1.5</w:t>
            </w:r>
          </w:p>
        </w:tc>
        <w:tc>
          <w:tcPr>
            <w:tcW w:w="820" w:type="dxa"/>
            <w:tcBorders>
              <w:top w:val="nil"/>
              <w:left w:val="nil"/>
              <w:bottom w:val="single" w:sz="8" w:space="0" w:color="E2E2E2"/>
              <w:right w:val="single" w:sz="8" w:space="0" w:color="E2E2E2"/>
            </w:tcBorders>
            <w:vAlign w:val="center"/>
            <w:hideMark/>
          </w:tcPr>
          <w:p w14:paraId="37810168" w14:textId="77777777" w:rsidR="00B031BA" w:rsidRPr="00B031BA" w:rsidRDefault="00B031BA" w:rsidP="00B031BA">
            <w:pPr>
              <w:jc w:val="center"/>
              <w:rPr>
                <w:rFonts w:eastAsia="Times New Roman"/>
                <w:sz w:val="16"/>
                <w:szCs w:val="16"/>
              </w:rPr>
            </w:pPr>
            <w:r w:rsidRPr="00B031BA">
              <w:rPr>
                <w:rFonts w:eastAsia="Times New Roman"/>
                <w:sz w:val="16"/>
                <w:szCs w:val="16"/>
              </w:rPr>
              <w:t>1.5</w:t>
            </w:r>
          </w:p>
        </w:tc>
        <w:tc>
          <w:tcPr>
            <w:tcW w:w="760" w:type="dxa"/>
            <w:tcBorders>
              <w:top w:val="nil"/>
              <w:left w:val="nil"/>
              <w:bottom w:val="single" w:sz="8" w:space="0" w:color="E2E2E2"/>
              <w:right w:val="single" w:sz="8" w:space="0" w:color="E2E2E2"/>
            </w:tcBorders>
            <w:vAlign w:val="center"/>
            <w:hideMark/>
          </w:tcPr>
          <w:p w14:paraId="6B1FB205" w14:textId="77777777" w:rsidR="00B031BA" w:rsidRPr="00B031BA" w:rsidRDefault="00B031BA" w:rsidP="00B031BA">
            <w:pPr>
              <w:jc w:val="center"/>
              <w:rPr>
                <w:rFonts w:eastAsia="Times New Roman"/>
                <w:sz w:val="16"/>
                <w:szCs w:val="16"/>
              </w:rPr>
            </w:pPr>
            <w:r w:rsidRPr="00B031BA">
              <w:rPr>
                <w:rFonts w:eastAsia="Times New Roman"/>
                <w:sz w:val="16"/>
                <w:szCs w:val="16"/>
              </w:rPr>
              <w:t>4.6</w:t>
            </w:r>
          </w:p>
        </w:tc>
        <w:tc>
          <w:tcPr>
            <w:tcW w:w="880" w:type="dxa"/>
            <w:tcBorders>
              <w:top w:val="nil"/>
              <w:left w:val="nil"/>
              <w:bottom w:val="single" w:sz="8" w:space="0" w:color="E2E2E2"/>
              <w:right w:val="single" w:sz="8" w:space="0" w:color="E2E2E2"/>
            </w:tcBorders>
            <w:vAlign w:val="center"/>
            <w:hideMark/>
          </w:tcPr>
          <w:p w14:paraId="39FD5ACF" w14:textId="77777777" w:rsidR="00B031BA" w:rsidRPr="00B031BA" w:rsidRDefault="00B031BA" w:rsidP="00B031BA">
            <w:pPr>
              <w:jc w:val="center"/>
              <w:rPr>
                <w:rFonts w:eastAsia="Times New Roman"/>
                <w:sz w:val="16"/>
                <w:szCs w:val="16"/>
              </w:rPr>
            </w:pPr>
            <w:r w:rsidRPr="00B031BA">
              <w:rPr>
                <w:rFonts w:eastAsia="Times New Roman"/>
                <w:sz w:val="16"/>
                <w:szCs w:val="16"/>
              </w:rPr>
              <w:t>10</w:t>
            </w:r>
          </w:p>
        </w:tc>
        <w:tc>
          <w:tcPr>
            <w:tcW w:w="880" w:type="dxa"/>
            <w:tcBorders>
              <w:top w:val="nil"/>
              <w:left w:val="nil"/>
              <w:bottom w:val="single" w:sz="8" w:space="0" w:color="E2E2E2"/>
              <w:right w:val="single" w:sz="8" w:space="0" w:color="E2E2E2"/>
            </w:tcBorders>
            <w:vAlign w:val="center"/>
            <w:hideMark/>
          </w:tcPr>
          <w:p w14:paraId="47918DBE" w14:textId="77777777" w:rsidR="00B031BA" w:rsidRPr="00B031BA" w:rsidRDefault="00B031BA" w:rsidP="00B031BA">
            <w:pPr>
              <w:jc w:val="center"/>
              <w:rPr>
                <w:rFonts w:eastAsia="Times New Roman"/>
                <w:sz w:val="16"/>
                <w:szCs w:val="16"/>
              </w:rPr>
            </w:pPr>
            <w:r w:rsidRPr="00B031BA">
              <w:rPr>
                <w:rFonts w:eastAsia="Times New Roman"/>
                <w:sz w:val="16"/>
                <w:szCs w:val="16"/>
              </w:rPr>
              <w:t>22.2</w:t>
            </w:r>
          </w:p>
        </w:tc>
        <w:tc>
          <w:tcPr>
            <w:tcW w:w="820" w:type="dxa"/>
            <w:tcBorders>
              <w:top w:val="nil"/>
              <w:left w:val="nil"/>
              <w:bottom w:val="single" w:sz="8" w:space="0" w:color="E2E2E2"/>
              <w:right w:val="single" w:sz="8" w:space="0" w:color="E2E2E2"/>
            </w:tcBorders>
            <w:vAlign w:val="center"/>
            <w:hideMark/>
          </w:tcPr>
          <w:p w14:paraId="35F783FF" w14:textId="77777777" w:rsidR="00B031BA" w:rsidRPr="00B031BA" w:rsidRDefault="00B031BA" w:rsidP="00B031BA">
            <w:pPr>
              <w:jc w:val="center"/>
              <w:rPr>
                <w:rFonts w:eastAsia="Times New Roman"/>
                <w:sz w:val="16"/>
                <w:szCs w:val="16"/>
              </w:rPr>
            </w:pPr>
            <w:r w:rsidRPr="00B031BA">
              <w:rPr>
                <w:rFonts w:eastAsia="Times New Roman"/>
                <w:sz w:val="16"/>
                <w:szCs w:val="16"/>
              </w:rPr>
              <w:t>91.3</w:t>
            </w:r>
          </w:p>
        </w:tc>
        <w:tc>
          <w:tcPr>
            <w:tcW w:w="880" w:type="dxa"/>
            <w:tcBorders>
              <w:top w:val="nil"/>
              <w:left w:val="nil"/>
              <w:bottom w:val="single" w:sz="8" w:space="0" w:color="E2E2E2"/>
              <w:right w:val="single" w:sz="8" w:space="0" w:color="E2E2E2"/>
            </w:tcBorders>
            <w:vAlign w:val="center"/>
            <w:hideMark/>
          </w:tcPr>
          <w:p w14:paraId="738F9C89" w14:textId="77777777" w:rsidR="00B031BA" w:rsidRPr="00B031BA" w:rsidRDefault="00B031BA" w:rsidP="00B031BA">
            <w:pPr>
              <w:jc w:val="center"/>
              <w:rPr>
                <w:rFonts w:eastAsia="Times New Roman"/>
                <w:sz w:val="16"/>
                <w:szCs w:val="16"/>
              </w:rPr>
            </w:pPr>
            <w:r w:rsidRPr="00B031BA">
              <w:rPr>
                <w:rFonts w:eastAsia="Times New Roman"/>
                <w:sz w:val="16"/>
                <w:szCs w:val="16"/>
              </w:rPr>
              <w:t>36.1</w:t>
            </w:r>
          </w:p>
        </w:tc>
        <w:tc>
          <w:tcPr>
            <w:tcW w:w="840" w:type="dxa"/>
            <w:tcBorders>
              <w:top w:val="nil"/>
              <w:left w:val="nil"/>
              <w:bottom w:val="single" w:sz="8" w:space="0" w:color="E2E2E2"/>
              <w:right w:val="single" w:sz="8" w:space="0" w:color="E2E2E2"/>
            </w:tcBorders>
            <w:vAlign w:val="center"/>
            <w:hideMark/>
          </w:tcPr>
          <w:p w14:paraId="677517DF" w14:textId="77777777" w:rsidR="00B031BA" w:rsidRPr="00B031BA" w:rsidRDefault="00B031BA" w:rsidP="00B031BA">
            <w:pPr>
              <w:jc w:val="center"/>
              <w:rPr>
                <w:rFonts w:eastAsia="Times New Roman"/>
                <w:sz w:val="16"/>
                <w:szCs w:val="16"/>
              </w:rPr>
            </w:pPr>
            <w:r w:rsidRPr="00B031BA">
              <w:rPr>
                <w:rFonts w:eastAsia="Times New Roman"/>
                <w:sz w:val="16"/>
                <w:szCs w:val="16"/>
              </w:rPr>
              <w:t>11</w:t>
            </w:r>
          </w:p>
        </w:tc>
      </w:tr>
    </w:tbl>
    <w:p w14:paraId="37627FAA" w14:textId="77777777" w:rsidR="006D2A6C" w:rsidRDefault="00000000">
      <w:pPr>
        <w:pBdr>
          <w:bottom w:val="single" w:sz="16" w:space="4" w:color="F7A600"/>
        </w:pBdr>
        <w:spacing w:before="280" w:after="40"/>
      </w:pPr>
      <w:r>
        <w:rPr>
          <w:b/>
          <w:bCs/>
          <w:sz w:val="26"/>
          <w:szCs w:val="26"/>
        </w:rPr>
        <w:t>Global context: a competitive landscape</w:t>
      </w:r>
    </w:p>
    <w:p w14:paraId="58C86D14" w14:textId="77777777" w:rsidR="006D2A6C" w:rsidRDefault="00000000">
      <w:pPr>
        <w:spacing w:after="160" w:line="264" w:lineRule="auto"/>
      </w:pPr>
      <w:r>
        <w:t>The QS World University Rankings 2027 evaluates more than 1,500 institutions across 106 countries and territories. Global competition is intensifying, particularly across Europe, North America and Asia. MIT retains its top position for the 15th year, followed by Imperial College London and Stanford University, ranked joint second.</w:t>
      </w:r>
    </w:p>
    <w:p w14:paraId="1C0D8DAE" w14:textId="77777777" w:rsidR="006D2A6C" w:rsidRDefault="00000000">
      <w:pPr>
        <w:pStyle w:val="ListParagraph"/>
        <w:numPr>
          <w:ilvl w:val="0"/>
          <w:numId w:val="2"/>
        </w:numPr>
        <w:spacing w:after="120" w:line="264" w:lineRule="auto"/>
      </w:pPr>
      <w:r>
        <w:rPr>
          <w:b/>
          <w:bCs/>
        </w:rPr>
        <w:t xml:space="preserve">United States: </w:t>
      </w:r>
      <w:r>
        <w:t xml:space="preserve">the United States remains the most represented system in the world, with 184 universities (down from 192 in 2026). In total, 66% of entries decline in their positions this year, 38 remain level and 23 rise. Yale and Johns Hopkins climb back into the global top 20, making the US home to the most top 20 </w:t>
      </w:r>
      <w:r>
        <w:lastRenderedPageBreak/>
        <w:t>universities globally, with nine. The US also has the most top 50 and top 100 entries. Arizona State University has achieved its highest ranking to date, at 172nd.</w:t>
      </w:r>
    </w:p>
    <w:p w14:paraId="4F0117E3" w14:textId="77777777" w:rsidR="006D2A6C" w:rsidRDefault="00000000">
      <w:pPr>
        <w:pStyle w:val="ListParagraph"/>
        <w:numPr>
          <w:ilvl w:val="0"/>
          <w:numId w:val="2"/>
        </w:numPr>
        <w:spacing w:after="120" w:line="264" w:lineRule="auto"/>
      </w:pPr>
      <w:r>
        <w:rPr>
          <w:b/>
          <w:bCs/>
        </w:rPr>
        <w:t xml:space="preserve">United Kingdom: </w:t>
      </w:r>
      <w:r>
        <w:t>31 UK universities have improved their positions, with Imperial College London retaining the number two spot for the third consecutive year. Five UK entries achieve their highest rank to date in 2027, and the total number of entries has risen to 93, from 90 in 2026.</w:t>
      </w:r>
    </w:p>
    <w:p w14:paraId="77FE4AD6" w14:textId="77777777" w:rsidR="006D2A6C" w:rsidRDefault="00000000">
      <w:pPr>
        <w:pStyle w:val="ListParagraph"/>
        <w:numPr>
          <w:ilvl w:val="0"/>
          <w:numId w:val="2"/>
        </w:numPr>
        <w:spacing w:after="120" w:line="264" w:lineRule="auto"/>
      </w:pPr>
      <w:r>
        <w:rPr>
          <w:b/>
          <w:bCs/>
        </w:rPr>
        <w:t xml:space="preserve">Canada: </w:t>
      </w:r>
      <w:r>
        <w:t>some 66% of Canada’s universities drop this year, with McGill University claiming the top spot in the country for a second consecutive year. Four institutions achieve their best ranking in more than a decade.</w:t>
      </w:r>
    </w:p>
    <w:p w14:paraId="7189D8BE" w14:textId="77777777" w:rsidR="006D2A6C" w:rsidRDefault="00000000">
      <w:pPr>
        <w:pStyle w:val="ListParagraph"/>
        <w:numPr>
          <w:ilvl w:val="0"/>
          <w:numId w:val="2"/>
        </w:numPr>
        <w:spacing w:after="120" w:line="264" w:lineRule="auto"/>
      </w:pPr>
      <w:r>
        <w:rPr>
          <w:b/>
          <w:bCs/>
        </w:rPr>
        <w:t xml:space="preserve">Mainland China: </w:t>
      </w:r>
      <w:r>
        <w:t>Mainland China has seen 72% of its ranked entries improve in 2027. With 13 debutants among its 85 ranked universities, its higher education system has the most debutants this year, while 26 institutions achieve historic highs.</w:t>
      </w:r>
    </w:p>
    <w:p w14:paraId="504CEB88" w14:textId="77777777" w:rsidR="006D2A6C" w:rsidRDefault="00000000">
      <w:pPr>
        <w:pStyle w:val="ListParagraph"/>
        <w:numPr>
          <w:ilvl w:val="0"/>
          <w:numId w:val="2"/>
        </w:numPr>
        <w:spacing w:after="120" w:line="264" w:lineRule="auto"/>
      </w:pPr>
      <w:r>
        <w:rPr>
          <w:b/>
          <w:bCs/>
        </w:rPr>
        <w:t xml:space="preserve">Australia: </w:t>
      </w:r>
      <w:r>
        <w:t>58% of institutions improve their position in 2027, with the University of New South Wales claiming the number one spot for the first time (19th). Almost all of Australia’s 31 ranked institutions are at a higher ranking in 2027 than a decade ago, with nine institutions achieving record highs this year.</w:t>
      </w:r>
    </w:p>
    <w:p w14:paraId="31F499A6" w14:textId="77777777" w:rsidR="006D2A6C" w:rsidRDefault="00000000">
      <w:pPr>
        <w:pStyle w:val="ListParagraph"/>
        <w:numPr>
          <w:ilvl w:val="0"/>
          <w:numId w:val="2"/>
        </w:numPr>
        <w:spacing w:after="120" w:line="264" w:lineRule="auto"/>
      </w:pPr>
      <w:r>
        <w:rPr>
          <w:b/>
          <w:bCs/>
        </w:rPr>
        <w:t xml:space="preserve">Europe: </w:t>
      </w:r>
      <w:r>
        <w:t>Italy is among the most improved in Europe, with 56% of 47 institutions climbing, led by Politecnico di Milano (87th). Germany and France add 11 and seven institutions to feature 60 and 38 times respectively. Spain adds 10 institutions to become the second most represented country in continental Europe.</w:t>
      </w:r>
    </w:p>
    <w:p w14:paraId="0FB73599" w14:textId="77777777" w:rsidR="006D2A6C" w:rsidRDefault="00000000">
      <w:pPr>
        <w:pStyle w:val="ListParagraph"/>
        <w:numPr>
          <w:ilvl w:val="0"/>
          <w:numId w:val="2"/>
        </w:numPr>
        <w:spacing w:after="120" w:line="264" w:lineRule="auto"/>
      </w:pPr>
      <w:r>
        <w:rPr>
          <w:b/>
          <w:bCs/>
        </w:rPr>
        <w:t xml:space="preserve">India: </w:t>
      </w:r>
      <w:r>
        <w:t>IIT Delhi (118th) reaches the country’s joint highest-ever rank. Seventeen universities hit record highs. More than half of India’s 52 ranked universities improve their position, and the country’s base of ranked universities has tripled in a decade, growing from 14 in 2017 to 52 today.</w:t>
      </w:r>
    </w:p>
    <w:p w14:paraId="028FDC38" w14:textId="77777777" w:rsidR="006D2A6C" w:rsidRDefault="00000000">
      <w:pPr>
        <w:pBdr>
          <w:bottom w:val="single" w:sz="16" w:space="4" w:color="F7A600"/>
        </w:pBdr>
        <w:spacing w:before="280" w:after="40"/>
      </w:pPr>
      <w:r>
        <w:rPr>
          <w:b/>
          <w:bCs/>
          <w:sz w:val="26"/>
          <w:szCs w:val="26"/>
        </w:rPr>
        <w:t>Methodology</w:t>
      </w:r>
    </w:p>
    <w:p w14:paraId="63FFF535" w14:textId="77777777" w:rsidR="006D2A6C" w:rsidRDefault="00000000">
      <w:pPr>
        <w:spacing w:after="160" w:line="264" w:lineRule="auto"/>
      </w:pPr>
      <w:r>
        <w:t>This year’s QS World University Rankings features more than 1,500 universities across 106 higher education systems. The analysis accounted for:</w:t>
      </w:r>
    </w:p>
    <w:p w14:paraId="6D6EDA2E" w14:textId="77777777" w:rsidR="006D2A6C" w:rsidRDefault="00000000">
      <w:pPr>
        <w:pStyle w:val="ListParagraph"/>
        <w:numPr>
          <w:ilvl w:val="0"/>
          <w:numId w:val="2"/>
        </w:numPr>
        <w:spacing w:after="120" w:line="264" w:lineRule="auto"/>
      </w:pPr>
      <w:r>
        <w:t>21 million research papers</w:t>
      </w:r>
    </w:p>
    <w:p w14:paraId="50B50514" w14:textId="77777777" w:rsidR="006D2A6C" w:rsidRDefault="00000000">
      <w:pPr>
        <w:pStyle w:val="ListParagraph"/>
        <w:numPr>
          <w:ilvl w:val="0"/>
          <w:numId w:val="2"/>
        </w:numPr>
        <w:spacing w:after="120" w:line="264" w:lineRule="auto"/>
      </w:pPr>
      <w:r>
        <w:t>222 million citations</w:t>
      </w:r>
    </w:p>
    <w:p w14:paraId="4B90BF89" w14:textId="77777777" w:rsidR="006D2A6C" w:rsidRDefault="00000000">
      <w:pPr>
        <w:pStyle w:val="ListParagraph"/>
        <w:numPr>
          <w:ilvl w:val="0"/>
          <w:numId w:val="2"/>
        </w:numPr>
        <w:spacing w:after="120" w:line="264" w:lineRule="auto"/>
      </w:pPr>
      <w:r>
        <w:t>1.6 million academic survey responses</w:t>
      </w:r>
    </w:p>
    <w:p w14:paraId="0B10BA7F" w14:textId="77777777" w:rsidR="006D2A6C" w:rsidRDefault="00000000">
      <w:pPr>
        <w:pStyle w:val="ListParagraph"/>
        <w:numPr>
          <w:ilvl w:val="0"/>
          <w:numId w:val="2"/>
        </w:numPr>
        <w:spacing w:after="120" w:line="264" w:lineRule="auto"/>
      </w:pPr>
      <w:r>
        <w:t>Data from 8,808 institutions</w:t>
      </w:r>
    </w:p>
    <w:p w14:paraId="1BCF57CE" w14:textId="77777777" w:rsidR="006D2A6C" w:rsidRDefault="00000000">
      <w:pPr>
        <w:pStyle w:val="ListParagraph"/>
        <w:numPr>
          <w:ilvl w:val="0"/>
          <w:numId w:val="2"/>
        </w:numPr>
        <w:spacing w:after="120" w:line="264" w:lineRule="auto"/>
      </w:pPr>
      <w:r>
        <w:t>Insights from 121,024 academics and 69,432 employers</w:t>
      </w:r>
    </w:p>
    <w:p w14:paraId="7C68401E" w14:textId="77777777" w:rsidR="006D2A6C" w:rsidRDefault="00000000">
      <w:pPr>
        <w:spacing w:before="120" w:after="120" w:line="264" w:lineRule="auto"/>
      </w:pPr>
      <w:r>
        <w:t xml:space="preserve">The QS World University Rankings is based on a weighted index of the indicators below. For further details, visit the </w:t>
      </w:r>
      <w:hyperlink r:id="rId9" w:history="1">
        <w:r>
          <w:rPr>
            <w:color w:val="F7A600"/>
            <w:u w:val="single"/>
          </w:rPr>
          <w:t>QS methodology page</w:t>
        </w:r>
      </w:hyperlink>
      <w:r>
        <w:t>.</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400"/>
        <w:gridCol w:w="4200"/>
        <w:gridCol w:w="1402"/>
      </w:tblGrid>
      <w:tr w:rsidR="006D2A6C" w14:paraId="270491DD" w14:textId="77777777">
        <w:tblPrEx>
          <w:tblCellMar>
            <w:top w:w="0" w:type="dxa"/>
            <w:bottom w:w="0" w:type="dxa"/>
          </w:tblCellMar>
        </w:tblPrEx>
        <w:trPr>
          <w:tblHeader/>
        </w:trPr>
        <w:tc>
          <w:tcPr>
            <w:tcW w:w="26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4670A746" w14:textId="77777777" w:rsidR="006D2A6C" w:rsidRDefault="00000000">
            <w:r>
              <w:rPr>
                <w:b/>
                <w:bCs/>
                <w:sz w:val="17"/>
                <w:szCs w:val="17"/>
              </w:rPr>
              <w:t>Lens</w:t>
            </w:r>
          </w:p>
        </w:tc>
        <w:tc>
          <w:tcPr>
            <w:tcW w:w="14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6ACE0351" w14:textId="77777777" w:rsidR="006D2A6C" w:rsidRDefault="00000000">
            <w:pPr>
              <w:jc w:val="center"/>
            </w:pPr>
            <w:r>
              <w:rPr>
                <w:b/>
                <w:bCs/>
                <w:sz w:val="17"/>
                <w:szCs w:val="17"/>
              </w:rPr>
              <w:t>Weighting</w:t>
            </w:r>
          </w:p>
        </w:tc>
        <w:tc>
          <w:tcPr>
            <w:tcW w:w="42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7C6220ED" w14:textId="77777777" w:rsidR="006D2A6C" w:rsidRDefault="00000000">
            <w:pPr>
              <w:jc w:val="center"/>
            </w:pPr>
            <w:r>
              <w:rPr>
                <w:b/>
                <w:bCs/>
                <w:sz w:val="17"/>
                <w:szCs w:val="17"/>
              </w:rPr>
              <w:t>Indicator</w:t>
            </w:r>
          </w:p>
        </w:tc>
        <w:tc>
          <w:tcPr>
            <w:tcW w:w="1402"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5B961084" w14:textId="77777777" w:rsidR="006D2A6C" w:rsidRDefault="00000000">
            <w:pPr>
              <w:jc w:val="center"/>
            </w:pPr>
            <w:r>
              <w:rPr>
                <w:b/>
                <w:bCs/>
                <w:sz w:val="17"/>
                <w:szCs w:val="17"/>
              </w:rPr>
              <w:t>Weighting</w:t>
            </w:r>
          </w:p>
        </w:tc>
      </w:tr>
      <w:tr w:rsidR="006D2A6C" w14:paraId="1C4587A9" w14:textId="77777777">
        <w:tblPrEx>
          <w:tblCellMar>
            <w:top w:w="0" w:type="dxa"/>
            <w:bottom w:w="0" w:type="dxa"/>
          </w:tblCellMar>
        </w:tblPrEx>
        <w:tc>
          <w:tcPr>
            <w:tcW w:w="26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755C9310" w14:textId="77777777" w:rsidR="006D2A6C" w:rsidRDefault="00000000">
            <w:hyperlink r:id="rId10" w:history="1">
              <w:r>
                <w:rPr>
                  <w:b/>
                  <w:bCs/>
                  <w:color w:val="F7A600"/>
                  <w:sz w:val="18"/>
                  <w:szCs w:val="18"/>
                  <w:u w:val="single"/>
                </w:rPr>
                <w:t>Research and Discovery</w:t>
              </w:r>
            </w:hyperlink>
          </w:p>
        </w:tc>
        <w:tc>
          <w:tcPr>
            <w:tcW w:w="14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7B82CD76" w14:textId="77777777" w:rsidR="006D2A6C" w:rsidRDefault="00000000">
            <w:pPr>
              <w:jc w:val="center"/>
            </w:pPr>
            <w:r>
              <w:rPr>
                <w:b/>
                <w:bCs/>
                <w:sz w:val="18"/>
                <w:szCs w:val="18"/>
              </w:rPr>
              <w:t>50%</w:t>
            </w:r>
          </w:p>
        </w:tc>
        <w:tc>
          <w:tcPr>
            <w:tcW w:w="42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6411236C" w14:textId="77777777" w:rsidR="006D2A6C" w:rsidRDefault="00000000">
            <w:hyperlink r:id="rId11" w:history="1">
              <w:r>
                <w:rPr>
                  <w:color w:val="F7A600"/>
                  <w:sz w:val="18"/>
                  <w:szCs w:val="18"/>
                  <w:u w:val="single"/>
                </w:rPr>
                <w:t>Academic Reputation</w:t>
              </w:r>
            </w:hyperlink>
          </w:p>
        </w:tc>
        <w:tc>
          <w:tcPr>
            <w:tcW w:w="1402"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0088D44F" w14:textId="77777777" w:rsidR="006D2A6C" w:rsidRDefault="00000000">
            <w:pPr>
              <w:jc w:val="center"/>
            </w:pPr>
            <w:r>
              <w:rPr>
                <w:sz w:val="18"/>
                <w:szCs w:val="18"/>
              </w:rPr>
              <w:t>30%</w:t>
            </w:r>
          </w:p>
        </w:tc>
      </w:tr>
      <w:tr w:rsidR="006D2A6C" w14:paraId="4D426ADD" w14:textId="77777777">
        <w:tblPrEx>
          <w:tblCellMar>
            <w:top w:w="0" w:type="dxa"/>
            <w:bottom w:w="0" w:type="dxa"/>
          </w:tblCellMar>
        </w:tblPrEx>
        <w:tc>
          <w:tcPr>
            <w:tcW w:w="26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32721146" w14:textId="77777777" w:rsidR="006D2A6C" w:rsidRDefault="006D2A6C"/>
        </w:tc>
        <w:tc>
          <w:tcPr>
            <w:tcW w:w="14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5D0D7638" w14:textId="77777777" w:rsidR="006D2A6C" w:rsidRDefault="006D2A6C">
            <w:pPr>
              <w:jc w:val="center"/>
            </w:pPr>
          </w:p>
        </w:tc>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687D24FC" w14:textId="77777777" w:rsidR="006D2A6C" w:rsidRDefault="00000000">
            <w:hyperlink r:id="rId12" w:history="1">
              <w:r>
                <w:rPr>
                  <w:color w:val="F7A600"/>
                  <w:sz w:val="18"/>
                  <w:szCs w:val="18"/>
                  <w:u w:val="single"/>
                </w:rPr>
                <w:t>Citations per Faculty</w:t>
              </w:r>
            </w:hyperlink>
          </w:p>
        </w:tc>
        <w:tc>
          <w:tcPr>
            <w:tcW w:w="1402"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2400C997" w14:textId="77777777" w:rsidR="006D2A6C" w:rsidRDefault="00000000">
            <w:pPr>
              <w:jc w:val="center"/>
            </w:pPr>
            <w:r>
              <w:rPr>
                <w:sz w:val="18"/>
                <w:szCs w:val="18"/>
              </w:rPr>
              <w:t>20%</w:t>
            </w:r>
          </w:p>
        </w:tc>
      </w:tr>
      <w:tr w:rsidR="006D2A6C" w14:paraId="17A23CCE" w14:textId="77777777">
        <w:tblPrEx>
          <w:tblCellMar>
            <w:top w:w="0" w:type="dxa"/>
            <w:bottom w:w="0" w:type="dxa"/>
          </w:tblCellMar>
        </w:tblPrEx>
        <w:tc>
          <w:tcPr>
            <w:tcW w:w="26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080A854B" w14:textId="77777777" w:rsidR="006D2A6C" w:rsidRDefault="00000000">
            <w:hyperlink r:id="rId13" w:history="1">
              <w:r>
                <w:rPr>
                  <w:b/>
                  <w:bCs/>
                  <w:color w:val="F7A600"/>
                  <w:sz w:val="18"/>
                  <w:szCs w:val="18"/>
                  <w:u w:val="single"/>
                </w:rPr>
                <w:t>Employability and Outcomes</w:t>
              </w:r>
            </w:hyperlink>
          </w:p>
        </w:tc>
        <w:tc>
          <w:tcPr>
            <w:tcW w:w="14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16A83C08" w14:textId="77777777" w:rsidR="006D2A6C" w:rsidRDefault="00000000">
            <w:pPr>
              <w:jc w:val="center"/>
            </w:pPr>
            <w:r>
              <w:rPr>
                <w:b/>
                <w:bCs/>
                <w:sz w:val="18"/>
                <w:szCs w:val="18"/>
              </w:rPr>
              <w:t>20%</w:t>
            </w:r>
          </w:p>
        </w:tc>
        <w:tc>
          <w:tcPr>
            <w:tcW w:w="42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4F13B1B5" w14:textId="77777777" w:rsidR="006D2A6C" w:rsidRDefault="00000000">
            <w:hyperlink r:id="rId14" w:history="1">
              <w:r>
                <w:rPr>
                  <w:color w:val="F7A600"/>
                  <w:sz w:val="18"/>
                  <w:szCs w:val="18"/>
                  <w:u w:val="single"/>
                </w:rPr>
                <w:t>Employer Reputation</w:t>
              </w:r>
            </w:hyperlink>
          </w:p>
        </w:tc>
        <w:tc>
          <w:tcPr>
            <w:tcW w:w="1402"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41954C70" w14:textId="77777777" w:rsidR="006D2A6C" w:rsidRDefault="00000000">
            <w:pPr>
              <w:jc w:val="center"/>
            </w:pPr>
            <w:r>
              <w:rPr>
                <w:sz w:val="18"/>
                <w:szCs w:val="18"/>
              </w:rPr>
              <w:t>15%</w:t>
            </w:r>
          </w:p>
        </w:tc>
      </w:tr>
      <w:tr w:rsidR="006D2A6C" w14:paraId="2A0CF923" w14:textId="77777777">
        <w:tblPrEx>
          <w:tblCellMar>
            <w:top w:w="0" w:type="dxa"/>
            <w:bottom w:w="0" w:type="dxa"/>
          </w:tblCellMar>
        </w:tblPrEx>
        <w:tc>
          <w:tcPr>
            <w:tcW w:w="26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460375B0" w14:textId="77777777" w:rsidR="006D2A6C" w:rsidRDefault="006D2A6C"/>
        </w:tc>
        <w:tc>
          <w:tcPr>
            <w:tcW w:w="14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0DC6CC63" w14:textId="77777777" w:rsidR="006D2A6C" w:rsidRDefault="006D2A6C">
            <w:pPr>
              <w:jc w:val="center"/>
            </w:pPr>
          </w:p>
        </w:tc>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1E9BB793" w14:textId="77777777" w:rsidR="006D2A6C" w:rsidRDefault="00000000">
            <w:hyperlink r:id="rId15" w:history="1">
              <w:r>
                <w:rPr>
                  <w:color w:val="F7A600"/>
                  <w:sz w:val="18"/>
                  <w:szCs w:val="18"/>
                  <w:u w:val="single"/>
                </w:rPr>
                <w:t>Employment Outcomes</w:t>
              </w:r>
            </w:hyperlink>
          </w:p>
        </w:tc>
        <w:tc>
          <w:tcPr>
            <w:tcW w:w="1402"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56DE526D" w14:textId="77777777" w:rsidR="006D2A6C" w:rsidRDefault="00000000">
            <w:pPr>
              <w:jc w:val="center"/>
            </w:pPr>
            <w:r>
              <w:rPr>
                <w:sz w:val="18"/>
                <w:szCs w:val="18"/>
              </w:rPr>
              <w:t>5%</w:t>
            </w:r>
          </w:p>
        </w:tc>
      </w:tr>
      <w:tr w:rsidR="006D2A6C" w14:paraId="2B141611" w14:textId="77777777">
        <w:tblPrEx>
          <w:tblCellMar>
            <w:top w:w="0" w:type="dxa"/>
            <w:bottom w:w="0" w:type="dxa"/>
          </w:tblCellMar>
        </w:tblPrEx>
        <w:tc>
          <w:tcPr>
            <w:tcW w:w="26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4EBE8FE0" w14:textId="77777777" w:rsidR="006D2A6C" w:rsidRDefault="00000000">
            <w:hyperlink r:id="rId16" w:history="1">
              <w:r>
                <w:rPr>
                  <w:b/>
                  <w:bCs/>
                  <w:color w:val="F7A600"/>
                  <w:sz w:val="18"/>
                  <w:szCs w:val="18"/>
                  <w:u w:val="single"/>
                </w:rPr>
                <w:t>Global Engagement</w:t>
              </w:r>
            </w:hyperlink>
          </w:p>
        </w:tc>
        <w:tc>
          <w:tcPr>
            <w:tcW w:w="14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7FA26E3F" w14:textId="77777777" w:rsidR="006D2A6C" w:rsidRDefault="00000000">
            <w:pPr>
              <w:jc w:val="center"/>
            </w:pPr>
            <w:r>
              <w:rPr>
                <w:b/>
                <w:bCs/>
                <w:sz w:val="18"/>
                <w:szCs w:val="18"/>
              </w:rPr>
              <w:t>15%</w:t>
            </w:r>
          </w:p>
        </w:tc>
        <w:tc>
          <w:tcPr>
            <w:tcW w:w="42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156C59FB" w14:textId="77777777" w:rsidR="006D2A6C" w:rsidRDefault="00000000">
            <w:hyperlink r:id="rId17" w:history="1">
              <w:r>
                <w:rPr>
                  <w:color w:val="F7A600"/>
                  <w:sz w:val="18"/>
                  <w:szCs w:val="18"/>
                  <w:u w:val="single"/>
                </w:rPr>
                <w:t>International Faculty Ratio</w:t>
              </w:r>
            </w:hyperlink>
          </w:p>
        </w:tc>
        <w:tc>
          <w:tcPr>
            <w:tcW w:w="1402"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78C4A5A8" w14:textId="77777777" w:rsidR="006D2A6C" w:rsidRDefault="00000000">
            <w:pPr>
              <w:jc w:val="center"/>
            </w:pPr>
            <w:r>
              <w:rPr>
                <w:sz w:val="18"/>
                <w:szCs w:val="18"/>
              </w:rPr>
              <w:t>5%</w:t>
            </w:r>
          </w:p>
        </w:tc>
      </w:tr>
      <w:tr w:rsidR="006D2A6C" w14:paraId="07AF347E" w14:textId="77777777">
        <w:tblPrEx>
          <w:tblCellMar>
            <w:top w:w="0" w:type="dxa"/>
            <w:bottom w:w="0" w:type="dxa"/>
          </w:tblCellMar>
        </w:tblPrEx>
        <w:tc>
          <w:tcPr>
            <w:tcW w:w="26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3C9F63B7" w14:textId="77777777" w:rsidR="006D2A6C" w:rsidRDefault="006D2A6C"/>
        </w:tc>
        <w:tc>
          <w:tcPr>
            <w:tcW w:w="14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49C13FA4" w14:textId="77777777" w:rsidR="006D2A6C" w:rsidRDefault="006D2A6C">
            <w:pPr>
              <w:jc w:val="center"/>
            </w:pPr>
          </w:p>
        </w:tc>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15B36074" w14:textId="77777777" w:rsidR="006D2A6C" w:rsidRDefault="00000000">
            <w:hyperlink r:id="rId18" w:history="1">
              <w:r>
                <w:rPr>
                  <w:color w:val="F7A600"/>
                  <w:sz w:val="18"/>
                  <w:szCs w:val="18"/>
                  <w:u w:val="single"/>
                </w:rPr>
                <w:t>International Research Network</w:t>
              </w:r>
            </w:hyperlink>
          </w:p>
        </w:tc>
        <w:tc>
          <w:tcPr>
            <w:tcW w:w="1402"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1D880EDF" w14:textId="77777777" w:rsidR="006D2A6C" w:rsidRDefault="00000000">
            <w:pPr>
              <w:jc w:val="center"/>
            </w:pPr>
            <w:r>
              <w:rPr>
                <w:sz w:val="18"/>
                <w:szCs w:val="18"/>
              </w:rPr>
              <w:t>5%</w:t>
            </w:r>
          </w:p>
        </w:tc>
      </w:tr>
      <w:tr w:rsidR="006D2A6C" w14:paraId="0F1158CE" w14:textId="77777777">
        <w:tblPrEx>
          <w:tblCellMar>
            <w:top w:w="0" w:type="dxa"/>
            <w:bottom w:w="0" w:type="dxa"/>
          </w:tblCellMar>
        </w:tblPrEx>
        <w:tc>
          <w:tcPr>
            <w:tcW w:w="26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677D7114" w14:textId="77777777" w:rsidR="006D2A6C" w:rsidRDefault="006D2A6C"/>
        </w:tc>
        <w:tc>
          <w:tcPr>
            <w:tcW w:w="14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52680C04" w14:textId="77777777" w:rsidR="006D2A6C" w:rsidRDefault="006D2A6C">
            <w:pPr>
              <w:jc w:val="center"/>
            </w:pPr>
          </w:p>
        </w:tc>
        <w:tc>
          <w:tcPr>
            <w:tcW w:w="42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7CA1EA0A" w14:textId="77777777" w:rsidR="006D2A6C" w:rsidRDefault="00000000">
            <w:hyperlink r:id="rId19" w:history="1">
              <w:r>
                <w:rPr>
                  <w:color w:val="F7A600"/>
                  <w:sz w:val="18"/>
                  <w:szCs w:val="18"/>
                  <w:u w:val="single"/>
                </w:rPr>
                <w:t>International Student Diversity</w:t>
              </w:r>
            </w:hyperlink>
          </w:p>
        </w:tc>
        <w:tc>
          <w:tcPr>
            <w:tcW w:w="1402"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6A9C73BF" w14:textId="77777777" w:rsidR="006D2A6C" w:rsidRDefault="00000000">
            <w:pPr>
              <w:jc w:val="center"/>
            </w:pPr>
            <w:r>
              <w:rPr>
                <w:sz w:val="18"/>
                <w:szCs w:val="18"/>
              </w:rPr>
              <w:t>0%</w:t>
            </w:r>
          </w:p>
        </w:tc>
      </w:tr>
      <w:tr w:rsidR="006D2A6C" w14:paraId="1FF0BC17" w14:textId="77777777">
        <w:tblPrEx>
          <w:tblCellMar>
            <w:top w:w="0" w:type="dxa"/>
            <w:bottom w:w="0" w:type="dxa"/>
          </w:tblCellMar>
        </w:tblPrEx>
        <w:tc>
          <w:tcPr>
            <w:tcW w:w="26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27889853" w14:textId="77777777" w:rsidR="006D2A6C" w:rsidRDefault="006D2A6C"/>
        </w:tc>
        <w:tc>
          <w:tcPr>
            <w:tcW w:w="14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3E48788D" w14:textId="77777777" w:rsidR="006D2A6C" w:rsidRDefault="006D2A6C">
            <w:pPr>
              <w:jc w:val="center"/>
            </w:pPr>
          </w:p>
        </w:tc>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7D458F3D" w14:textId="77777777" w:rsidR="006D2A6C" w:rsidRDefault="00000000">
            <w:hyperlink r:id="rId20" w:history="1">
              <w:r>
                <w:rPr>
                  <w:color w:val="F7A600"/>
                  <w:sz w:val="18"/>
                  <w:szCs w:val="18"/>
                  <w:u w:val="single"/>
                </w:rPr>
                <w:t>International Student Ratio</w:t>
              </w:r>
            </w:hyperlink>
          </w:p>
        </w:tc>
        <w:tc>
          <w:tcPr>
            <w:tcW w:w="1402"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70950514" w14:textId="77777777" w:rsidR="006D2A6C" w:rsidRDefault="00000000">
            <w:pPr>
              <w:jc w:val="center"/>
            </w:pPr>
            <w:r>
              <w:rPr>
                <w:sz w:val="18"/>
                <w:szCs w:val="18"/>
              </w:rPr>
              <w:t>5%</w:t>
            </w:r>
          </w:p>
        </w:tc>
      </w:tr>
      <w:tr w:rsidR="006D2A6C" w14:paraId="687BA8D8" w14:textId="77777777">
        <w:tblPrEx>
          <w:tblCellMar>
            <w:top w:w="0" w:type="dxa"/>
            <w:bottom w:w="0" w:type="dxa"/>
          </w:tblCellMar>
        </w:tblPrEx>
        <w:tc>
          <w:tcPr>
            <w:tcW w:w="26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716C8084" w14:textId="77777777" w:rsidR="006D2A6C" w:rsidRDefault="00000000">
            <w:hyperlink r:id="rId21" w:history="1">
              <w:r>
                <w:rPr>
                  <w:b/>
                  <w:bCs/>
                  <w:color w:val="F7A600"/>
                  <w:sz w:val="18"/>
                  <w:szCs w:val="18"/>
                  <w:u w:val="single"/>
                </w:rPr>
                <w:t>Learning Experience</w:t>
              </w:r>
            </w:hyperlink>
          </w:p>
        </w:tc>
        <w:tc>
          <w:tcPr>
            <w:tcW w:w="14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6A8B30B3" w14:textId="77777777" w:rsidR="006D2A6C" w:rsidRDefault="00000000">
            <w:pPr>
              <w:jc w:val="center"/>
            </w:pPr>
            <w:r>
              <w:rPr>
                <w:b/>
                <w:bCs/>
                <w:sz w:val="18"/>
                <w:szCs w:val="18"/>
              </w:rPr>
              <w:t>10%</w:t>
            </w:r>
          </w:p>
        </w:tc>
        <w:tc>
          <w:tcPr>
            <w:tcW w:w="4200"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78D840D4" w14:textId="77777777" w:rsidR="006D2A6C" w:rsidRDefault="00000000">
            <w:hyperlink r:id="rId22" w:history="1">
              <w:r>
                <w:rPr>
                  <w:color w:val="F7A600"/>
                  <w:sz w:val="18"/>
                  <w:szCs w:val="18"/>
                  <w:u w:val="single"/>
                </w:rPr>
                <w:t>Faculty Student Ratio</w:t>
              </w:r>
            </w:hyperlink>
          </w:p>
        </w:tc>
        <w:tc>
          <w:tcPr>
            <w:tcW w:w="1402" w:type="dxa"/>
            <w:tcBorders>
              <w:top w:val="single" w:sz="2" w:space="0" w:color="E2E2E2"/>
              <w:left w:val="single" w:sz="2" w:space="0" w:color="E2E2E2"/>
              <w:bottom w:val="single" w:sz="2" w:space="0" w:color="E2E2E2"/>
              <w:right w:val="single" w:sz="2" w:space="0" w:color="E2E2E2"/>
            </w:tcBorders>
            <w:tcMar>
              <w:top w:w="55" w:type="dxa"/>
              <w:left w:w="110" w:type="dxa"/>
              <w:bottom w:w="55" w:type="dxa"/>
              <w:right w:w="110" w:type="dxa"/>
            </w:tcMar>
            <w:vAlign w:val="center"/>
          </w:tcPr>
          <w:p w14:paraId="1B3C043F" w14:textId="77777777" w:rsidR="006D2A6C" w:rsidRDefault="00000000">
            <w:pPr>
              <w:jc w:val="center"/>
            </w:pPr>
            <w:r>
              <w:rPr>
                <w:sz w:val="18"/>
                <w:szCs w:val="18"/>
              </w:rPr>
              <w:t>10%</w:t>
            </w:r>
          </w:p>
        </w:tc>
      </w:tr>
      <w:tr w:rsidR="006D2A6C" w14:paraId="2E0A3869" w14:textId="77777777">
        <w:tblPrEx>
          <w:tblCellMar>
            <w:top w:w="0" w:type="dxa"/>
            <w:bottom w:w="0" w:type="dxa"/>
          </w:tblCellMar>
        </w:tblPrEx>
        <w:tc>
          <w:tcPr>
            <w:tcW w:w="26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6B095D01" w14:textId="77777777" w:rsidR="006D2A6C" w:rsidRDefault="00000000">
            <w:r>
              <w:rPr>
                <w:b/>
                <w:bCs/>
                <w:sz w:val="18"/>
                <w:szCs w:val="18"/>
              </w:rPr>
              <w:t>Sustainability</w:t>
            </w:r>
          </w:p>
        </w:tc>
        <w:tc>
          <w:tcPr>
            <w:tcW w:w="14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6141D6D6" w14:textId="77777777" w:rsidR="006D2A6C" w:rsidRDefault="00000000">
            <w:pPr>
              <w:jc w:val="center"/>
            </w:pPr>
            <w:r>
              <w:rPr>
                <w:b/>
                <w:bCs/>
                <w:sz w:val="18"/>
                <w:szCs w:val="18"/>
              </w:rPr>
              <w:t>5%</w:t>
            </w:r>
          </w:p>
        </w:tc>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35DBCA1A" w14:textId="77777777" w:rsidR="006D2A6C" w:rsidRDefault="00000000">
            <w:hyperlink r:id="rId23" w:history="1">
              <w:r>
                <w:rPr>
                  <w:color w:val="F7A600"/>
                  <w:sz w:val="18"/>
                  <w:szCs w:val="18"/>
                  <w:u w:val="single"/>
                </w:rPr>
                <w:t>Sustainability</w:t>
              </w:r>
            </w:hyperlink>
          </w:p>
        </w:tc>
        <w:tc>
          <w:tcPr>
            <w:tcW w:w="1402" w:type="dxa"/>
            <w:tcBorders>
              <w:top w:val="single" w:sz="2" w:space="0" w:color="E2E2E2"/>
              <w:left w:val="single" w:sz="2" w:space="0" w:color="E2E2E2"/>
              <w:bottom w:val="single" w:sz="2" w:space="0" w:color="E2E2E2"/>
              <w:right w:val="single" w:sz="2" w:space="0" w:color="E2E2E2"/>
            </w:tcBorders>
            <w:shd w:val="clear" w:color="auto" w:fill="FBF6EE"/>
            <w:tcMar>
              <w:top w:w="55" w:type="dxa"/>
              <w:left w:w="110" w:type="dxa"/>
              <w:bottom w:w="55" w:type="dxa"/>
              <w:right w:w="110" w:type="dxa"/>
            </w:tcMar>
            <w:vAlign w:val="center"/>
          </w:tcPr>
          <w:p w14:paraId="4BE512AC" w14:textId="77777777" w:rsidR="006D2A6C" w:rsidRDefault="00000000">
            <w:pPr>
              <w:jc w:val="center"/>
            </w:pPr>
            <w:r>
              <w:rPr>
                <w:sz w:val="18"/>
                <w:szCs w:val="18"/>
              </w:rPr>
              <w:t>5%</w:t>
            </w:r>
          </w:p>
        </w:tc>
      </w:tr>
    </w:tbl>
    <w:p w14:paraId="5922EB82" w14:textId="77777777" w:rsidR="006D2A6C" w:rsidRDefault="006D2A6C">
      <w:pPr>
        <w:spacing w:after="160"/>
      </w:pPr>
    </w:p>
    <w:p w14:paraId="2BB1D27D" w14:textId="77777777" w:rsidR="006D2A6C" w:rsidRDefault="00000000">
      <w:pPr>
        <w:spacing w:after="200" w:line="264" w:lineRule="auto"/>
      </w:pPr>
      <w:r>
        <w:t xml:space="preserve">The full QS World University Rankings 2027 will be published as the embargo lifts on </w:t>
      </w:r>
      <w:r>
        <w:rPr>
          <w:b/>
          <w:bCs/>
        </w:rPr>
        <w:t>Thursday 18 June 2026 at 02:01 AST</w:t>
      </w:r>
      <w:r>
        <w:t xml:space="preserve"> and will be available at </w:t>
      </w:r>
      <w:hyperlink r:id="rId24" w:history="1">
        <w:r>
          <w:rPr>
            <w:color w:val="F7A600"/>
            <w:u w:val="single"/>
          </w:rPr>
          <w:t>www.topuniversities.com/world-university-rankings</w:t>
        </w:r>
      </w:hyperlink>
      <w:r>
        <w:t>.</w:t>
      </w:r>
    </w:p>
    <w:p w14:paraId="5FE4CD57" w14:textId="77777777" w:rsidR="006D2A6C" w:rsidRDefault="00000000">
      <w:pPr>
        <w:spacing w:before="120" w:after="200"/>
        <w:jc w:val="center"/>
      </w:pPr>
      <w:r>
        <w:rPr>
          <w:b/>
          <w:bCs/>
        </w:rPr>
        <w:t>- Ends -</w:t>
      </w:r>
    </w:p>
    <w:p w14:paraId="67A66AD4" w14:textId="77777777" w:rsidR="006D2A6C" w:rsidRDefault="00000000">
      <w:pPr>
        <w:pBdr>
          <w:bottom w:val="single" w:sz="16" w:space="4" w:color="F7A600"/>
        </w:pBdr>
        <w:spacing w:before="280" w:after="40"/>
      </w:pPr>
      <w:r>
        <w:rPr>
          <w:b/>
          <w:bCs/>
          <w:sz w:val="26"/>
          <w:szCs w:val="26"/>
        </w:rPr>
        <w:t>Media contacts</w:t>
      </w:r>
    </w:p>
    <w:p w14:paraId="765D3A41" w14:textId="77777777" w:rsidR="006D2A6C" w:rsidRDefault="00000000">
      <w:pPr>
        <w:spacing w:after="120"/>
      </w:pPr>
      <w:r>
        <w:t>For further information or to request interviews with QS’ analysts, please contact:</w:t>
      </w:r>
    </w:p>
    <w:tbl>
      <w:tblPr>
        <w:tblW w:w="960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801"/>
        <w:gridCol w:w="4801"/>
      </w:tblGrid>
      <w:tr w:rsidR="006D2A6C" w:rsidRPr="00DB2D4F" w14:paraId="682D76EA" w14:textId="77777777">
        <w:tblPrEx>
          <w:tblCellMar>
            <w:top w:w="0" w:type="dxa"/>
            <w:bottom w:w="0" w:type="dxa"/>
          </w:tblCellMar>
        </w:tblPrEx>
        <w:tc>
          <w:tcPr>
            <w:tcW w:w="4801" w:type="dxa"/>
            <w:tcMar>
              <w:top w:w="40" w:type="dxa"/>
              <w:left w:w="0" w:type="dxa"/>
              <w:bottom w:w="40" w:type="dxa"/>
              <w:right w:w="120" w:type="dxa"/>
            </w:tcMar>
          </w:tcPr>
          <w:p w14:paraId="7190B763" w14:textId="77777777" w:rsidR="006D2A6C" w:rsidRDefault="00000000">
            <w:pPr>
              <w:spacing w:after="20"/>
            </w:pPr>
            <w:r>
              <w:rPr>
                <w:b/>
                <w:bCs/>
              </w:rPr>
              <w:t>Simona Bizzozero</w:t>
            </w:r>
          </w:p>
          <w:p w14:paraId="57D840D5" w14:textId="77777777" w:rsidR="006D2A6C" w:rsidRDefault="00000000">
            <w:pPr>
              <w:spacing w:after="20"/>
            </w:pPr>
            <w:r>
              <w:rPr>
                <w:sz w:val="20"/>
                <w:szCs w:val="20"/>
              </w:rPr>
              <w:t>Director of Communications</w:t>
            </w:r>
          </w:p>
          <w:p w14:paraId="1E3C0C90" w14:textId="77777777" w:rsidR="006D2A6C" w:rsidRDefault="00000000">
            <w:pPr>
              <w:spacing w:after="20"/>
            </w:pPr>
            <w:r>
              <w:rPr>
                <w:sz w:val="20"/>
                <w:szCs w:val="20"/>
              </w:rPr>
              <w:t>QS Quacquarelli Symonds</w:t>
            </w:r>
          </w:p>
          <w:p w14:paraId="00BABA59" w14:textId="77777777" w:rsidR="006D2A6C" w:rsidRDefault="00000000">
            <w:pPr>
              <w:spacing w:after="20"/>
            </w:pPr>
            <w:hyperlink r:id="rId25" w:history="1">
              <w:r>
                <w:rPr>
                  <w:color w:val="F7A600"/>
                  <w:sz w:val="20"/>
                  <w:szCs w:val="20"/>
                  <w:u w:val="single"/>
                </w:rPr>
                <w:t>simona@qs.com</w:t>
              </w:r>
            </w:hyperlink>
          </w:p>
          <w:p w14:paraId="168B8721" w14:textId="77777777" w:rsidR="006D2A6C" w:rsidRDefault="00000000">
            <w:pPr>
              <w:spacing w:after="20"/>
            </w:pPr>
            <w:r>
              <w:rPr>
                <w:sz w:val="20"/>
                <w:szCs w:val="20"/>
              </w:rPr>
              <w:t>+44 (0) 7880 620856</w:t>
            </w:r>
          </w:p>
        </w:tc>
        <w:tc>
          <w:tcPr>
            <w:tcW w:w="4801" w:type="dxa"/>
            <w:tcMar>
              <w:top w:w="40" w:type="dxa"/>
              <w:left w:w="120" w:type="dxa"/>
              <w:bottom w:w="40" w:type="dxa"/>
              <w:right w:w="0" w:type="dxa"/>
            </w:tcMar>
          </w:tcPr>
          <w:p w14:paraId="01CBC992" w14:textId="77777777" w:rsidR="006D2A6C" w:rsidRPr="00DB2D4F" w:rsidRDefault="00000000">
            <w:pPr>
              <w:spacing w:after="20"/>
              <w:rPr>
                <w:lang w:val="it-IT"/>
              </w:rPr>
            </w:pPr>
            <w:r w:rsidRPr="00DB2D4F">
              <w:rPr>
                <w:b/>
                <w:bCs/>
                <w:lang w:val="it-IT"/>
              </w:rPr>
              <w:t>Viggo Stacey</w:t>
            </w:r>
          </w:p>
          <w:p w14:paraId="02009715" w14:textId="77777777" w:rsidR="006D2A6C" w:rsidRPr="00DB2D4F" w:rsidRDefault="00000000">
            <w:pPr>
              <w:spacing w:after="20"/>
              <w:rPr>
                <w:lang w:val="it-IT"/>
              </w:rPr>
            </w:pPr>
            <w:r w:rsidRPr="00DB2D4F">
              <w:rPr>
                <w:sz w:val="20"/>
                <w:szCs w:val="20"/>
                <w:lang w:val="it-IT"/>
              </w:rPr>
              <w:t>PR Specialist</w:t>
            </w:r>
          </w:p>
          <w:p w14:paraId="6BB0C2D4" w14:textId="77777777" w:rsidR="006D2A6C" w:rsidRPr="00DB2D4F" w:rsidRDefault="00000000">
            <w:pPr>
              <w:spacing w:after="20"/>
              <w:rPr>
                <w:lang w:val="it-IT"/>
              </w:rPr>
            </w:pPr>
            <w:r w:rsidRPr="00DB2D4F">
              <w:rPr>
                <w:sz w:val="20"/>
                <w:szCs w:val="20"/>
                <w:lang w:val="it-IT"/>
              </w:rPr>
              <w:t>QS Quacquarelli Symonds</w:t>
            </w:r>
          </w:p>
          <w:p w14:paraId="772F2F10" w14:textId="77777777" w:rsidR="006D2A6C" w:rsidRPr="00DB2D4F" w:rsidRDefault="00000000">
            <w:pPr>
              <w:spacing w:after="20"/>
              <w:rPr>
                <w:lang w:val="it-IT"/>
              </w:rPr>
            </w:pPr>
            <w:hyperlink r:id="rId26" w:history="1">
              <w:r w:rsidRPr="00DB2D4F">
                <w:rPr>
                  <w:color w:val="F7A600"/>
                  <w:sz w:val="20"/>
                  <w:szCs w:val="20"/>
                  <w:u w:val="single"/>
                  <w:lang w:val="it-IT"/>
                </w:rPr>
                <w:t>viggo.stacey@qs.com</w:t>
              </w:r>
            </w:hyperlink>
          </w:p>
        </w:tc>
      </w:tr>
    </w:tbl>
    <w:p w14:paraId="3337E3D2" w14:textId="77777777" w:rsidR="006D2A6C" w:rsidRDefault="00000000">
      <w:pPr>
        <w:pBdr>
          <w:bottom w:val="single" w:sz="16" w:space="4" w:color="F7A600"/>
        </w:pBdr>
        <w:spacing w:before="280" w:after="40"/>
      </w:pPr>
      <w:r>
        <w:rPr>
          <w:b/>
          <w:bCs/>
          <w:sz w:val="26"/>
          <w:szCs w:val="26"/>
        </w:rPr>
        <w:t>Notes for Editors</w:t>
      </w:r>
    </w:p>
    <w:p w14:paraId="022BCFF3" w14:textId="77777777" w:rsidR="006D2A6C" w:rsidRDefault="00000000">
      <w:pPr>
        <w:spacing w:after="160" w:line="264" w:lineRule="auto"/>
      </w:pPr>
      <w:r>
        <w:rPr>
          <w:b/>
          <w:bCs/>
          <w:sz w:val="20"/>
          <w:szCs w:val="20"/>
        </w:rPr>
        <w:t xml:space="preserve">QS Quacquarelli Symonds </w:t>
      </w:r>
      <w:r>
        <w:rPr>
          <w:sz w:val="20"/>
          <w:szCs w:val="20"/>
        </w:rPr>
        <w:t>is the world’s leading provider of services, analytics and insight to the global higher education sector. Its mission is to empower motivated people everywhere to fulfil their potential through educational achievement, international mobility and career development. The QS World University Rankings portfolio, inaugurated in 2004, is the world’s most consulted comparative ranking of university performance. QS’ flagship website, www.TopUniversities.com, was viewed more than 170 million times in 2025, and over 135,000 media clippings mentioning QS were published by outlets worldwide in the same year.</w:t>
      </w:r>
    </w:p>
    <w:p w14:paraId="65D55CE4" w14:textId="77777777" w:rsidR="006D2A6C" w:rsidRDefault="00000000">
      <w:r>
        <w:br w:type="page"/>
      </w:r>
    </w:p>
    <w:p w14:paraId="455978D6" w14:textId="77777777" w:rsidR="006D2A6C" w:rsidRDefault="00000000">
      <w:pPr>
        <w:pBdr>
          <w:bottom w:val="single" w:sz="16" w:space="4" w:color="F7A600"/>
        </w:pBdr>
        <w:spacing w:before="280" w:after="40"/>
      </w:pPr>
      <w:r>
        <w:rPr>
          <w:b/>
          <w:bCs/>
          <w:sz w:val="26"/>
          <w:szCs w:val="26"/>
        </w:rPr>
        <w:lastRenderedPageBreak/>
        <w:t>Appendix</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300"/>
        <w:gridCol w:w="5402"/>
        <w:gridCol w:w="1600"/>
      </w:tblGrid>
      <w:tr w:rsidR="006D2A6C" w14:paraId="2F3ED084" w14:textId="77777777">
        <w:tblPrEx>
          <w:tblCellMar>
            <w:top w:w="0" w:type="dxa"/>
            <w:bottom w:w="0" w:type="dxa"/>
          </w:tblCellMar>
        </w:tblPrEx>
        <w:tc>
          <w:tcPr>
            <w:tcW w:w="9602" w:type="dxa"/>
            <w:gridSpan w:val="4"/>
            <w:tcBorders>
              <w:top w:val="single" w:sz="2" w:space="0" w:color="E2E2E2"/>
              <w:left w:val="single" w:sz="2" w:space="0" w:color="E2E2E2"/>
              <w:bottom w:val="single" w:sz="2" w:space="0" w:color="E2E2E2"/>
              <w:right w:val="single" w:sz="2" w:space="0" w:color="E2E2E2"/>
            </w:tcBorders>
            <w:shd w:val="clear" w:color="auto" w:fill="1D1D1B"/>
            <w:tcMar>
              <w:top w:w="80" w:type="dxa"/>
              <w:left w:w="120" w:type="dxa"/>
              <w:bottom w:w="80" w:type="dxa"/>
              <w:right w:w="120" w:type="dxa"/>
            </w:tcMar>
          </w:tcPr>
          <w:p w14:paraId="147D8AB4" w14:textId="77777777" w:rsidR="006D2A6C" w:rsidRDefault="00000000">
            <w:r>
              <w:rPr>
                <w:b/>
                <w:bCs/>
                <w:color w:val="FFFFFF"/>
                <w:sz w:val="19"/>
                <w:szCs w:val="19"/>
              </w:rPr>
              <w:t>Global top 10 in the QS World University Rankings 2027</w:t>
            </w:r>
          </w:p>
        </w:tc>
      </w:tr>
      <w:tr w:rsidR="006D2A6C" w14:paraId="6C200035" w14:textId="77777777">
        <w:tblPrEx>
          <w:tblCellMar>
            <w:top w:w="0" w:type="dxa"/>
            <w:bottom w:w="0" w:type="dxa"/>
          </w:tblCellMar>
        </w:tblPrEx>
        <w:trPr>
          <w:tblHeader/>
        </w:trPr>
        <w:tc>
          <w:tcPr>
            <w:tcW w:w="13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17D2297A" w14:textId="77777777" w:rsidR="006D2A6C" w:rsidRDefault="00000000">
            <w:r>
              <w:rPr>
                <w:b/>
                <w:bCs/>
                <w:sz w:val="17"/>
                <w:szCs w:val="17"/>
              </w:rPr>
              <w:t>2027 Rank</w:t>
            </w:r>
          </w:p>
        </w:tc>
        <w:tc>
          <w:tcPr>
            <w:tcW w:w="13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748DF8C5" w14:textId="77777777" w:rsidR="006D2A6C" w:rsidRDefault="00000000">
            <w:pPr>
              <w:jc w:val="center"/>
            </w:pPr>
            <w:r>
              <w:rPr>
                <w:b/>
                <w:bCs/>
                <w:sz w:val="17"/>
                <w:szCs w:val="17"/>
              </w:rPr>
              <w:t>2026 Rank</w:t>
            </w:r>
          </w:p>
        </w:tc>
        <w:tc>
          <w:tcPr>
            <w:tcW w:w="5402"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058D9A67" w14:textId="77777777" w:rsidR="006D2A6C" w:rsidRDefault="00000000">
            <w:pPr>
              <w:jc w:val="center"/>
            </w:pPr>
            <w:r>
              <w:rPr>
                <w:b/>
                <w:bCs/>
                <w:sz w:val="17"/>
                <w:szCs w:val="17"/>
              </w:rPr>
              <w:t>Institution</w:t>
            </w:r>
          </w:p>
        </w:tc>
        <w:tc>
          <w:tcPr>
            <w:tcW w:w="16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24690636" w14:textId="77777777" w:rsidR="006D2A6C" w:rsidRDefault="00000000">
            <w:pPr>
              <w:jc w:val="center"/>
            </w:pPr>
            <w:r>
              <w:rPr>
                <w:b/>
                <w:bCs/>
                <w:sz w:val="17"/>
                <w:szCs w:val="17"/>
              </w:rPr>
              <w:t>Location</w:t>
            </w:r>
          </w:p>
        </w:tc>
      </w:tr>
      <w:tr w:rsidR="006D2A6C" w14:paraId="3972548A"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2B4F31B" w14:textId="77777777" w:rsidR="006D2A6C" w:rsidRDefault="00000000">
            <w:pPr>
              <w:jc w:val="center"/>
            </w:pPr>
            <w:r>
              <w:rPr>
                <w:b/>
                <w:bCs/>
                <w:sz w:val="18"/>
                <w:szCs w:val="18"/>
              </w:rPr>
              <w:t>1</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2DF2469" w14:textId="77777777" w:rsidR="006D2A6C" w:rsidRDefault="00000000">
            <w:pPr>
              <w:jc w:val="center"/>
            </w:pPr>
            <w:r>
              <w:rPr>
                <w:sz w:val="18"/>
                <w:szCs w:val="18"/>
              </w:rPr>
              <w:t>1</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5847C35" w14:textId="77777777" w:rsidR="006D2A6C" w:rsidRDefault="00000000">
            <w:r>
              <w:rPr>
                <w:sz w:val="18"/>
                <w:szCs w:val="18"/>
              </w:rPr>
              <w:t>Massachusetts Institute of Technology (MIT)</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69DA93D" w14:textId="77777777" w:rsidR="006D2A6C" w:rsidRDefault="00000000">
            <w:pPr>
              <w:jc w:val="center"/>
            </w:pPr>
            <w:r>
              <w:rPr>
                <w:sz w:val="18"/>
                <w:szCs w:val="18"/>
              </w:rPr>
              <w:t>USA</w:t>
            </w:r>
          </w:p>
        </w:tc>
      </w:tr>
      <w:tr w:rsidR="006D2A6C" w14:paraId="41DD2B36"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22201A1" w14:textId="77777777" w:rsidR="006D2A6C" w:rsidRDefault="00000000">
            <w:pPr>
              <w:jc w:val="center"/>
            </w:pPr>
            <w:r>
              <w:rPr>
                <w:b/>
                <w:bCs/>
                <w:sz w:val="18"/>
                <w:szCs w:val="18"/>
              </w:rPr>
              <w:t>=2</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DA572FA" w14:textId="77777777" w:rsidR="006D2A6C" w:rsidRDefault="00000000">
            <w:pPr>
              <w:jc w:val="center"/>
            </w:pPr>
            <w:r>
              <w:rPr>
                <w:sz w:val="18"/>
                <w:szCs w:val="18"/>
              </w:rPr>
              <w:t>2</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F38B377" w14:textId="77777777" w:rsidR="006D2A6C" w:rsidRDefault="00000000">
            <w:r>
              <w:rPr>
                <w:sz w:val="18"/>
                <w:szCs w:val="18"/>
              </w:rPr>
              <w:t>Imperial College London</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D49C37B" w14:textId="77777777" w:rsidR="006D2A6C" w:rsidRDefault="00000000">
            <w:pPr>
              <w:jc w:val="center"/>
            </w:pPr>
            <w:r>
              <w:rPr>
                <w:sz w:val="18"/>
                <w:szCs w:val="18"/>
              </w:rPr>
              <w:t>UK</w:t>
            </w:r>
          </w:p>
        </w:tc>
      </w:tr>
      <w:tr w:rsidR="006D2A6C" w14:paraId="523E28D5"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CCF9540" w14:textId="77777777" w:rsidR="006D2A6C" w:rsidRDefault="00000000">
            <w:pPr>
              <w:jc w:val="center"/>
            </w:pPr>
            <w:r>
              <w:rPr>
                <w:b/>
                <w:bCs/>
                <w:sz w:val="18"/>
                <w:szCs w:val="18"/>
              </w:rPr>
              <w:t>=2</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29DA1E7" w14:textId="77777777" w:rsidR="006D2A6C" w:rsidRDefault="00000000">
            <w:pPr>
              <w:jc w:val="center"/>
            </w:pPr>
            <w:r>
              <w:rPr>
                <w:sz w:val="18"/>
                <w:szCs w:val="18"/>
              </w:rPr>
              <w:t>3</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458D2BE" w14:textId="77777777" w:rsidR="006D2A6C" w:rsidRDefault="00000000">
            <w:r>
              <w:rPr>
                <w:sz w:val="18"/>
                <w:szCs w:val="18"/>
              </w:rPr>
              <w:t>Stanford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E9982DD" w14:textId="77777777" w:rsidR="006D2A6C" w:rsidRDefault="00000000">
            <w:pPr>
              <w:jc w:val="center"/>
            </w:pPr>
            <w:r>
              <w:rPr>
                <w:sz w:val="18"/>
                <w:szCs w:val="18"/>
              </w:rPr>
              <w:t>USA</w:t>
            </w:r>
          </w:p>
        </w:tc>
      </w:tr>
      <w:tr w:rsidR="006D2A6C" w14:paraId="4DF7743B"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5B15756" w14:textId="77777777" w:rsidR="006D2A6C" w:rsidRDefault="00000000">
            <w:pPr>
              <w:jc w:val="center"/>
            </w:pPr>
            <w:r>
              <w:rPr>
                <w:b/>
                <w:bCs/>
                <w:sz w:val="18"/>
                <w:szCs w:val="18"/>
              </w:rPr>
              <w:t>4</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F703D8E" w14:textId="77777777" w:rsidR="006D2A6C" w:rsidRDefault="00000000">
            <w:pPr>
              <w:jc w:val="center"/>
            </w:pPr>
            <w:r>
              <w:rPr>
                <w:sz w:val="18"/>
                <w:szCs w:val="18"/>
              </w:rPr>
              <w:t>4</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FF65D15" w14:textId="77777777" w:rsidR="006D2A6C" w:rsidRDefault="00000000">
            <w:r>
              <w:rPr>
                <w:sz w:val="18"/>
                <w:szCs w:val="18"/>
              </w:rPr>
              <w:t>University of Oxford</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95DC911" w14:textId="77777777" w:rsidR="006D2A6C" w:rsidRDefault="00000000">
            <w:pPr>
              <w:jc w:val="center"/>
            </w:pPr>
            <w:r>
              <w:rPr>
                <w:sz w:val="18"/>
                <w:szCs w:val="18"/>
              </w:rPr>
              <w:t>UK</w:t>
            </w:r>
          </w:p>
        </w:tc>
      </w:tr>
      <w:tr w:rsidR="006D2A6C" w14:paraId="47DB1D33"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932DA38" w14:textId="77777777" w:rsidR="006D2A6C" w:rsidRDefault="00000000">
            <w:pPr>
              <w:jc w:val="center"/>
            </w:pPr>
            <w:r>
              <w:rPr>
                <w:b/>
                <w:bCs/>
                <w:sz w:val="18"/>
                <w:szCs w:val="18"/>
              </w:rPr>
              <w:t>5</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EEA6792" w14:textId="77777777" w:rsidR="006D2A6C" w:rsidRDefault="00000000">
            <w:pPr>
              <w:jc w:val="center"/>
            </w:pPr>
            <w:r>
              <w:rPr>
                <w:sz w:val="18"/>
                <w:szCs w:val="18"/>
              </w:rPr>
              <w:t>5</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193FB9F" w14:textId="77777777" w:rsidR="006D2A6C" w:rsidRDefault="00000000">
            <w:r>
              <w:rPr>
                <w:sz w:val="18"/>
                <w:szCs w:val="18"/>
              </w:rPr>
              <w:t>Harvard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528C35A" w14:textId="77777777" w:rsidR="006D2A6C" w:rsidRDefault="00000000">
            <w:pPr>
              <w:jc w:val="center"/>
            </w:pPr>
            <w:r>
              <w:rPr>
                <w:sz w:val="18"/>
                <w:szCs w:val="18"/>
              </w:rPr>
              <w:t>USA</w:t>
            </w:r>
          </w:p>
        </w:tc>
      </w:tr>
      <w:tr w:rsidR="006D2A6C" w14:paraId="6DBEBF3B"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BFC0EA3" w14:textId="77777777" w:rsidR="006D2A6C" w:rsidRDefault="00000000">
            <w:pPr>
              <w:jc w:val="center"/>
            </w:pPr>
            <w:r>
              <w:rPr>
                <w:b/>
                <w:bCs/>
                <w:sz w:val="18"/>
                <w:szCs w:val="18"/>
              </w:rPr>
              <w:t>6</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FCA4646" w14:textId="77777777" w:rsidR="006D2A6C" w:rsidRDefault="00000000">
            <w:pPr>
              <w:jc w:val="center"/>
            </w:pPr>
            <w:r>
              <w:rPr>
                <w:sz w:val="18"/>
                <w:szCs w:val="18"/>
              </w:rPr>
              <w:t>6</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DF6DB13" w14:textId="77777777" w:rsidR="006D2A6C" w:rsidRDefault="00000000">
            <w:r>
              <w:rPr>
                <w:sz w:val="18"/>
                <w:szCs w:val="18"/>
              </w:rPr>
              <w:t>University of Cambridge</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23F341B" w14:textId="77777777" w:rsidR="006D2A6C" w:rsidRDefault="00000000">
            <w:pPr>
              <w:jc w:val="center"/>
            </w:pPr>
            <w:r>
              <w:rPr>
                <w:sz w:val="18"/>
                <w:szCs w:val="18"/>
              </w:rPr>
              <w:t>UK</w:t>
            </w:r>
          </w:p>
        </w:tc>
      </w:tr>
      <w:tr w:rsidR="006D2A6C" w14:paraId="7BAC87E3"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9BB28F4" w14:textId="77777777" w:rsidR="006D2A6C" w:rsidRDefault="00000000">
            <w:pPr>
              <w:jc w:val="center"/>
            </w:pPr>
            <w:r>
              <w:rPr>
                <w:b/>
                <w:bCs/>
                <w:sz w:val="18"/>
                <w:szCs w:val="18"/>
              </w:rPr>
              <w:t>7</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C1EEF7C" w14:textId="77777777" w:rsidR="006D2A6C" w:rsidRDefault="00000000">
            <w:pPr>
              <w:jc w:val="center"/>
            </w:pPr>
            <w:r>
              <w:rPr>
                <w:sz w:val="18"/>
                <w:szCs w:val="18"/>
              </w:rPr>
              <w:t>10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9D62F87" w14:textId="77777777" w:rsidR="006D2A6C" w:rsidRDefault="00000000">
            <w:r>
              <w:rPr>
                <w:sz w:val="18"/>
                <w:szCs w:val="18"/>
              </w:rPr>
              <w:t>California Institute of Technology (Caltech)</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8EA32D2" w14:textId="77777777" w:rsidR="006D2A6C" w:rsidRDefault="00000000">
            <w:pPr>
              <w:jc w:val="center"/>
            </w:pPr>
            <w:r>
              <w:rPr>
                <w:sz w:val="18"/>
                <w:szCs w:val="18"/>
              </w:rPr>
              <w:t>USA</w:t>
            </w:r>
          </w:p>
        </w:tc>
      </w:tr>
      <w:tr w:rsidR="006D2A6C" w14:paraId="30A47412"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4E61B5C" w14:textId="77777777" w:rsidR="006D2A6C" w:rsidRDefault="00000000">
            <w:pPr>
              <w:jc w:val="center"/>
            </w:pPr>
            <w:r>
              <w:rPr>
                <w:b/>
                <w:bCs/>
                <w:sz w:val="18"/>
                <w:szCs w:val="18"/>
              </w:rPr>
              <w:t>=8</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AB450B2" w14:textId="77777777" w:rsidR="006D2A6C" w:rsidRDefault="00000000">
            <w:pPr>
              <w:jc w:val="center"/>
            </w:pPr>
            <w:r>
              <w:rPr>
                <w:sz w:val="18"/>
                <w:szCs w:val="18"/>
              </w:rPr>
              <w:t>7</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2887FF3" w14:textId="77777777" w:rsidR="006D2A6C" w:rsidRDefault="00000000">
            <w:r>
              <w:rPr>
                <w:sz w:val="18"/>
                <w:szCs w:val="18"/>
              </w:rPr>
              <w:t>ETH Zurich</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9A16B77" w14:textId="77777777" w:rsidR="006D2A6C" w:rsidRDefault="00000000">
            <w:pPr>
              <w:jc w:val="center"/>
            </w:pPr>
            <w:r>
              <w:rPr>
                <w:sz w:val="18"/>
                <w:szCs w:val="18"/>
              </w:rPr>
              <w:t>Switzerland</w:t>
            </w:r>
          </w:p>
        </w:tc>
      </w:tr>
      <w:tr w:rsidR="006D2A6C" w14:paraId="3DA80322"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005A717" w14:textId="77777777" w:rsidR="006D2A6C" w:rsidRDefault="00000000">
            <w:pPr>
              <w:jc w:val="center"/>
            </w:pPr>
            <w:r>
              <w:rPr>
                <w:b/>
                <w:bCs/>
                <w:sz w:val="18"/>
                <w:szCs w:val="18"/>
              </w:rPr>
              <w:t>=8</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3E7DAF2" w14:textId="77777777" w:rsidR="006D2A6C" w:rsidRDefault="00000000">
            <w:pPr>
              <w:jc w:val="center"/>
            </w:pPr>
            <w:r>
              <w:rPr>
                <w:sz w:val="18"/>
                <w:szCs w:val="18"/>
              </w:rPr>
              <w:t>9</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0C75B97" w14:textId="77777777" w:rsidR="006D2A6C" w:rsidRDefault="00000000">
            <w:r>
              <w:rPr>
                <w:sz w:val="18"/>
                <w:szCs w:val="18"/>
              </w:rPr>
              <w:t>UCL</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B119C5B" w14:textId="77777777" w:rsidR="006D2A6C" w:rsidRDefault="00000000">
            <w:pPr>
              <w:jc w:val="center"/>
            </w:pPr>
            <w:r>
              <w:rPr>
                <w:sz w:val="18"/>
                <w:szCs w:val="18"/>
              </w:rPr>
              <w:t>UK</w:t>
            </w:r>
          </w:p>
        </w:tc>
      </w:tr>
      <w:tr w:rsidR="006D2A6C" w14:paraId="07596AFC"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18D1267" w14:textId="77777777" w:rsidR="006D2A6C" w:rsidRDefault="00000000">
            <w:pPr>
              <w:jc w:val="center"/>
            </w:pPr>
            <w:r>
              <w:rPr>
                <w:b/>
                <w:bCs/>
                <w:sz w:val="18"/>
                <w:szCs w:val="18"/>
              </w:rPr>
              <w:t>10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C07FE91" w14:textId="77777777" w:rsidR="006D2A6C" w:rsidRDefault="00000000">
            <w:pPr>
              <w:jc w:val="center"/>
            </w:pPr>
            <w:r>
              <w:rPr>
                <w:sz w:val="18"/>
                <w:szCs w:val="18"/>
              </w:rPr>
              <w:t>8</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9BDD1F9" w14:textId="77777777" w:rsidR="006D2A6C" w:rsidRDefault="00000000">
            <w:r>
              <w:rPr>
                <w:sz w:val="18"/>
                <w:szCs w:val="18"/>
              </w:rPr>
              <w:t>National University of Singapore (NUS)</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22D1A5F" w14:textId="77777777" w:rsidR="006D2A6C" w:rsidRDefault="00000000">
            <w:pPr>
              <w:jc w:val="center"/>
            </w:pPr>
            <w:r>
              <w:rPr>
                <w:sz w:val="18"/>
                <w:szCs w:val="18"/>
              </w:rPr>
              <w:t>Singapore</w:t>
            </w:r>
          </w:p>
        </w:tc>
      </w:tr>
      <w:tr w:rsidR="006D2A6C" w14:paraId="561EE866" w14:textId="77777777">
        <w:tblPrEx>
          <w:tblCellMar>
            <w:top w:w="0" w:type="dxa"/>
            <w:bottom w:w="0" w:type="dxa"/>
          </w:tblCellMar>
        </w:tblPrEx>
        <w:tc>
          <w:tcPr>
            <w:tcW w:w="9602" w:type="dxa"/>
            <w:gridSpan w:val="4"/>
            <w:tcBorders>
              <w:top w:val="single" w:sz="2" w:space="0" w:color="E2E2E2"/>
              <w:left w:val="single" w:sz="2" w:space="0" w:color="E2E2E2"/>
              <w:bottom w:val="single" w:sz="2" w:space="0" w:color="E2E2E2"/>
              <w:right w:val="single" w:sz="2" w:space="0" w:color="E2E2E2"/>
            </w:tcBorders>
            <w:shd w:val="clear" w:color="auto" w:fill="FBF6EE"/>
            <w:tcMar>
              <w:top w:w="50" w:type="dxa"/>
              <w:left w:w="120" w:type="dxa"/>
              <w:bottom w:w="50" w:type="dxa"/>
              <w:right w:w="120" w:type="dxa"/>
            </w:tcMar>
          </w:tcPr>
          <w:p w14:paraId="0C69E911" w14:textId="77777777" w:rsidR="006D2A6C" w:rsidRDefault="00000000">
            <w:r>
              <w:rPr>
                <w:i/>
                <w:iCs/>
                <w:color w:val="6B6B6A"/>
                <w:sz w:val="15"/>
                <w:szCs w:val="15"/>
              </w:rPr>
              <w:t>© QS Quacquarelli Symonds 2004-2027, TopUniversities.com</w:t>
            </w:r>
          </w:p>
        </w:tc>
      </w:tr>
    </w:tbl>
    <w:p w14:paraId="7AC665DF" w14:textId="77777777" w:rsidR="006D2A6C" w:rsidRDefault="006D2A6C">
      <w:pPr>
        <w:spacing w:after="160"/>
      </w:pPr>
    </w:p>
    <w:p w14:paraId="283F0D88" w14:textId="77777777" w:rsidR="006D2A6C" w:rsidRDefault="00000000">
      <w:pPr>
        <w:spacing w:before="120" w:after="60"/>
      </w:pPr>
      <w:r>
        <w:rPr>
          <w:b/>
          <w:bCs/>
          <w:sz w:val="22"/>
          <w:szCs w:val="22"/>
        </w:rPr>
        <w:t>Most improved higher education systems in 2027</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1800"/>
        <w:gridCol w:w="1800"/>
        <w:gridCol w:w="1802"/>
      </w:tblGrid>
      <w:tr w:rsidR="006D2A6C" w14:paraId="353915A1" w14:textId="77777777">
        <w:tblPrEx>
          <w:tblCellMar>
            <w:top w:w="0" w:type="dxa"/>
            <w:bottom w:w="0" w:type="dxa"/>
          </w:tblCellMar>
        </w:tblPrEx>
        <w:trPr>
          <w:tblHeader/>
        </w:trPr>
        <w:tc>
          <w:tcPr>
            <w:tcW w:w="42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15F6D514" w14:textId="77777777" w:rsidR="006D2A6C" w:rsidRDefault="00000000">
            <w:r>
              <w:rPr>
                <w:b/>
                <w:bCs/>
                <w:sz w:val="17"/>
                <w:szCs w:val="17"/>
              </w:rPr>
              <w:t>Location</w:t>
            </w:r>
          </w:p>
        </w:tc>
        <w:tc>
          <w:tcPr>
            <w:tcW w:w="18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39591C5C" w14:textId="77777777" w:rsidR="006D2A6C" w:rsidRDefault="00000000">
            <w:pPr>
              <w:jc w:val="center"/>
            </w:pPr>
            <w:r>
              <w:rPr>
                <w:b/>
                <w:bCs/>
                <w:sz w:val="17"/>
                <w:szCs w:val="17"/>
              </w:rPr>
              <w:t>No. HEIs ranked</w:t>
            </w:r>
          </w:p>
        </w:tc>
        <w:tc>
          <w:tcPr>
            <w:tcW w:w="18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2AA1C2D3" w14:textId="77777777" w:rsidR="006D2A6C" w:rsidRDefault="00000000">
            <w:pPr>
              <w:jc w:val="center"/>
            </w:pPr>
            <w:r>
              <w:rPr>
                <w:b/>
                <w:bCs/>
                <w:sz w:val="17"/>
                <w:szCs w:val="17"/>
              </w:rPr>
              <w:t>No. with higher YoY rank</w:t>
            </w:r>
          </w:p>
        </w:tc>
        <w:tc>
          <w:tcPr>
            <w:tcW w:w="1802"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1ABBE47B" w14:textId="77777777" w:rsidR="006D2A6C" w:rsidRDefault="00000000">
            <w:pPr>
              <w:jc w:val="center"/>
            </w:pPr>
            <w:r>
              <w:rPr>
                <w:b/>
                <w:bCs/>
                <w:sz w:val="17"/>
                <w:szCs w:val="17"/>
              </w:rPr>
              <w:t>Higher %</w:t>
            </w:r>
          </w:p>
        </w:tc>
      </w:tr>
      <w:tr w:rsidR="006D2A6C" w14:paraId="7881B9AA"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9FF9E3F" w14:textId="77777777" w:rsidR="006D2A6C" w:rsidRDefault="00000000">
            <w:r>
              <w:rPr>
                <w:b/>
                <w:bCs/>
                <w:sz w:val="18"/>
                <w:szCs w:val="18"/>
              </w:rPr>
              <w:t>Iceland</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E66D226" w14:textId="77777777" w:rsidR="006D2A6C" w:rsidRDefault="00000000">
            <w:pPr>
              <w:jc w:val="center"/>
            </w:pPr>
            <w:r>
              <w:rPr>
                <w:sz w:val="18"/>
                <w:szCs w:val="18"/>
              </w:rPr>
              <w:t>1</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998A791" w14:textId="77777777" w:rsidR="006D2A6C" w:rsidRDefault="00000000">
            <w:pPr>
              <w:jc w:val="center"/>
            </w:pPr>
            <w:r>
              <w:rPr>
                <w:sz w:val="18"/>
                <w:szCs w:val="18"/>
              </w:rPr>
              <w:t>1</w:t>
            </w:r>
          </w:p>
        </w:tc>
        <w:tc>
          <w:tcPr>
            <w:tcW w:w="18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0611C27" w14:textId="77777777" w:rsidR="006D2A6C" w:rsidRDefault="00000000">
            <w:pPr>
              <w:jc w:val="center"/>
            </w:pPr>
            <w:r>
              <w:rPr>
                <w:sz w:val="18"/>
                <w:szCs w:val="18"/>
              </w:rPr>
              <w:t>100%</w:t>
            </w:r>
          </w:p>
        </w:tc>
      </w:tr>
      <w:tr w:rsidR="006D2A6C" w14:paraId="0D8B8383"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3BCA320" w14:textId="77777777" w:rsidR="006D2A6C" w:rsidRDefault="00000000">
            <w:r>
              <w:rPr>
                <w:b/>
                <w:bCs/>
                <w:sz w:val="18"/>
                <w:szCs w:val="18"/>
              </w:rPr>
              <w:t>Malta</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6CAB98D" w14:textId="77777777" w:rsidR="006D2A6C" w:rsidRDefault="00000000">
            <w:pPr>
              <w:jc w:val="center"/>
            </w:pPr>
            <w:r>
              <w:rPr>
                <w:sz w:val="18"/>
                <w:szCs w:val="18"/>
              </w:rPr>
              <w:t>1</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A3D0F2A" w14:textId="77777777" w:rsidR="006D2A6C" w:rsidRDefault="00000000">
            <w:pPr>
              <w:jc w:val="center"/>
            </w:pPr>
            <w:r>
              <w:rPr>
                <w:sz w:val="18"/>
                <w:szCs w:val="18"/>
              </w:rPr>
              <w:t>1</w:t>
            </w:r>
          </w:p>
        </w:tc>
        <w:tc>
          <w:tcPr>
            <w:tcW w:w="18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37BC043" w14:textId="77777777" w:rsidR="006D2A6C" w:rsidRDefault="00000000">
            <w:pPr>
              <w:jc w:val="center"/>
            </w:pPr>
            <w:r>
              <w:rPr>
                <w:sz w:val="18"/>
                <w:szCs w:val="18"/>
              </w:rPr>
              <w:t>100%</w:t>
            </w:r>
          </w:p>
        </w:tc>
      </w:tr>
      <w:tr w:rsidR="006D2A6C" w14:paraId="6B4EC861"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C4102C5" w14:textId="77777777" w:rsidR="006D2A6C" w:rsidRDefault="00000000">
            <w:r>
              <w:rPr>
                <w:b/>
                <w:bCs/>
                <w:sz w:val="18"/>
                <w:szCs w:val="18"/>
              </w:rPr>
              <w:t>Luxembourg</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51412AA" w14:textId="77777777" w:rsidR="006D2A6C" w:rsidRDefault="00000000">
            <w:pPr>
              <w:jc w:val="center"/>
            </w:pPr>
            <w:r>
              <w:rPr>
                <w:sz w:val="18"/>
                <w:szCs w:val="18"/>
              </w:rPr>
              <w:t>1</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E1CC819" w14:textId="77777777" w:rsidR="006D2A6C" w:rsidRDefault="00000000">
            <w:pPr>
              <w:jc w:val="center"/>
            </w:pPr>
            <w:r>
              <w:rPr>
                <w:sz w:val="18"/>
                <w:szCs w:val="18"/>
              </w:rPr>
              <w:t>1</w:t>
            </w:r>
          </w:p>
        </w:tc>
        <w:tc>
          <w:tcPr>
            <w:tcW w:w="18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1350D60" w14:textId="77777777" w:rsidR="006D2A6C" w:rsidRDefault="00000000">
            <w:pPr>
              <w:jc w:val="center"/>
            </w:pPr>
            <w:r>
              <w:rPr>
                <w:sz w:val="18"/>
                <w:szCs w:val="18"/>
              </w:rPr>
              <w:t>100%</w:t>
            </w:r>
          </w:p>
        </w:tc>
      </w:tr>
      <w:tr w:rsidR="006D2A6C" w14:paraId="10D24488"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86A2D65" w14:textId="77777777" w:rsidR="006D2A6C" w:rsidRDefault="00000000">
            <w:r>
              <w:rPr>
                <w:b/>
                <w:bCs/>
                <w:sz w:val="18"/>
                <w:szCs w:val="18"/>
              </w:rPr>
              <w:t>Qatar</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C5C6052" w14:textId="77777777" w:rsidR="006D2A6C" w:rsidRDefault="00000000">
            <w:pPr>
              <w:jc w:val="center"/>
            </w:pPr>
            <w:r>
              <w:rPr>
                <w:sz w:val="18"/>
                <w:szCs w:val="18"/>
              </w:rPr>
              <w:t>2</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EE80174" w14:textId="77777777" w:rsidR="006D2A6C" w:rsidRDefault="00000000">
            <w:pPr>
              <w:jc w:val="center"/>
            </w:pPr>
            <w:r>
              <w:rPr>
                <w:sz w:val="18"/>
                <w:szCs w:val="18"/>
              </w:rPr>
              <w:t>2</w:t>
            </w:r>
          </w:p>
        </w:tc>
        <w:tc>
          <w:tcPr>
            <w:tcW w:w="18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58CACE9" w14:textId="77777777" w:rsidR="006D2A6C" w:rsidRDefault="00000000">
            <w:pPr>
              <w:jc w:val="center"/>
            </w:pPr>
            <w:r>
              <w:rPr>
                <w:sz w:val="18"/>
                <w:szCs w:val="18"/>
              </w:rPr>
              <w:t>100%</w:t>
            </w:r>
          </w:p>
        </w:tc>
      </w:tr>
      <w:tr w:rsidR="006D2A6C" w14:paraId="5B7D3EA3"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D9BDFBC" w14:textId="77777777" w:rsidR="006D2A6C" w:rsidRDefault="00000000">
            <w:r>
              <w:rPr>
                <w:b/>
                <w:bCs/>
                <w:sz w:val="18"/>
                <w:szCs w:val="18"/>
              </w:rPr>
              <w:t>Azerbaijan</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FE31055" w14:textId="77777777" w:rsidR="006D2A6C" w:rsidRDefault="00000000">
            <w:pPr>
              <w:jc w:val="center"/>
            </w:pPr>
            <w:r>
              <w:rPr>
                <w:sz w:val="18"/>
                <w:szCs w:val="18"/>
              </w:rPr>
              <w:t>10</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4F6490D" w14:textId="77777777" w:rsidR="006D2A6C" w:rsidRDefault="00000000">
            <w:pPr>
              <w:jc w:val="center"/>
            </w:pPr>
            <w:r>
              <w:rPr>
                <w:sz w:val="18"/>
                <w:szCs w:val="18"/>
              </w:rPr>
              <w:t>8</w:t>
            </w:r>
          </w:p>
        </w:tc>
        <w:tc>
          <w:tcPr>
            <w:tcW w:w="18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75D25BA" w14:textId="77777777" w:rsidR="006D2A6C" w:rsidRDefault="00000000">
            <w:pPr>
              <w:jc w:val="center"/>
            </w:pPr>
            <w:r>
              <w:rPr>
                <w:sz w:val="18"/>
                <w:szCs w:val="18"/>
              </w:rPr>
              <w:t>89%</w:t>
            </w:r>
          </w:p>
        </w:tc>
      </w:tr>
      <w:tr w:rsidR="006D2A6C" w14:paraId="41E04ED7"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ED8ECE5" w14:textId="77777777" w:rsidR="006D2A6C" w:rsidRDefault="00000000">
            <w:r>
              <w:rPr>
                <w:b/>
                <w:bCs/>
                <w:sz w:val="18"/>
                <w:szCs w:val="18"/>
              </w:rPr>
              <w:t>Austria</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3050CCC" w14:textId="77777777" w:rsidR="006D2A6C" w:rsidRDefault="00000000">
            <w:pPr>
              <w:jc w:val="center"/>
            </w:pPr>
            <w:r>
              <w:rPr>
                <w:sz w:val="18"/>
                <w:szCs w:val="18"/>
              </w:rPr>
              <w:t>10</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3C8AE79" w14:textId="77777777" w:rsidR="006D2A6C" w:rsidRDefault="00000000">
            <w:pPr>
              <w:jc w:val="center"/>
            </w:pPr>
            <w:r>
              <w:rPr>
                <w:sz w:val="18"/>
                <w:szCs w:val="18"/>
              </w:rPr>
              <w:t>7</w:t>
            </w:r>
          </w:p>
        </w:tc>
        <w:tc>
          <w:tcPr>
            <w:tcW w:w="18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4DA32ED" w14:textId="77777777" w:rsidR="006D2A6C" w:rsidRDefault="00000000">
            <w:pPr>
              <w:jc w:val="center"/>
            </w:pPr>
            <w:r>
              <w:rPr>
                <w:sz w:val="18"/>
                <w:szCs w:val="18"/>
              </w:rPr>
              <w:t>88%</w:t>
            </w:r>
          </w:p>
        </w:tc>
      </w:tr>
      <w:tr w:rsidR="006D2A6C" w14:paraId="12CAE77D"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53D7668" w14:textId="77777777" w:rsidR="006D2A6C" w:rsidRDefault="00000000">
            <w:r>
              <w:rPr>
                <w:b/>
                <w:bCs/>
                <w:sz w:val="18"/>
                <w:szCs w:val="18"/>
              </w:rPr>
              <w:t>Denmark</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1F447A1" w14:textId="77777777" w:rsidR="006D2A6C" w:rsidRDefault="00000000">
            <w:pPr>
              <w:jc w:val="center"/>
            </w:pPr>
            <w:r>
              <w:rPr>
                <w:sz w:val="18"/>
                <w:szCs w:val="18"/>
              </w:rPr>
              <w:t>6</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36CA8C9" w14:textId="77777777" w:rsidR="006D2A6C" w:rsidRDefault="00000000">
            <w:pPr>
              <w:jc w:val="center"/>
            </w:pPr>
            <w:r>
              <w:rPr>
                <w:sz w:val="18"/>
                <w:szCs w:val="18"/>
              </w:rPr>
              <w:t>4</w:t>
            </w:r>
          </w:p>
        </w:tc>
        <w:tc>
          <w:tcPr>
            <w:tcW w:w="18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A93CA75" w14:textId="77777777" w:rsidR="006D2A6C" w:rsidRDefault="00000000">
            <w:pPr>
              <w:jc w:val="center"/>
            </w:pPr>
            <w:r>
              <w:rPr>
                <w:sz w:val="18"/>
                <w:szCs w:val="18"/>
              </w:rPr>
              <w:t>80%</w:t>
            </w:r>
          </w:p>
        </w:tc>
      </w:tr>
      <w:tr w:rsidR="006D2A6C" w14:paraId="1A6CED99"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D1F58FD" w14:textId="77777777" w:rsidR="006D2A6C" w:rsidRDefault="00000000">
            <w:r>
              <w:rPr>
                <w:b/>
                <w:bCs/>
                <w:sz w:val="18"/>
                <w:szCs w:val="18"/>
              </w:rPr>
              <w:t>Hong Kong SAR, China</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6A5ACB1" w14:textId="77777777" w:rsidR="006D2A6C" w:rsidRDefault="00000000">
            <w:pPr>
              <w:jc w:val="center"/>
            </w:pPr>
            <w:r>
              <w:rPr>
                <w:sz w:val="18"/>
                <w:szCs w:val="18"/>
              </w:rPr>
              <w:t>10</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CDEC06B" w14:textId="77777777" w:rsidR="006D2A6C" w:rsidRDefault="00000000">
            <w:pPr>
              <w:jc w:val="center"/>
            </w:pPr>
            <w:r>
              <w:rPr>
                <w:sz w:val="18"/>
                <w:szCs w:val="18"/>
              </w:rPr>
              <w:t>7</w:t>
            </w:r>
          </w:p>
        </w:tc>
        <w:tc>
          <w:tcPr>
            <w:tcW w:w="18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888929A" w14:textId="77777777" w:rsidR="006D2A6C" w:rsidRDefault="00000000">
            <w:pPr>
              <w:jc w:val="center"/>
            </w:pPr>
            <w:r>
              <w:rPr>
                <w:sz w:val="18"/>
                <w:szCs w:val="18"/>
              </w:rPr>
              <w:t>78%</w:t>
            </w:r>
          </w:p>
        </w:tc>
      </w:tr>
      <w:tr w:rsidR="006D2A6C" w14:paraId="577F6ACF"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FE3BD47" w14:textId="77777777" w:rsidR="006D2A6C" w:rsidRDefault="00000000">
            <w:r>
              <w:rPr>
                <w:b/>
                <w:bCs/>
                <w:sz w:val="18"/>
                <w:szCs w:val="18"/>
              </w:rPr>
              <w:t>Ireland</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EE13D8F" w14:textId="77777777" w:rsidR="006D2A6C" w:rsidRDefault="00000000">
            <w:pPr>
              <w:jc w:val="center"/>
            </w:pPr>
            <w:r>
              <w:rPr>
                <w:sz w:val="18"/>
                <w:szCs w:val="18"/>
              </w:rPr>
              <w:t>8</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2037EF3" w14:textId="77777777" w:rsidR="006D2A6C" w:rsidRDefault="00000000">
            <w:pPr>
              <w:jc w:val="center"/>
            </w:pPr>
            <w:r>
              <w:rPr>
                <w:sz w:val="18"/>
                <w:szCs w:val="18"/>
              </w:rPr>
              <w:t>6</w:t>
            </w:r>
          </w:p>
        </w:tc>
        <w:tc>
          <w:tcPr>
            <w:tcW w:w="18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B2A0E9D" w14:textId="77777777" w:rsidR="006D2A6C" w:rsidRDefault="00000000">
            <w:pPr>
              <w:jc w:val="center"/>
            </w:pPr>
            <w:r>
              <w:rPr>
                <w:sz w:val="18"/>
                <w:szCs w:val="18"/>
              </w:rPr>
              <w:t>75%</w:t>
            </w:r>
          </w:p>
        </w:tc>
      </w:tr>
      <w:tr w:rsidR="006D2A6C" w14:paraId="1D996E72"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E3175DE" w14:textId="77777777" w:rsidR="006D2A6C" w:rsidRDefault="00000000">
            <w:r>
              <w:rPr>
                <w:b/>
                <w:bCs/>
                <w:sz w:val="18"/>
                <w:szCs w:val="18"/>
              </w:rPr>
              <w:t>United Arab Emirates</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A83AA5A" w14:textId="77777777" w:rsidR="006D2A6C" w:rsidRDefault="00000000">
            <w:pPr>
              <w:jc w:val="center"/>
            </w:pPr>
            <w:r>
              <w:rPr>
                <w:sz w:val="18"/>
                <w:szCs w:val="18"/>
              </w:rPr>
              <w:t>12</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82B1D55" w14:textId="77777777" w:rsidR="006D2A6C" w:rsidRDefault="00000000">
            <w:pPr>
              <w:jc w:val="center"/>
            </w:pPr>
            <w:r>
              <w:rPr>
                <w:sz w:val="18"/>
                <w:szCs w:val="18"/>
              </w:rPr>
              <w:t>9</w:t>
            </w:r>
          </w:p>
        </w:tc>
        <w:tc>
          <w:tcPr>
            <w:tcW w:w="18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9110929" w14:textId="77777777" w:rsidR="006D2A6C" w:rsidRDefault="00000000">
            <w:pPr>
              <w:jc w:val="center"/>
            </w:pPr>
            <w:r>
              <w:rPr>
                <w:sz w:val="18"/>
                <w:szCs w:val="18"/>
              </w:rPr>
              <w:t>75%</w:t>
            </w:r>
          </w:p>
        </w:tc>
      </w:tr>
      <w:tr w:rsidR="006D2A6C" w14:paraId="521A69F6"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22ECB54" w14:textId="77777777" w:rsidR="006D2A6C" w:rsidRDefault="00000000">
            <w:r>
              <w:rPr>
                <w:b/>
                <w:bCs/>
                <w:sz w:val="18"/>
                <w:szCs w:val="18"/>
              </w:rPr>
              <w:t>China (Mainland)</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83B2D07" w14:textId="77777777" w:rsidR="006D2A6C" w:rsidRDefault="00000000">
            <w:pPr>
              <w:jc w:val="center"/>
            </w:pPr>
            <w:r>
              <w:rPr>
                <w:sz w:val="18"/>
                <w:szCs w:val="18"/>
              </w:rPr>
              <w:t>85</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13B6BBE" w14:textId="77777777" w:rsidR="006D2A6C" w:rsidRDefault="00000000">
            <w:pPr>
              <w:jc w:val="center"/>
            </w:pPr>
            <w:r>
              <w:rPr>
                <w:sz w:val="18"/>
                <w:szCs w:val="18"/>
              </w:rPr>
              <w:t>52</w:t>
            </w:r>
          </w:p>
        </w:tc>
        <w:tc>
          <w:tcPr>
            <w:tcW w:w="18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FA117CA" w14:textId="77777777" w:rsidR="006D2A6C" w:rsidRDefault="00000000">
            <w:pPr>
              <w:jc w:val="center"/>
            </w:pPr>
            <w:r>
              <w:rPr>
                <w:sz w:val="18"/>
                <w:szCs w:val="18"/>
              </w:rPr>
              <w:t>72%</w:t>
            </w:r>
          </w:p>
        </w:tc>
      </w:tr>
      <w:tr w:rsidR="006D2A6C" w14:paraId="7EB04113"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A5FEA71" w14:textId="77777777" w:rsidR="006D2A6C" w:rsidRDefault="00000000">
            <w:r>
              <w:rPr>
                <w:b/>
                <w:bCs/>
                <w:sz w:val="18"/>
                <w:szCs w:val="18"/>
              </w:rPr>
              <w:t>Macao SAR, China</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CB1D65B" w14:textId="77777777" w:rsidR="006D2A6C" w:rsidRDefault="00000000">
            <w:pPr>
              <w:jc w:val="center"/>
            </w:pPr>
            <w:r>
              <w:rPr>
                <w:sz w:val="18"/>
                <w:szCs w:val="18"/>
              </w:rPr>
              <w:t>4</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D792AB7" w14:textId="77777777" w:rsidR="006D2A6C" w:rsidRDefault="00000000">
            <w:pPr>
              <w:jc w:val="center"/>
            </w:pPr>
            <w:r>
              <w:rPr>
                <w:sz w:val="18"/>
                <w:szCs w:val="18"/>
              </w:rPr>
              <w:t>2</w:t>
            </w:r>
          </w:p>
        </w:tc>
        <w:tc>
          <w:tcPr>
            <w:tcW w:w="18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C687729" w14:textId="77777777" w:rsidR="006D2A6C" w:rsidRDefault="00000000">
            <w:pPr>
              <w:jc w:val="center"/>
            </w:pPr>
            <w:r>
              <w:rPr>
                <w:sz w:val="18"/>
                <w:szCs w:val="18"/>
              </w:rPr>
              <w:t>67%</w:t>
            </w:r>
          </w:p>
        </w:tc>
      </w:tr>
      <w:tr w:rsidR="006D2A6C" w14:paraId="4BC23C74"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ABD665F" w14:textId="77777777" w:rsidR="006D2A6C" w:rsidRDefault="00000000">
            <w:r>
              <w:rPr>
                <w:b/>
                <w:bCs/>
                <w:sz w:val="18"/>
                <w:szCs w:val="18"/>
              </w:rPr>
              <w:t>Norway</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F0D16B6" w14:textId="77777777" w:rsidR="006D2A6C" w:rsidRDefault="00000000">
            <w:pPr>
              <w:jc w:val="center"/>
            </w:pPr>
            <w:r>
              <w:rPr>
                <w:sz w:val="18"/>
                <w:szCs w:val="18"/>
              </w:rPr>
              <w:t>8</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42D39E8" w14:textId="77777777" w:rsidR="006D2A6C" w:rsidRDefault="00000000">
            <w:pPr>
              <w:jc w:val="center"/>
            </w:pPr>
            <w:r>
              <w:rPr>
                <w:sz w:val="18"/>
                <w:szCs w:val="18"/>
              </w:rPr>
              <w:t>4</w:t>
            </w:r>
          </w:p>
        </w:tc>
        <w:tc>
          <w:tcPr>
            <w:tcW w:w="18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6134170" w14:textId="77777777" w:rsidR="006D2A6C" w:rsidRDefault="00000000">
            <w:pPr>
              <w:jc w:val="center"/>
            </w:pPr>
            <w:r>
              <w:rPr>
                <w:sz w:val="18"/>
                <w:szCs w:val="18"/>
              </w:rPr>
              <w:t>67%</w:t>
            </w:r>
          </w:p>
        </w:tc>
      </w:tr>
      <w:tr w:rsidR="006D2A6C" w14:paraId="033931D3"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5961504" w14:textId="77777777" w:rsidR="006D2A6C" w:rsidRDefault="00000000">
            <w:r>
              <w:rPr>
                <w:b/>
                <w:bCs/>
                <w:sz w:val="18"/>
                <w:szCs w:val="18"/>
              </w:rPr>
              <w:t>Latvia</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9B1235B" w14:textId="77777777" w:rsidR="006D2A6C" w:rsidRDefault="00000000">
            <w:pPr>
              <w:jc w:val="center"/>
            </w:pPr>
            <w:r>
              <w:rPr>
                <w:sz w:val="18"/>
                <w:szCs w:val="18"/>
              </w:rPr>
              <w:t>3</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BA618ED" w14:textId="77777777" w:rsidR="006D2A6C" w:rsidRDefault="00000000">
            <w:pPr>
              <w:jc w:val="center"/>
            </w:pPr>
            <w:r>
              <w:rPr>
                <w:sz w:val="18"/>
                <w:szCs w:val="18"/>
              </w:rPr>
              <w:t>2</w:t>
            </w:r>
          </w:p>
        </w:tc>
        <w:tc>
          <w:tcPr>
            <w:tcW w:w="18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E16FEC8" w14:textId="77777777" w:rsidR="006D2A6C" w:rsidRDefault="00000000">
            <w:pPr>
              <w:jc w:val="center"/>
            </w:pPr>
            <w:r>
              <w:rPr>
                <w:sz w:val="18"/>
                <w:szCs w:val="18"/>
              </w:rPr>
              <w:t>67%</w:t>
            </w:r>
          </w:p>
        </w:tc>
      </w:tr>
      <w:tr w:rsidR="006D2A6C" w14:paraId="089D10D6"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439262C" w14:textId="77777777" w:rsidR="006D2A6C" w:rsidRDefault="00000000">
            <w:r>
              <w:rPr>
                <w:b/>
                <w:bCs/>
                <w:sz w:val="18"/>
                <w:szCs w:val="18"/>
              </w:rPr>
              <w:t>Australia</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F7A3A81" w14:textId="77777777" w:rsidR="006D2A6C" w:rsidRDefault="00000000">
            <w:pPr>
              <w:jc w:val="center"/>
            </w:pPr>
            <w:r>
              <w:rPr>
                <w:sz w:val="18"/>
                <w:szCs w:val="18"/>
              </w:rPr>
              <w:t>37</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F235382" w14:textId="77777777" w:rsidR="006D2A6C" w:rsidRDefault="00000000">
            <w:pPr>
              <w:jc w:val="center"/>
            </w:pPr>
            <w:r>
              <w:rPr>
                <w:sz w:val="18"/>
                <w:szCs w:val="18"/>
              </w:rPr>
              <w:t>21</w:t>
            </w:r>
          </w:p>
        </w:tc>
        <w:tc>
          <w:tcPr>
            <w:tcW w:w="18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9478A9A" w14:textId="77777777" w:rsidR="006D2A6C" w:rsidRDefault="00000000">
            <w:pPr>
              <w:jc w:val="center"/>
            </w:pPr>
            <w:r>
              <w:rPr>
                <w:sz w:val="18"/>
                <w:szCs w:val="18"/>
              </w:rPr>
              <w:t>58%</w:t>
            </w:r>
          </w:p>
        </w:tc>
      </w:tr>
      <w:tr w:rsidR="006D2A6C" w14:paraId="6790D6C6"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C9BA1E2" w14:textId="77777777" w:rsidR="006D2A6C" w:rsidRDefault="00000000">
            <w:r>
              <w:rPr>
                <w:b/>
                <w:bCs/>
                <w:sz w:val="18"/>
                <w:szCs w:val="18"/>
              </w:rPr>
              <w:t>Italy</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99E2129" w14:textId="77777777" w:rsidR="006D2A6C" w:rsidRDefault="00000000">
            <w:pPr>
              <w:jc w:val="center"/>
            </w:pPr>
            <w:r>
              <w:rPr>
                <w:sz w:val="18"/>
                <w:szCs w:val="18"/>
              </w:rPr>
              <w:t>47</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26AF55D" w14:textId="77777777" w:rsidR="006D2A6C" w:rsidRDefault="00000000">
            <w:pPr>
              <w:jc w:val="center"/>
            </w:pPr>
            <w:r>
              <w:rPr>
                <w:sz w:val="18"/>
                <w:szCs w:val="18"/>
              </w:rPr>
              <w:t>23</w:t>
            </w:r>
          </w:p>
        </w:tc>
        <w:tc>
          <w:tcPr>
            <w:tcW w:w="18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C53D7F6" w14:textId="77777777" w:rsidR="006D2A6C" w:rsidRDefault="00000000">
            <w:pPr>
              <w:jc w:val="center"/>
            </w:pPr>
            <w:r>
              <w:rPr>
                <w:sz w:val="18"/>
                <w:szCs w:val="18"/>
              </w:rPr>
              <w:t>56%</w:t>
            </w:r>
          </w:p>
        </w:tc>
      </w:tr>
      <w:tr w:rsidR="006D2A6C" w14:paraId="2E316D5E"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A8C650A" w14:textId="77777777" w:rsidR="006D2A6C" w:rsidRDefault="00000000">
            <w:r>
              <w:rPr>
                <w:b/>
                <w:bCs/>
                <w:sz w:val="18"/>
                <w:szCs w:val="18"/>
              </w:rPr>
              <w:t>Lebanon</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70CF4D2" w14:textId="77777777" w:rsidR="006D2A6C" w:rsidRDefault="00000000">
            <w:pPr>
              <w:jc w:val="center"/>
            </w:pPr>
            <w:r>
              <w:rPr>
                <w:sz w:val="18"/>
                <w:szCs w:val="18"/>
              </w:rPr>
              <w:t>9</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718DB02" w14:textId="77777777" w:rsidR="006D2A6C" w:rsidRDefault="00000000">
            <w:pPr>
              <w:jc w:val="center"/>
            </w:pPr>
            <w:r>
              <w:rPr>
                <w:sz w:val="18"/>
                <w:szCs w:val="18"/>
              </w:rPr>
              <w:t>5</w:t>
            </w:r>
          </w:p>
        </w:tc>
        <w:tc>
          <w:tcPr>
            <w:tcW w:w="18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F969079" w14:textId="77777777" w:rsidR="006D2A6C" w:rsidRDefault="00000000">
            <w:pPr>
              <w:jc w:val="center"/>
            </w:pPr>
            <w:r>
              <w:rPr>
                <w:sz w:val="18"/>
                <w:szCs w:val="18"/>
              </w:rPr>
              <w:t>56%</w:t>
            </w:r>
          </w:p>
        </w:tc>
      </w:tr>
      <w:tr w:rsidR="006D2A6C" w14:paraId="584606F3"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93D68D8" w14:textId="77777777" w:rsidR="006D2A6C" w:rsidRDefault="00000000">
            <w:r>
              <w:rPr>
                <w:b/>
                <w:bCs/>
                <w:sz w:val="18"/>
                <w:szCs w:val="18"/>
              </w:rPr>
              <w:t>Saudi Arabia</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3EBFB11" w14:textId="77777777" w:rsidR="006D2A6C" w:rsidRDefault="00000000">
            <w:pPr>
              <w:jc w:val="center"/>
            </w:pPr>
            <w:r>
              <w:rPr>
                <w:sz w:val="18"/>
                <w:szCs w:val="18"/>
              </w:rPr>
              <w:t>22</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F0B716D" w14:textId="77777777" w:rsidR="006D2A6C" w:rsidRDefault="00000000">
            <w:pPr>
              <w:jc w:val="center"/>
            </w:pPr>
            <w:r>
              <w:rPr>
                <w:sz w:val="18"/>
                <w:szCs w:val="18"/>
              </w:rPr>
              <w:t>12</w:t>
            </w:r>
          </w:p>
        </w:tc>
        <w:tc>
          <w:tcPr>
            <w:tcW w:w="18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50B298E" w14:textId="77777777" w:rsidR="006D2A6C" w:rsidRDefault="00000000">
            <w:pPr>
              <w:jc w:val="center"/>
            </w:pPr>
            <w:r>
              <w:rPr>
                <w:sz w:val="18"/>
                <w:szCs w:val="18"/>
              </w:rPr>
              <w:t>55%</w:t>
            </w:r>
          </w:p>
        </w:tc>
      </w:tr>
      <w:tr w:rsidR="006D2A6C" w14:paraId="08C9C843"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185745E" w14:textId="77777777" w:rsidR="006D2A6C" w:rsidRDefault="00000000">
            <w:r>
              <w:rPr>
                <w:b/>
                <w:bCs/>
                <w:sz w:val="18"/>
                <w:szCs w:val="18"/>
              </w:rPr>
              <w:t>Republic of Korea</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7CDF6B1" w14:textId="77777777" w:rsidR="006D2A6C" w:rsidRDefault="00000000">
            <w:pPr>
              <w:jc w:val="center"/>
            </w:pPr>
            <w:r>
              <w:rPr>
                <w:sz w:val="18"/>
                <w:szCs w:val="18"/>
              </w:rPr>
              <w:t>43</w:t>
            </w:r>
          </w:p>
        </w:tc>
        <w:tc>
          <w:tcPr>
            <w:tcW w:w="18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37DB526" w14:textId="77777777" w:rsidR="006D2A6C" w:rsidRDefault="00000000">
            <w:pPr>
              <w:jc w:val="center"/>
            </w:pPr>
            <w:r>
              <w:rPr>
                <w:sz w:val="18"/>
                <w:szCs w:val="18"/>
              </w:rPr>
              <w:t>21</w:t>
            </w:r>
          </w:p>
        </w:tc>
        <w:tc>
          <w:tcPr>
            <w:tcW w:w="18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89B4C45" w14:textId="77777777" w:rsidR="006D2A6C" w:rsidRDefault="00000000">
            <w:pPr>
              <w:jc w:val="center"/>
            </w:pPr>
            <w:r>
              <w:rPr>
                <w:sz w:val="18"/>
                <w:szCs w:val="18"/>
              </w:rPr>
              <w:t>53%</w:t>
            </w:r>
          </w:p>
        </w:tc>
      </w:tr>
      <w:tr w:rsidR="006D2A6C" w14:paraId="579A9354" w14:textId="77777777">
        <w:tblPrEx>
          <w:tblCellMar>
            <w:top w:w="0" w:type="dxa"/>
            <w:bottom w:w="0" w:type="dxa"/>
          </w:tblCellMar>
        </w:tblPrEx>
        <w:tc>
          <w:tcPr>
            <w:tcW w:w="42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01479F9" w14:textId="77777777" w:rsidR="006D2A6C" w:rsidRDefault="00000000">
            <w:r>
              <w:rPr>
                <w:b/>
                <w:bCs/>
                <w:sz w:val="18"/>
                <w:szCs w:val="18"/>
              </w:rPr>
              <w:t>India</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C9811CE" w14:textId="77777777" w:rsidR="006D2A6C" w:rsidRDefault="00000000">
            <w:pPr>
              <w:jc w:val="center"/>
            </w:pPr>
            <w:r>
              <w:rPr>
                <w:sz w:val="18"/>
                <w:szCs w:val="18"/>
              </w:rPr>
              <w:t>52</w:t>
            </w:r>
          </w:p>
        </w:tc>
        <w:tc>
          <w:tcPr>
            <w:tcW w:w="18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0F00F90" w14:textId="77777777" w:rsidR="006D2A6C" w:rsidRDefault="00000000">
            <w:pPr>
              <w:jc w:val="center"/>
            </w:pPr>
            <w:r>
              <w:rPr>
                <w:sz w:val="18"/>
                <w:szCs w:val="18"/>
              </w:rPr>
              <w:t>26</w:t>
            </w:r>
          </w:p>
        </w:tc>
        <w:tc>
          <w:tcPr>
            <w:tcW w:w="18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491C761" w14:textId="77777777" w:rsidR="006D2A6C" w:rsidRDefault="00000000">
            <w:pPr>
              <w:jc w:val="center"/>
            </w:pPr>
            <w:r>
              <w:rPr>
                <w:sz w:val="18"/>
                <w:szCs w:val="18"/>
              </w:rPr>
              <w:t>52%</w:t>
            </w:r>
          </w:p>
        </w:tc>
      </w:tr>
    </w:tbl>
    <w:p w14:paraId="6012D51B" w14:textId="77777777" w:rsidR="006D2A6C" w:rsidRDefault="006D2A6C">
      <w:pPr>
        <w:spacing w:after="160"/>
      </w:pPr>
    </w:p>
    <w:p w14:paraId="4D86539C" w14:textId="77777777" w:rsidR="006D2A6C" w:rsidRDefault="00000000">
      <w:pPr>
        <w:spacing w:before="120" w:after="60"/>
      </w:pPr>
      <w:r>
        <w:rPr>
          <w:b/>
          <w:bCs/>
          <w:sz w:val="22"/>
          <w:szCs w:val="22"/>
        </w:rPr>
        <w:t>Ranked institutions from across the Arab-speaking world</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300"/>
        <w:gridCol w:w="5402"/>
        <w:gridCol w:w="1600"/>
      </w:tblGrid>
      <w:tr w:rsidR="006D2A6C" w14:paraId="4FDA224B" w14:textId="77777777">
        <w:tblPrEx>
          <w:tblCellMar>
            <w:top w:w="0" w:type="dxa"/>
            <w:bottom w:w="0" w:type="dxa"/>
          </w:tblCellMar>
        </w:tblPrEx>
        <w:tc>
          <w:tcPr>
            <w:tcW w:w="9602" w:type="dxa"/>
            <w:gridSpan w:val="4"/>
            <w:tcBorders>
              <w:top w:val="single" w:sz="2" w:space="0" w:color="E2E2E2"/>
              <w:left w:val="single" w:sz="2" w:space="0" w:color="E2E2E2"/>
              <w:bottom w:val="single" w:sz="2" w:space="0" w:color="E2E2E2"/>
              <w:right w:val="single" w:sz="2" w:space="0" w:color="E2E2E2"/>
            </w:tcBorders>
            <w:shd w:val="clear" w:color="auto" w:fill="1D1D1B"/>
            <w:tcMar>
              <w:top w:w="80" w:type="dxa"/>
              <w:left w:w="120" w:type="dxa"/>
              <w:bottom w:w="80" w:type="dxa"/>
              <w:right w:w="120" w:type="dxa"/>
            </w:tcMar>
          </w:tcPr>
          <w:p w14:paraId="3542699B" w14:textId="77777777" w:rsidR="006D2A6C" w:rsidRDefault="00000000">
            <w:r>
              <w:rPr>
                <w:b/>
                <w:bCs/>
                <w:color w:val="FFFFFF"/>
                <w:sz w:val="19"/>
                <w:szCs w:val="19"/>
              </w:rPr>
              <w:t>Arab Region in the QS World University Rankings 2027</w:t>
            </w:r>
          </w:p>
        </w:tc>
      </w:tr>
      <w:tr w:rsidR="006D2A6C" w14:paraId="48590EB8" w14:textId="77777777">
        <w:tblPrEx>
          <w:tblCellMar>
            <w:top w:w="0" w:type="dxa"/>
            <w:bottom w:w="0" w:type="dxa"/>
          </w:tblCellMar>
        </w:tblPrEx>
        <w:trPr>
          <w:tblHeader/>
        </w:trPr>
        <w:tc>
          <w:tcPr>
            <w:tcW w:w="13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7E627FEB" w14:textId="77777777" w:rsidR="006D2A6C" w:rsidRDefault="00000000">
            <w:r>
              <w:rPr>
                <w:b/>
                <w:bCs/>
                <w:sz w:val="17"/>
                <w:szCs w:val="17"/>
              </w:rPr>
              <w:t>2027 Rank</w:t>
            </w:r>
          </w:p>
        </w:tc>
        <w:tc>
          <w:tcPr>
            <w:tcW w:w="13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23D2510F" w14:textId="77777777" w:rsidR="006D2A6C" w:rsidRDefault="00000000">
            <w:pPr>
              <w:jc w:val="center"/>
            </w:pPr>
            <w:r>
              <w:rPr>
                <w:b/>
                <w:bCs/>
                <w:sz w:val="17"/>
                <w:szCs w:val="17"/>
              </w:rPr>
              <w:t>2026 Rank</w:t>
            </w:r>
          </w:p>
        </w:tc>
        <w:tc>
          <w:tcPr>
            <w:tcW w:w="5402"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567C7B7F" w14:textId="77777777" w:rsidR="006D2A6C" w:rsidRDefault="00000000">
            <w:pPr>
              <w:jc w:val="center"/>
            </w:pPr>
            <w:r>
              <w:rPr>
                <w:b/>
                <w:bCs/>
                <w:sz w:val="17"/>
                <w:szCs w:val="17"/>
              </w:rPr>
              <w:t>Institution</w:t>
            </w:r>
          </w:p>
        </w:tc>
        <w:tc>
          <w:tcPr>
            <w:tcW w:w="1600" w:type="dxa"/>
            <w:tcBorders>
              <w:top w:val="single" w:sz="2" w:space="0" w:color="E2E2E2"/>
              <w:left w:val="single" w:sz="2" w:space="0" w:color="E2E2E2"/>
              <w:bottom w:val="single" w:sz="2" w:space="0" w:color="E2E2E2"/>
              <w:right w:val="single" w:sz="2" w:space="0" w:color="E2E2E2"/>
            </w:tcBorders>
            <w:shd w:val="clear" w:color="auto" w:fill="F7A600"/>
            <w:tcMar>
              <w:top w:w="50" w:type="dxa"/>
              <w:left w:w="90" w:type="dxa"/>
              <w:bottom w:w="50" w:type="dxa"/>
              <w:right w:w="90" w:type="dxa"/>
            </w:tcMar>
            <w:vAlign w:val="center"/>
          </w:tcPr>
          <w:p w14:paraId="009AA92F" w14:textId="77777777" w:rsidR="006D2A6C" w:rsidRDefault="00000000">
            <w:pPr>
              <w:jc w:val="center"/>
            </w:pPr>
            <w:r>
              <w:rPr>
                <w:b/>
                <w:bCs/>
                <w:sz w:val="17"/>
                <w:szCs w:val="17"/>
              </w:rPr>
              <w:t>Location</w:t>
            </w:r>
          </w:p>
        </w:tc>
      </w:tr>
      <w:tr w:rsidR="006D2A6C" w14:paraId="1E659172"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B968DDA" w14:textId="77777777" w:rsidR="006D2A6C" w:rsidRDefault="00000000">
            <w:pPr>
              <w:jc w:val="center"/>
            </w:pPr>
            <w:r>
              <w:rPr>
                <w:b/>
                <w:bCs/>
                <w:sz w:val="16"/>
                <w:szCs w:val="16"/>
              </w:rPr>
              <w:t>63</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9CC9D70" w14:textId="77777777" w:rsidR="006D2A6C" w:rsidRDefault="00000000">
            <w:pPr>
              <w:jc w:val="center"/>
            </w:pPr>
            <w:r>
              <w:rPr>
                <w:sz w:val="16"/>
                <w:szCs w:val="16"/>
              </w:rPr>
              <w:t>67</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9C0C933" w14:textId="77777777" w:rsidR="006D2A6C" w:rsidRDefault="00000000">
            <w:r>
              <w:rPr>
                <w:sz w:val="16"/>
                <w:szCs w:val="16"/>
              </w:rPr>
              <w:t>KFUPM</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3F37894" w14:textId="77777777" w:rsidR="006D2A6C" w:rsidRDefault="00000000">
            <w:pPr>
              <w:jc w:val="center"/>
            </w:pPr>
            <w:r>
              <w:rPr>
                <w:sz w:val="16"/>
                <w:szCs w:val="16"/>
              </w:rPr>
              <w:t>Saudi Arabia</w:t>
            </w:r>
          </w:p>
        </w:tc>
      </w:tr>
      <w:tr w:rsidR="006D2A6C" w14:paraId="0584060F"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989876C" w14:textId="77777777" w:rsidR="006D2A6C" w:rsidRDefault="00000000">
            <w:pPr>
              <w:jc w:val="center"/>
            </w:pPr>
            <w:r>
              <w:rPr>
                <w:b/>
                <w:bCs/>
                <w:sz w:val="16"/>
                <w:szCs w:val="16"/>
              </w:rPr>
              <w:lastRenderedPageBreak/>
              <w:t>107</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C1D1F3C" w14:textId="77777777" w:rsidR="006D2A6C" w:rsidRDefault="00000000">
            <w:pPr>
              <w:jc w:val="center"/>
            </w:pPr>
            <w:r>
              <w:rPr>
                <w:sz w:val="16"/>
                <w:szCs w:val="16"/>
              </w:rPr>
              <w:t>143</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4443B4E" w14:textId="77777777" w:rsidR="006D2A6C" w:rsidRDefault="00000000">
            <w:r>
              <w:rPr>
                <w:sz w:val="16"/>
                <w:szCs w:val="16"/>
              </w:rPr>
              <w:t>King Saud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8A3F894" w14:textId="77777777" w:rsidR="006D2A6C" w:rsidRDefault="00000000">
            <w:pPr>
              <w:jc w:val="center"/>
            </w:pPr>
            <w:r>
              <w:rPr>
                <w:sz w:val="16"/>
                <w:szCs w:val="16"/>
              </w:rPr>
              <w:t>Saudi Arabia</w:t>
            </w:r>
          </w:p>
        </w:tc>
      </w:tr>
      <w:tr w:rsidR="006D2A6C" w14:paraId="6608CC46"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4E91B15" w14:textId="77777777" w:rsidR="006D2A6C" w:rsidRDefault="00000000">
            <w:pPr>
              <w:jc w:val="center"/>
            </w:pPr>
            <w:r>
              <w:rPr>
                <w:b/>
                <w:bCs/>
                <w:sz w:val="16"/>
                <w:szCs w:val="16"/>
              </w:rPr>
              <w:t>109</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DC0BFDB" w14:textId="77777777" w:rsidR="006D2A6C" w:rsidRDefault="00000000">
            <w:pPr>
              <w:jc w:val="center"/>
            </w:pPr>
            <w:r>
              <w:rPr>
                <w:sz w:val="16"/>
                <w:szCs w:val="16"/>
              </w:rPr>
              <w:t>112</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68D1C7D" w14:textId="77777777" w:rsidR="006D2A6C" w:rsidRDefault="00000000">
            <w:r>
              <w:rPr>
                <w:sz w:val="16"/>
                <w:szCs w:val="16"/>
              </w:rPr>
              <w:t>Qatar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E8A987D" w14:textId="77777777" w:rsidR="006D2A6C" w:rsidRDefault="00000000">
            <w:pPr>
              <w:jc w:val="center"/>
            </w:pPr>
            <w:r>
              <w:rPr>
                <w:sz w:val="16"/>
                <w:szCs w:val="16"/>
              </w:rPr>
              <w:t>Qatar</w:t>
            </w:r>
          </w:p>
        </w:tc>
      </w:tr>
      <w:tr w:rsidR="006D2A6C" w14:paraId="5E8B9378"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A91839A" w14:textId="77777777" w:rsidR="006D2A6C" w:rsidRDefault="00000000">
            <w:pPr>
              <w:jc w:val="center"/>
            </w:pPr>
            <w:r>
              <w:rPr>
                <w:b/>
                <w:bCs/>
                <w:sz w:val="16"/>
                <w:szCs w:val="16"/>
              </w:rPr>
              <w:t>147</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B72938C" w14:textId="77777777" w:rsidR="006D2A6C" w:rsidRDefault="00000000">
            <w:pPr>
              <w:jc w:val="center"/>
            </w:pPr>
            <w:r>
              <w:rPr>
                <w:sz w:val="16"/>
                <w:szCs w:val="16"/>
              </w:rPr>
              <w:t>177</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5932B37" w14:textId="77777777" w:rsidR="006D2A6C" w:rsidRDefault="00000000">
            <w:r>
              <w:rPr>
                <w:sz w:val="16"/>
                <w:szCs w:val="16"/>
              </w:rPr>
              <w:t>Khalifa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9EDB026" w14:textId="77777777" w:rsidR="006D2A6C" w:rsidRDefault="00000000">
            <w:pPr>
              <w:jc w:val="center"/>
            </w:pPr>
            <w:r>
              <w:rPr>
                <w:sz w:val="16"/>
                <w:szCs w:val="16"/>
              </w:rPr>
              <w:t>United Arab Emirates</w:t>
            </w:r>
          </w:p>
        </w:tc>
      </w:tr>
      <w:tr w:rsidR="006D2A6C" w14:paraId="3177C365"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BA5517D" w14:textId="77777777" w:rsidR="006D2A6C" w:rsidRDefault="00000000">
            <w:pPr>
              <w:jc w:val="center"/>
            </w:pPr>
            <w:r>
              <w:rPr>
                <w:b/>
                <w:bCs/>
                <w:sz w:val="16"/>
                <w:szCs w:val="16"/>
              </w:rPr>
              <w:t>200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033FBA9" w14:textId="77777777" w:rsidR="006D2A6C" w:rsidRDefault="00000000">
            <w:pPr>
              <w:jc w:val="center"/>
            </w:pPr>
            <w:r>
              <w:rPr>
                <w:sz w:val="16"/>
                <w:szCs w:val="16"/>
              </w:rPr>
              <w:t>163</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54A2E4D" w14:textId="77777777" w:rsidR="006D2A6C" w:rsidRDefault="00000000">
            <w:r>
              <w:rPr>
                <w:sz w:val="16"/>
                <w:szCs w:val="16"/>
              </w:rPr>
              <w:t>King Abdulaziz University (KAU)</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9DF2ABF" w14:textId="77777777" w:rsidR="006D2A6C" w:rsidRDefault="00000000">
            <w:pPr>
              <w:jc w:val="center"/>
            </w:pPr>
            <w:r>
              <w:rPr>
                <w:sz w:val="16"/>
                <w:szCs w:val="16"/>
              </w:rPr>
              <w:t>Saudi Arabia</w:t>
            </w:r>
          </w:p>
        </w:tc>
      </w:tr>
      <w:tr w:rsidR="006D2A6C" w14:paraId="65A95E80"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A8FC3A5" w14:textId="77777777" w:rsidR="006D2A6C" w:rsidRDefault="00000000">
            <w:pPr>
              <w:jc w:val="center"/>
            </w:pPr>
            <w:r>
              <w:rPr>
                <w:b/>
                <w:bCs/>
                <w:sz w:val="16"/>
                <w:szCs w:val="16"/>
              </w:rPr>
              <w:t>213</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851757E" w14:textId="77777777" w:rsidR="006D2A6C" w:rsidRDefault="00000000">
            <w:pPr>
              <w:jc w:val="center"/>
            </w:pPr>
            <w:r>
              <w:rPr>
                <w:sz w:val="16"/>
                <w:szCs w:val="16"/>
              </w:rPr>
              <w:t>244</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81559D6" w14:textId="77777777" w:rsidR="006D2A6C" w:rsidRDefault="00000000">
            <w:r>
              <w:rPr>
                <w:sz w:val="16"/>
                <w:szCs w:val="16"/>
              </w:rPr>
              <w:t>Hamad Bin Khalifa University (HBKU)</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6243244" w14:textId="77777777" w:rsidR="006D2A6C" w:rsidRDefault="00000000">
            <w:pPr>
              <w:jc w:val="center"/>
            </w:pPr>
            <w:r>
              <w:rPr>
                <w:sz w:val="16"/>
                <w:szCs w:val="16"/>
              </w:rPr>
              <w:t>Qatar</w:t>
            </w:r>
          </w:p>
        </w:tc>
      </w:tr>
      <w:tr w:rsidR="006D2A6C" w14:paraId="2564E0AA"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D9B41D2" w14:textId="77777777" w:rsidR="006D2A6C" w:rsidRDefault="00000000">
            <w:pPr>
              <w:jc w:val="center"/>
            </w:pPr>
            <w:r>
              <w:rPr>
                <w:b/>
                <w:bCs/>
                <w:sz w:val="16"/>
                <w:szCs w:val="16"/>
              </w:rPr>
              <w:t>217</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838EFA7" w14:textId="77777777" w:rsidR="006D2A6C" w:rsidRDefault="00000000">
            <w:pPr>
              <w:jc w:val="center"/>
            </w:pPr>
            <w:r>
              <w:rPr>
                <w:sz w:val="16"/>
                <w:szCs w:val="16"/>
              </w:rPr>
              <w:t>229</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B4EB5C0" w14:textId="77777777" w:rsidR="006D2A6C" w:rsidRDefault="00000000">
            <w:r>
              <w:rPr>
                <w:sz w:val="16"/>
                <w:szCs w:val="16"/>
              </w:rPr>
              <w:t>United Arab Emirates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59F9006" w14:textId="77777777" w:rsidR="006D2A6C" w:rsidRDefault="00000000">
            <w:pPr>
              <w:jc w:val="center"/>
            </w:pPr>
            <w:r>
              <w:rPr>
                <w:sz w:val="16"/>
                <w:szCs w:val="16"/>
              </w:rPr>
              <w:t>United Arab Emirates</w:t>
            </w:r>
          </w:p>
        </w:tc>
      </w:tr>
      <w:tr w:rsidR="006D2A6C" w14:paraId="1FA048C4"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A0BB339" w14:textId="77777777" w:rsidR="006D2A6C" w:rsidRDefault="00000000">
            <w:pPr>
              <w:jc w:val="center"/>
            </w:pPr>
            <w:r>
              <w:rPr>
                <w:b/>
                <w:bCs/>
                <w:sz w:val="16"/>
                <w:szCs w:val="16"/>
              </w:rPr>
              <w:t>223</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DE766E7" w14:textId="77777777" w:rsidR="006D2A6C" w:rsidRDefault="00000000">
            <w:pPr>
              <w:jc w:val="center"/>
            </w:pPr>
            <w:r>
              <w:rPr>
                <w:sz w:val="16"/>
                <w:szCs w:val="16"/>
              </w:rPr>
              <w:t>237</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163738C" w14:textId="77777777" w:rsidR="006D2A6C" w:rsidRDefault="00000000">
            <w:r>
              <w:rPr>
                <w:sz w:val="16"/>
                <w:szCs w:val="16"/>
              </w:rPr>
              <w:t>American University of Beirut (AUB)</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F54B492" w14:textId="77777777" w:rsidR="006D2A6C" w:rsidRDefault="00000000">
            <w:pPr>
              <w:jc w:val="center"/>
            </w:pPr>
            <w:r>
              <w:rPr>
                <w:sz w:val="16"/>
                <w:szCs w:val="16"/>
              </w:rPr>
              <w:t>Lebanon</w:t>
            </w:r>
          </w:p>
        </w:tc>
      </w:tr>
      <w:tr w:rsidR="006D2A6C" w14:paraId="7DC18EBE"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3144744" w14:textId="77777777" w:rsidR="006D2A6C" w:rsidRDefault="00000000">
            <w:pPr>
              <w:jc w:val="center"/>
            </w:pPr>
            <w:r>
              <w:rPr>
                <w:b/>
                <w:bCs/>
                <w:sz w:val="16"/>
                <w:szCs w:val="16"/>
              </w:rPr>
              <w:t>258</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BFEE129" w14:textId="77777777" w:rsidR="006D2A6C" w:rsidRDefault="00000000">
            <w:pPr>
              <w:jc w:val="center"/>
            </w:pPr>
            <w:r>
              <w:rPr>
                <w:sz w:val="16"/>
                <w:szCs w:val="16"/>
              </w:rPr>
              <w:t>272</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C109320" w14:textId="77777777" w:rsidR="006D2A6C" w:rsidRDefault="00000000">
            <w:r>
              <w:rPr>
                <w:sz w:val="16"/>
                <w:szCs w:val="16"/>
              </w:rPr>
              <w:t>American University of Sharjah</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2E8F310" w14:textId="77777777" w:rsidR="006D2A6C" w:rsidRDefault="00000000">
            <w:pPr>
              <w:jc w:val="center"/>
            </w:pPr>
            <w:r>
              <w:rPr>
                <w:sz w:val="16"/>
                <w:szCs w:val="16"/>
              </w:rPr>
              <w:t>United Arab Emirates</w:t>
            </w:r>
          </w:p>
        </w:tc>
      </w:tr>
      <w:tr w:rsidR="006D2A6C" w14:paraId="66A71BE9"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58DF860" w14:textId="77777777" w:rsidR="006D2A6C" w:rsidRDefault="00000000">
            <w:pPr>
              <w:jc w:val="center"/>
            </w:pPr>
            <w:r>
              <w:rPr>
                <w:b/>
                <w:bCs/>
                <w:sz w:val="16"/>
                <w:szCs w:val="16"/>
              </w:rPr>
              <w:t>283</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27E3D56" w14:textId="77777777" w:rsidR="006D2A6C" w:rsidRDefault="00000000">
            <w:pPr>
              <w:jc w:val="center"/>
            </w:pPr>
            <w:r>
              <w:rPr>
                <w:sz w:val="16"/>
                <w:szCs w:val="16"/>
              </w:rPr>
              <w:t>328</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003EA81" w14:textId="77777777" w:rsidR="006D2A6C" w:rsidRDefault="00000000">
            <w:r>
              <w:rPr>
                <w:sz w:val="16"/>
                <w:szCs w:val="16"/>
              </w:rPr>
              <w:t>University of Sharjah</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1481DAC" w14:textId="77777777" w:rsidR="006D2A6C" w:rsidRDefault="00000000">
            <w:pPr>
              <w:jc w:val="center"/>
            </w:pPr>
            <w:r>
              <w:rPr>
                <w:sz w:val="16"/>
                <w:szCs w:val="16"/>
              </w:rPr>
              <w:t>United Arab Emirates</w:t>
            </w:r>
          </w:p>
        </w:tc>
      </w:tr>
      <w:tr w:rsidR="006D2A6C" w14:paraId="325F6298"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3E69DF9" w14:textId="77777777" w:rsidR="006D2A6C" w:rsidRDefault="00000000">
            <w:pPr>
              <w:jc w:val="center"/>
            </w:pPr>
            <w:r>
              <w:rPr>
                <w:b/>
                <w:bCs/>
                <w:sz w:val="16"/>
                <w:szCs w:val="16"/>
              </w:rPr>
              <w:t>306</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1473B9D" w14:textId="77777777" w:rsidR="006D2A6C" w:rsidRDefault="00000000">
            <w:pPr>
              <w:jc w:val="center"/>
            </w:pPr>
            <w:r>
              <w:rPr>
                <w:sz w:val="16"/>
                <w:szCs w:val="16"/>
              </w:rPr>
              <w:t>334</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4C6CDEE" w14:textId="77777777" w:rsidR="006D2A6C" w:rsidRDefault="00000000">
            <w:r>
              <w:rPr>
                <w:sz w:val="16"/>
                <w:szCs w:val="16"/>
              </w:rPr>
              <w:t>Sultan Qaboos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9D6D969" w14:textId="77777777" w:rsidR="006D2A6C" w:rsidRDefault="00000000">
            <w:pPr>
              <w:jc w:val="center"/>
            </w:pPr>
            <w:r>
              <w:rPr>
                <w:sz w:val="16"/>
                <w:szCs w:val="16"/>
              </w:rPr>
              <w:t>Oman</w:t>
            </w:r>
          </w:p>
        </w:tc>
      </w:tr>
      <w:tr w:rsidR="006D2A6C" w14:paraId="18CDCAC8"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05625B5" w14:textId="77777777" w:rsidR="006D2A6C" w:rsidRDefault="00000000">
            <w:pPr>
              <w:jc w:val="center"/>
            </w:pPr>
            <w:r>
              <w:rPr>
                <w:b/>
                <w:bCs/>
                <w:sz w:val="16"/>
                <w:szCs w:val="16"/>
              </w:rPr>
              <w:t>326</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3F144FA" w14:textId="77777777" w:rsidR="006D2A6C" w:rsidRDefault="00000000">
            <w:pPr>
              <w:jc w:val="center"/>
            </w:pPr>
            <w:r>
              <w:rPr>
                <w:sz w:val="16"/>
                <w:szCs w:val="16"/>
              </w:rPr>
              <w:t>324</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9F01BCF" w14:textId="77777777" w:rsidR="006D2A6C" w:rsidRDefault="00000000">
            <w:r>
              <w:rPr>
                <w:sz w:val="16"/>
                <w:szCs w:val="16"/>
              </w:rPr>
              <w:t>University of Jordan</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B67D11B" w14:textId="77777777" w:rsidR="006D2A6C" w:rsidRDefault="00000000">
            <w:pPr>
              <w:jc w:val="center"/>
            </w:pPr>
            <w:r>
              <w:rPr>
                <w:sz w:val="16"/>
                <w:szCs w:val="16"/>
              </w:rPr>
              <w:t>Jordan</w:t>
            </w:r>
          </w:p>
        </w:tc>
      </w:tr>
      <w:tr w:rsidR="006D2A6C" w14:paraId="1B7F4F62"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9E9298F" w14:textId="77777777" w:rsidR="006D2A6C" w:rsidRDefault="00000000">
            <w:pPr>
              <w:jc w:val="center"/>
            </w:pPr>
            <w:r>
              <w:rPr>
                <w:b/>
                <w:bCs/>
                <w:sz w:val="16"/>
                <w:szCs w:val="16"/>
              </w:rPr>
              <w:t>348</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0EC10B0" w14:textId="77777777" w:rsidR="006D2A6C" w:rsidRDefault="00000000">
            <w:pPr>
              <w:jc w:val="center"/>
            </w:pPr>
            <w:r>
              <w:rPr>
                <w:sz w:val="16"/>
                <w:szCs w:val="16"/>
              </w:rPr>
              <w:t>391</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B49238E" w14:textId="77777777" w:rsidR="006D2A6C" w:rsidRDefault="00000000">
            <w:r>
              <w:rPr>
                <w:sz w:val="16"/>
                <w:szCs w:val="16"/>
              </w:rPr>
              <w:t>Abu Dhabi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FE5BC8E" w14:textId="77777777" w:rsidR="006D2A6C" w:rsidRDefault="00000000">
            <w:pPr>
              <w:jc w:val="center"/>
            </w:pPr>
            <w:r>
              <w:rPr>
                <w:sz w:val="16"/>
                <w:szCs w:val="16"/>
              </w:rPr>
              <w:t>United Arab Emirates</w:t>
            </w:r>
          </w:p>
        </w:tc>
      </w:tr>
      <w:tr w:rsidR="006D2A6C" w14:paraId="0B978170"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E151420" w14:textId="77777777" w:rsidR="006D2A6C" w:rsidRDefault="00000000">
            <w:pPr>
              <w:jc w:val="center"/>
            </w:pPr>
            <w:r>
              <w:rPr>
                <w:b/>
                <w:bCs/>
                <w:sz w:val="16"/>
                <w:szCs w:val="16"/>
              </w:rPr>
              <w:t>363</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9B2124E" w14:textId="77777777" w:rsidR="006D2A6C" w:rsidRDefault="00000000">
            <w:pPr>
              <w:jc w:val="center"/>
            </w:pPr>
            <w:r>
              <w:rPr>
                <w:sz w:val="16"/>
                <w:szCs w:val="16"/>
              </w:rPr>
              <w:t>347</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F74E56C" w14:textId="77777777" w:rsidR="006D2A6C" w:rsidRDefault="00000000">
            <w:r>
              <w:rPr>
                <w:sz w:val="16"/>
                <w:szCs w:val="16"/>
              </w:rPr>
              <w:t>Cairo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29224B9" w14:textId="77777777" w:rsidR="006D2A6C" w:rsidRDefault="00000000">
            <w:pPr>
              <w:jc w:val="center"/>
            </w:pPr>
            <w:r>
              <w:rPr>
                <w:sz w:val="16"/>
                <w:szCs w:val="16"/>
              </w:rPr>
              <w:t>Egypt</w:t>
            </w:r>
          </w:p>
        </w:tc>
      </w:tr>
      <w:tr w:rsidR="006D2A6C" w14:paraId="150F3815"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E4D49F4" w14:textId="77777777" w:rsidR="006D2A6C" w:rsidRDefault="00000000">
            <w:pPr>
              <w:jc w:val="center"/>
            </w:pPr>
            <w:r>
              <w:rPr>
                <w:b/>
                <w:bCs/>
                <w:sz w:val="16"/>
                <w:szCs w:val="16"/>
              </w:rPr>
              <w:t>390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61AEC30" w14:textId="77777777" w:rsidR="006D2A6C" w:rsidRDefault="00000000">
            <w:pPr>
              <w:jc w:val="center"/>
            </w:pPr>
            <w:r>
              <w:rPr>
                <w:sz w:val="16"/>
                <w:szCs w:val="16"/>
              </w:rPr>
              <w:t>381</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1E3990C" w14:textId="77777777" w:rsidR="006D2A6C" w:rsidRDefault="00000000">
            <w:r>
              <w:rPr>
                <w:sz w:val="16"/>
                <w:szCs w:val="16"/>
              </w:rPr>
              <w:t>The American University in Cairo</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3733043" w14:textId="77777777" w:rsidR="006D2A6C" w:rsidRDefault="00000000">
            <w:pPr>
              <w:jc w:val="center"/>
            </w:pPr>
            <w:r>
              <w:rPr>
                <w:sz w:val="16"/>
                <w:szCs w:val="16"/>
              </w:rPr>
              <w:t>Egypt</w:t>
            </w:r>
          </w:p>
        </w:tc>
      </w:tr>
      <w:tr w:rsidR="006D2A6C" w14:paraId="75D6A9AC"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3E74AE2" w14:textId="77777777" w:rsidR="006D2A6C" w:rsidRDefault="00000000">
            <w:pPr>
              <w:jc w:val="center"/>
            </w:pPr>
            <w:r>
              <w:rPr>
                <w:b/>
                <w:bCs/>
                <w:sz w:val="16"/>
                <w:szCs w:val="16"/>
              </w:rPr>
              <w:t>397</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B307DFE" w14:textId="77777777" w:rsidR="006D2A6C" w:rsidRDefault="00000000">
            <w:pPr>
              <w:jc w:val="center"/>
            </w:pPr>
            <w:r>
              <w:rPr>
                <w:sz w:val="16"/>
                <w:szCs w:val="16"/>
              </w:rPr>
              <w:t>440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E5E5475" w14:textId="77777777" w:rsidR="006D2A6C" w:rsidRDefault="00000000">
            <w:r>
              <w:rPr>
                <w:sz w:val="16"/>
                <w:szCs w:val="16"/>
              </w:rPr>
              <w:t>Ajman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3DB0EE1" w14:textId="77777777" w:rsidR="006D2A6C" w:rsidRDefault="00000000">
            <w:pPr>
              <w:jc w:val="center"/>
            </w:pPr>
            <w:r>
              <w:rPr>
                <w:sz w:val="16"/>
                <w:szCs w:val="16"/>
              </w:rPr>
              <w:t>United Arab Emirates</w:t>
            </w:r>
          </w:p>
        </w:tc>
      </w:tr>
      <w:tr w:rsidR="006D2A6C" w14:paraId="0485BACF"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73826D1" w14:textId="77777777" w:rsidR="006D2A6C" w:rsidRDefault="00000000">
            <w:pPr>
              <w:jc w:val="center"/>
            </w:pPr>
            <w:r>
              <w:rPr>
                <w:b/>
                <w:bCs/>
                <w:sz w:val="16"/>
                <w:szCs w:val="16"/>
              </w:rPr>
              <w:t>421</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035F92A" w14:textId="77777777" w:rsidR="006D2A6C" w:rsidRDefault="00000000">
            <w:pPr>
              <w:jc w:val="center"/>
            </w:pPr>
            <w:r>
              <w:rPr>
                <w:sz w:val="16"/>
                <w:szCs w:val="16"/>
              </w:rPr>
              <w:t>436</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1A4A6E9" w14:textId="77777777" w:rsidR="006D2A6C" w:rsidRDefault="00000000">
            <w:r>
              <w:rPr>
                <w:sz w:val="16"/>
                <w:szCs w:val="16"/>
              </w:rPr>
              <w:t>Prince Mohammad Bin Fahd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4A40CA3" w14:textId="77777777" w:rsidR="006D2A6C" w:rsidRDefault="00000000">
            <w:pPr>
              <w:jc w:val="center"/>
            </w:pPr>
            <w:r>
              <w:rPr>
                <w:sz w:val="16"/>
                <w:szCs w:val="16"/>
              </w:rPr>
              <w:t>Saudi Arabia</w:t>
            </w:r>
          </w:p>
        </w:tc>
      </w:tr>
      <w:tr w:rsidR="006D2A6C" w14:paraId="38F70A4F"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95C58C4" w14:textId="77777777" w:rsidR="006D2A6C" w:rsidRDefault="00000000">
            <w:pPr>
              <w:jc w:val="center"/>
            </w:pPr>
            <w:r>
              <w:rPr>
                <w:b/>
                <w:bCs/>
                <w:sz w:val="16"/>
                <w:szCs w:val="16"/>
              </w:rPr>
              <w:t>449</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6C60836" w14:textId="77777777" w:rsidR="006D2A6C" w:rsidRDefault="00000000">
            <w:pPr>
              <w:jc w:val="center"/>
            </w:pPr>
            <w:r>
              <w:rPr>
                <w:sz w:val="16"/>
                <w:szCs w:val="16"/>
              </w:rPr>
              <w:t>461</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635AB26" w14:textId="77777777" w:rsidR="006D2A6C" w:rsidRDefault="00000000">
            <w:r>
              <w:rPr>
                <w:sz w:val="16"/>
                <w:szCs w:val="16"/>
              </w:rPr>
              <w:t>Jordan University of Science &amp; Technology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3F3BF1A" w14:textId="77777777" w:rsidR="006D2A6C" w:rsidRDefault="00000000">
            <w:pPr>
              <w:jc w:val="center"/>
            </w:pPr>
            <w:r>
              <w:rPr>
                <w:sz w:val="16"/>
                <w:szCs w:val="16"/>
              </w:rPr>
              <w:t>Jordan</w:t>
            </w:r>
          </w:p>
        </w:tc>
      </w:tr>
      <w:tr w:rsidR="006D2A6C" w14:paraId="5C65166A"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8534593" w14:textId="77777777" w:rsidR="006D2A6C" w:rsidRDefault="00000000">
            <w:pPr>
              <w:jc w:val="center"/>
            </w:pPr>
            <w:r>
              <w:rPr>
                <w:b/>
                <w:bCs/>
                <w:sz w:val="16"/>
                <w:szCs w:val="16"/>
              </w:rPr>
              <w:t>474</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DA1002E" w14:textId="77777777" w:rsidR="006D2A6C" w:rsidRDefault="00000000">
            <w:pPr>
              <w:jc w:val="center"/>
            </w:pPr>
            <w:r>
              <w:rPr>
                <w:sz w:val="16"/>
                <w:szCs w:val="16"/>
              </w:rPr>
              <w:t>491</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490AE38" w14:textId="77777777" w:rsidR="006D2A6C" w:rsidRPr="00DB2D4F" w:rsidRDefault="00000000">
            <w:pPr>
              <w:rPr>
                <w:lang w:val="de-DE"/>
              </w:rPr>
            </w:pPr>
            <w:r w:rsidRPr="00DB2D4F">
              <w:rPr>
                <w:sz w:val="16"/>
                <w:szCs w:val="16"/>
                <w:lang w:val="de-DE"/>
              </w:rPr>
              <w:t>Imam Abdulrahman Bin Faisal University (IAU)</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D785517" w14:textId="77777777" w:rsidR="006D2A6C" w:rsidRDefault="00000000">
            <w:pPr>
              <w:jc w:val="center"/>
            </w:pPr>
            <w:r>
              <w:rPr>
                <w:sz w:val="16"/>
                <w:szCs w:val="16"/>
              </w:rPr>
              <w:t>Saudi Arabia</w:t>
            </w:r>
          </w:p>
        </w:tc>
      </w:tr>
      <w:tr w:rsidR="006D2A6C" w14:paraId="24C410BD"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D19D027" w14:textId="77777777" w:rsidR="006D2A6C" w:rsidRDefault="00000000">
            <w:pPr>
              <w:jc w:val="center"/>
            </w:pPr>
            <w:r>
              <w:rPr>
                <w:b/>
                <w:bCs/>
                <w:sz w:val="16"/>
                <w:szCs w:val="16"/>
              </w:rPr>
              <w:t>477</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253345F" w14:textId="77777777" w:rsidR="006D2A6C" w:rsidRDefault="00000000">
            <w:pPr>
              <w:jc w:val="center"/>
            </w:pPr>
            <w:r>
              <w:rPr>
                <w:sz w:val="16"/>
                <w:szCs w:val="16"/>
              </w:rPr>
              <w:t>535</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D0CEFEF" w14:textId="77777777" w:rsidR="006D2A6C" w:rsidRDefault="00000000">
            <w:r>
              <w:rPr>
                <w:sz w:val="16"/>
                <w:szCs w:val="16"/>
              </w:rPr>
              <w:t>Lebanese American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45D9258" w14:textId="77777777" w:rsidR="006D2A6C" w:rsidRDefault="00000000">
            <w:pPr>
              <w:jc w:val="center"/>
            </w:pPr>
            <w:r>
              <w:rPr>
                <w:sz w:val="16"/>
                <w:szCs w:val="16"/>
              </w:rPr>
              <w:t>Lebanon</w:t>
            </w:r>
          </w:p>
        </w:tc>
      </w:tr>
      <w:tr w:rsidR="006D2A6C" w14:paraId="52BF987A"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0C2E32D" w14:textId="77777777" w:rsidR="006D2A6C" w:rsidRDefault="00000000">
            <w:pPr>
              <w:jc w:val="center"/>
            </w:pPr>
            <w:r>
              <w:rPr>
                <w:b/>
                <w:bCs/>
                <w:sz w:val="16"/>
                <w:szCs w:val="16"/>
              </w:rPr>
              <w:t>488</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F91F7E3" w14:textId="77777777" w:rsidR="006D2A6C" w:rsidRDefault="00000000">
            <w:pPr>
              <w:jc w:val="center"/>
            </w:pPr>
            <w:r>
              <w:rPr>
                <w:sz w:val="16"/>
                <w:szCs w:val="16"/>
              </w:rPr>
              <w:t>535</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DDF7E55" w14:textId="77777777" w:rsidR="006D2A6C" w:rsidRDefault="00000000">
            <w:r>
              <w:rPr>
                <w:sz w:val="16"/>
                <w:szCs w:val="16"/>
              </w:rPr>
              <w:t>Prince Sultan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1FE4591" w14:textId="77777777" w:rsidR="006D2A6C" w:rsidRDefault="00000000">
            <w:pPr>
              <w:jc w:val="center"/>
            </w:pPr>
            <w:r>
              <w:rPr>
                <w:sz w:val="16"/>
                <w:szCs w:val="16"/>
              </w:rPr>
              <w:t>Saudi Arabia</w:t>
            </w:r>
          </w:p>
        </w:tc>
      </w:tr>
      <w:tr w:rsidR="006D2A6C" w14:paraId="048BA67E"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B496121" w14:textId="77777777" w:rsidR="006D2A6C" w:rsidRDefault="00000000">
            <w:pPr>
              <w:jc w:val="center"/>
            </w:pPr>
            <w:r>
              <w:rPr>
                <w:b/>
                <w:bCs/>
                <w:sz w:val="16"/>
                <w:szCs w:val="16"/>
              </w:rPr>
              <w:t>514</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91FFC89" w14:textId="77777777" w:rsidR="006D2A6C" w:rsidRDefault="00000000">
            <w:pPr>
              <w:jc w:val="center"/>
            </w:pPr>
            <w:r>
              <w:rPr>
                <w:sz w:val="16"/>
                <w:szCs w:val="16"/>
              </w:rPr>
              <w:t>535</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B2813E7" w14:textId="77777777" w:rsidR="006D2A6C" w:rsidRDefault="00000000">
            <w:r>
              <w:rPr>
                <w:sz w:val="16"/>
                <w:szCs w:val="16"/>
              </w:rPr>
              <w:t>King Khalid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B902943" w14:textId="77777777" w:rsidR="006D2A6C" w:rsidRDefault="00000000">
            <w:pPr>
              <w:jc w:val="center"/>
            </w:pPr>
            <w:r>
              <w:rPr>
                <w:sz w:val="16"/>
                <w:szCs w:val="16"/>
              </w:rPr>
              <w:t>Saudi Arabia</w:t>
            </w:r>
          </w:p>
        </w:tc>
      </w:tr>
      <w:tr w:rsidR="006D2A6C" w14:paraId="1160CEB1"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C7ED742" w14:textId="77777777" w:rsidR="006D2A6C" w:rsidRDefault="00000000">
            <w:pPr>
              <w:jc w:val="center"/>
            </w:pPr>
            <w:r>
              <w:rPr>
                <w:b/>
                <w:bCs/>
                <w:sz w:val="16"/>
                <w:szCs w:val="16"/>
              </w:rPr>
              <w:t>537</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914F49E" w14:textId="77777777" w:rsidR="006D2A6C" w:rsidRDefault="00000000">
            <w:pPr>
              <w:jc w:val="center"/>
            </w:pPr>
            <w:r>
              <w:rPr>
                <w:sz w:val="16"/>
                <w:szCs w:val="16"/>
              </w:rPr>
              <w:t>618</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3F90BC5" w14:textId="77777777" w:rsidR="006D2A6C" w:rsidRDefault="00000000">
            <w:r>
              <w:rPr>
                <w:sz w:val="16"/>
                <w:szCs w:val="16"/>
              </w:rPr>
              <w:t>Saint Joseph University of Beirut (USJ)</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4454B27" w14:textId="77777777" w:rsidR="006D2A6C" w:rsidRDefault="00000000">
            <w:pPr>
              <w:jc w:val="center"/>
            </w:pPr>
            <w:r>
              <w:rPr>
                <w:sz w:val="16"/>
                <w:szCs w:val="16"/>
              </w:rPr>
              <w:t>Lebanon</w:t>
            </w:r>
          </w:p>
        </w:tc>
      </w:tr>
      <w:tr w:rsidR="006D2A6C" w14:paraId="6F80D8B4"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9E626A1" w14:textId="77777777" w:rsidR="006D2A6C" w:rsidRDefault="00000000">
            <w:pPr>
              <w:jc w:val="center"/>
            </w:pPr>
            <w:r>
              <w:rPr>
                <w:b/>
                <w:bCs/>
                <w:sz w:val="16"/>
                <w:szCs w:val="16"/>
              </w:rPr>
              <w:t>551</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D64CF86" w14:textId="77777777" w:rsidR="006D2A6C" w:rsidRDefault="00000000">
            <w:pPr>
              <w:jc w:val="center"/>
            </w:pPr>
            <w:r>
              <w:rPr>
                <w:sz w:val="16"/>
                <w:szCs w:val="16"/>
              </w:rPr>
              <w:t>542</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F7A03C6" w14:textId="77777777" w:rsidR="006D2A6C" w:rsidRDefault="00000000">
            <w:r>
              <w:rPr>
                <w:sz w:val="16"/>
                <w:szCs w:val="16"/>
              </w:rPr>
              <w:t>Ain Shams University in Cairo (ASU, Cairo)</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6EF9055" w14:textId="77777777" w:rsidR="006D2A6C" w:rsidRDefault="00000000">
            <w:pPr>
              <w:jc w:val="center"/>
            </w:pPr>
            <w:r>
              <w:rPr>
                <w:sz w:val="16"/>
                <w:szCs w:val="16"/>
              </w:rPr>
              <w:t>Egypt</w:t>
            </w:r>
          </w:p>
        </w:tc>
      </w:tr>
      <w:tr w:rsidR="006D2A6C" w14:paraId="6ACA1E0B"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D066AB3" w14:textId="77777777" w:rsidR="006D2A6C" w:rsidRDefault="00000000">
            <w:pPr>
              <w:jc w:val="center"/>
            </w:pPr>
            <w:r>
              <w:rPr>
                <w:b/>
                <w:bCs/>
                <w:sz w:val="16"/>
                <w:szCs w:val="16"/>
              </w:rPr>
              <w:t>559</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A3831DD" w14:textId="77777777" w:rsidR="006D2A6C" w:rsidRDefault="00000000">
            <w:pPr>
              <w:jc w:val="center"/>
            </w:pPr>
            <w:r>
              <w:rPr>
                <w:sz w:val="16"/>
                <w:szCs w:val="16"/>
              </w:rPr>
              <w:t>558</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8DDC726" w14:textId="77777777" w:rsidR="006D2A6C" w:rsidRDefault="00000000">
            <w:r>
              <w:rPr>
                <w:sz w:val="16"/>
                <w:szCs w:val="16"/>
              </w:rPr>
              <w:t>Al Ain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F2DCACF" w14:textId="77777777" w:rsidR="006D2A6C" w:rsidRDefault="00000000">
            <w:pPr>
              <w:jc w:val="center"/>
            </w:pPr>
            <w:r>
              <w:rPr>
                <w:sz w:val="16"/>
                <w:szCs w:val="16"/>
              </w:rPr>
              <w:t>United Arab Emirates</w:t>
            </w:r>
          </w:p>
        </w:tc>
      </w:tr>
      <w:tr w:rsidR="006D2A6C" w14:paraId="71E9C63B"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6EF8AB3" w14:textId="77777777" w:rsidR="006D2A6C" w:rsidRDefault="00000000">
            <w:pPr>
              <w:jc w:val="center"/>
            </w:pPr>
            <w:r>
              <w:rPr>
                <w:b/>
                <w:bCs/>
                <w:sz w:val="16"/>
                <w:szCs w:val="16"/>
              </w:rPr>
              <w:t>567</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EA8D4DD" w14:textId="77777777" w:rsidR="006D2A6C" w:rsidRDefault="00000000">
            <w:pPr>
              <w:jc w:val="center"/>
            </w:pPr>
            <w:r>
              <w:rPr>
                <w:sz w:val="16"/>
                <w:szCs w:val="16"/>
              </w:rPr>
              <w:t>648</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DFAE1F9" w14:textId="77777777" w:rsidR="006D2A6C" w:rsidRDefault="00000000">
            <w:r>
              <w:rPr>
                <w:sz w:val="16"/>
                <w:szCs w:val="16"/>
              </w:rPr>
              <w:t>King Faisal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CBBF66F" w14:textId="77777777" w:rsidR="006D2A6C" w:rsidRDefault="00000000">
            <w:pPr>
              <w:jc w:val="center"/>
            </w:pPr>
            <w:r>
              <w:rPr>
                <w:sz w:val="16"/>
                <w:szCs w:val="16"/>
              </w:rPr>
              <w:t>Saudi Arabia</w:t>
            </w:r>
          </w:p>
        </w:tc>
      </w:tr>
      <w:tr w:rsidR="006D2A6C" w14:paraId="47620084"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066B155" w14:textId="77777777" w:rsidR="006D2A6C" w:rsidRDefault="00000000">
            <w:pPr>
              <w:jc w:val="center"/>
            </w:pPr>
            <w:r>
              <w:rPr>
                <w:b/>
                <w:bCs/>
                <w:sz w:val="16"/>
                <w:szCs w:val="16"/>
              </w:rPr>
              <w:t>588</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EADD2EE" w14:textId="77777777" w:rsidR="006D2A6C" w:rsidRDefault="00000000">
            <w:pPr>
              <w:jc w:val="center"/>
            </w:pPr>
            <w:r>
              <w:rPr>
                <w:sz w:val="16"/>
                <w:szCs w:val="16"/>
              </w:rPr>
              <w:t>595</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D81F87D" w14:textId="77777777" w:rsidR="006D2A6C" w:rsidRDefault="00000000">
            <w:r>
              <w:rPr>
                <w:sz w:val="16"/>
                <w:szCs w:val="16"/>
              </w:rPr>
              <w:t>Zayed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E2688FC" w14:textId="77777777" w:rsidR="006D2A6C" w:rsidRDefault="00000000">
            <w:pPr>
              <w:jc w:val="center"/>
            </w:pPr>
            <w:r>
              <w:rPr>
                <w:sz w:val="16"/>
                <w:szCs w:val="16"/>
              </w:rPr>
              <w:t>United Arab Emirates</w:t>
            </w:r>
          </w:p>
        </w:tc>
      </w:tr>
      <w:tr w:rsidR="006D2A6C" w14:paraId="5962A8BD"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5BAA10C" w14:textId="77777777" w:rsidR="006D2A6C" w:rsidRDefault="00000000">
            <w:pPr>
              <w:jc w:val="center"/>
            </w:pPr>
            <w:r>
              <w:rPr>
                <w:b/>
                <w:bCs/>
                <w:sz w:val="16"/>
                <w:szCs w:val="16"/>
              </w:rPr>
              <w:t>608</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3C0FBB6" w14:textId="77777777" w:rsidR="006D2A6C" w:rsidRDefault="00000000">
            <w:pPr>
              <w:jc w:val="center"/>
            </w:pPr>
            <w:r>
              <w:rPr>
                <w:sz w:val="16"/>
                <w:szCs w:val="16"/>
              </w:rPr>
              <w:t>591</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D85515B" w14:textId="77777777" w:rsidR="006D2A6C" w:rsidRDefault="00000000">
            <w:r>
              <w:rPr>
                <w:sz w:val="16"/>
                <w:szCs w:val="16"/>
              </w:rPr>
              <w:t>American University of Ras Al Khaimah</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E8EDA89" w14:textId="77777777" w:rsidR="006D2A6C" w:rsidRDefault="00000000">
            <w:pPr>
              <w:jc w:val="center"/>
            </w:pPr>
            <w:r>
              <w:rPr>
                <w:sz w:val="16"/>
                <w:szCs w:val="16"/>
              </w:rPr>
              <w:t>United Arab Emirates</w:t>
            </w:r>
          </w:p>
        </w:tc>
      </w:tr>
      <w:tr w:rsidR="006D2A6C" w14:paraId="32B89FC9"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8F034E0" w14:textId="77777777" w:rsidR="006D2A6C" w:rsidRDefault="00000000">
            <w:pPr>
              <w:jc w:val="center"/>
            </w:pPr>
            <w:r>
              <w:rPr>
                <w:b/>
                <w:bCs/>
                <w:sz w:val="16"/>
                <w:szCs w:val="16"/>
              </w:rPr>
              <w:t>616</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2294386" w14:textId="77777777" w:rsidR="006D2A6C" w:rsidRDefault="00000000">
            <w:pPr>
              <w:jc w:val="center"/>
            </w:pPr>
            <w:r>
              <w:rPr>
                <w:sz w:val="16"/>
                <w:szCs w:val="16"/>
              </w:rPr>
              <w:t>604</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41056D4" w14:textId="77777777" w:rsidR="006D2A6C" w:rsidRDefault="00000000">
            <w:r>
              <w:rPr>
                <w:sz w:val="16"/>
                <w:szCs w:val="16"/>
              </w:rPr>
              <w:t>Canadian University Dubai</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1DFD343" w14:textId="77777777" w:rsidR="006D2A6C" w:rsidRDefault="00000000">
            <w:pPr>
              <w:jc w:val="center"/>
            </w:pPr>
            <w:r>
              <w:rPr>
                <w:sz w:val="16"/>
                <w:szCs w:val="16"/>
              </w:rPr>
              <w:t>United Arab Emirates</w:t>
            </w:r>
          </w:p>
        </w:tc>
      </w:tr>
      <w:tr w:rsidR="006D2A6C" w14:paraId="4F56F861"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FD6B1F7" w14:textId="77777777" w:rsidR="006D2A6C" w:rsidRDefault="00000000">
            <w:pPr>
              <w:jc w:val="center"/>
            </w:pPr>
            <w:r>
              <w:rPr>
                <w:b/>
                <w:bCs/>
                <w:sz w:val="16"/>
                <w:szCs w:val="16"/>
              </w:rPr>
              <w:t>616</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A7649AB" w14:textId="77777777" w:rsidR="006D2A6C" w:rsidRDefault="00000000">
            <w:pPr>
              <w:jc w:val="center"/>
            </w:pPr>
            <w:r>
              <w:rPr>
                <w:sz w:val="16"/>
                <w:szCs w:val="16"/>
              </w:rPr>
              <w:t>563</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6F4DF31" w14:textId="77777777" w:rsidR="006D2A6C" w:rsidRDefault="00000000">
            <w:r>
              <w:rPr>
                <w:sz w:val="16"/>
                <w:szCs w:val="16"/>
              </w:rPr>
              <w:t>American University of the Middle East</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B232BE0" w14:textId="77777777" w:rsidR="006D2A6C" w:rsidRDefault="00000000">
            <w:pPr>
              <w:jc w:val="center"/>
            </w:pPr>
            <w:r>
              <w:rPr>
                <w:sz w:val="16"/>
                <w:szCs w:val="16"/>
              </w:rPr>
              <w:t>Kuwait</w:t>
            </w:r>
          </w:p>
        </w:tc>
      </w:tr>
      <w:tr w:rsidR="006D2A6C" w14:paraId="55C09A30"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683906E" w14:textId="77777777" w:rsidR="006D2A6C" w:rsidRDefault="00000000">
            <w:pPr>
              <w:jc w:val="center"/>
            </w:pPr>
            <w:r>
              <w:rPr>
                <w:b/>
                <w:bCs/>
                <w:sz w:val="16"/>
                <w:szCs w:val="16"/>
              </w:rPr>
              <w:t>620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048BB15" w14:textId="77777777" w:rsidR="006D2A6C" w:rsidRDefault="00000000">
            <w:pPr>
              <w:jc w:val="center"/>
            </w:pPr>
            <w:r>
              <w:rPr>
                <w:sz w:val="16"/>
                <w:szCs w:val="16"/>
              </w:rPr>
              <w:t>678</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13DD66A" w14:textId="77777777" w:rsidR="006D2A6C" w:rsidRDefault="00000000">
            <w:r>
              <w:rPr>
                <w:sz w:val="16"/>
                <w:szCs w:val="16"/>
              </w:rPr>
              <w:t>American University in Dubai</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C578CC7" w14:textId="77777777" w:rsidR="006D2A6C" w:rsidRDefault="00000000">
            <w:pPr>
              <w:jc w:val="center"/>
            </w:pPr>
            <w:r>
              <w:rPr>
                <w:sz w:val="16"/>
                <w:szCs w:val="16"/>
              </w:rPr>
              <w:t>United Arab Emirates</w:t>
            </w:r>
          </w:p>
        </w:tc>
      </w:tr>
      <w:tr w:rsidR="006D2A6C" w14:paraId="75F3F0EE"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8E812DB" w14:textId="77777777" w:rsidR="006D2A6C" w:rsidRDefault="00000000">
            <w:pPr>
              <w:jc w:val="center"/>
            </w:pPr>
            <w:r>
              <w:rPr>
                <w:b/>
                <w:bCs/>
                <w:sz w:val="16"/>
                <w:szCs w:val="16"/>
              </w:rPr>
              <w:t>626</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A283938" w14:textId="77777777" w:rsidR="006D2A6C" w:rsidRDefault="00000000">
            <w:pPr>
              <w:jc w:val="center"/>
            </w:pPr>
            <w:r>
              <w:rPr>
                <w:sz w:val="16"/>
                <w:szCs w:val="16"/>
              </w:rPr>
              <w:t>515</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427F521" w14:textId="77777777" w:rsidR="006D2A6C" w:rsidRDefault="00000000">
            <w:r>
              <w:rPr>
                <w:sz w:val="16"/>
                <w:szCs w:val="16"/>
              </w:rPr>
              <w:t>Lebanese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BF3E063" w14:textId="77777777" w:rsidR="006D2A6C" w:rsidRDefault="00000000">
            <w:pPr>
              <w:jc w:val="center"/>
            </w:pPr>
            <w:r>
              <w:rPr>
                <w:sz w:val="16"/>
                <w:szCs w:val="16"/>
              </w:rPr>
              <w:t>Lebanon</w:t>
            </w:r>
          </w:p>
        </w:tc>
      </w:tr>
      <w:tr w:rsidR="006D2A6C" w14:paraId="59F89168"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A6ED8CB" w14:textId="77777777" w:rsidR="006D2A6C" w:rsidRDefault="00000000">
            <w:pPr>
              <w:jc w:val="center"/>
            </w:pPr>
            <w:r>
              <w:rPr>
                <w:b/>
                <w:bCs/>
                <w:sz w:val="16"/>
                <w:szCs w:val="16"/>
              </w:rPr>
              <w:t>643</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97FA0CF" w14:textId="77777777" w:rsidR="006D2A6C" w:rsidRDefault="00000000">
            <w:pPr>
              <w:jc w:val="center"/>
            </w:pPr>
            <w:r>
              <w:rPr>
                <w:sz w:val="16"/>
                <w:szCs w:val="16"/>
              </w:rPr>
              <w:t>761-770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04926D4" w14:textId="77777777" w:rsidR="006D2A6C" w:rsidRDefault="00000000">
            <w:r>
              <w:rPr>
                <w:sz w:val="16"/>
                <w:szCs w:val="16"/>
              </w:rPr>
              <w:t>Al-</w:t>
            </w:r>
            <w:proofErr w:type="spellStart"/>
            <w:r>
              <w:rPr>
                <w:sz w:val="16"/>
                <w:szCs w:val="16"/>
              </w:rPr>
              <w:t>Ahliyya</w:t>
            </w:r>
            <w:proofErr w:type="spellEnd"/>
            <w:r>
              <w:rPr>
                <w:sz w:val="16"/>
                <w:szCs w:val="16"/>
              </w:rPr>
              <w:t xml:space="preserve"> Amman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1634FC9" w14:textId="77777777" w:rsidR="006D2A6C" w:rsidRDefault="00000000">
            <w:pPr>
              <w:jc w:val="center"/>
            </w:pPr>
            <w:r>
              <w:rPr>
                <w:sz w:val="16"/>
                <w:szCs w:val="16"/>
              </w:rPr>
              <w:t>Jordan</w:t>
            </w:r>
          </w:p>
        </w:tc>
      </w:tr>
      <w:tr w:rsidR="006D2A6C" w14:paraId="15EA4CBB"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FEF3640" w14:textId="77777777" w:rsidR="006D2A6C" w:rsidRDefault="00000000">
            <w:pPr>
              <w:jc w:val="center"/>
            </w:pPr>
            <w:r>
              <w:rPr>
                <w:b/>
                <w:bCs/>
                <w:sz w:val="16"/>
                <w:szCs w:val="16"/>
              </w:rPr>
              <w:t>655</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700F0AC" w14:textId="77777777" w:rsidR="006D2A6C" w:rsidRDefault="00000000">
            <w:pPr>
              <w:jc w:val="center"/>
            </w:pPr>
            <w:r>
              <w:rPr>
                <w:sz w:val="16"/>
                <w:szCs w:val="16"/>
              </w:rPr>
              <w:t>731-740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A1DAB89" w14:textId="77777777" w:rsidR="006D2A6C" w:rsidRDefault="00000000">
            <w:r>
              <w:rPr>
                <w:sz w:val="16"/>
                <w:szCs w:val="16"/>
              </w:rPr>
              <w:t>Universite de Tunis El Manar</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F4A7152" w14:textId="77777777" w:rsidR="006D2A6C" w:rsidRDefault="00000000">
            <w:pPr>
              <w:jc w:val="center"/>
            </w:pPr>
            <w:r>
              <w:rPr>
                <w:sz w:val="16"/>
                <w:szCs w:val="16"/>
              </w:rPr>
              <w:t>Tunisia</w:t>
            </w:r>
          </w:p>
        </w:tc>
      </w:tr>
      <w:tr w:rsidR="006D2A6C" w14:paraId="2C5CE6B6"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88E51D0" w14:textId="77777777" w:rsidR="006D2A6C" w:rsidRDefault="00000000">
            <w:pPr>
              <w:jc w:val="center"/>
            </w:pPr>
            <w:r>
              <w:rPr>
                <w:b/>
                <w:bCs/>
                <w:sz w:val="16"/>
                <w:szCs w:val="16"/>
              </w:rPr>
              <w:t>655</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6E57506" w14:textId="77777777" w:rsidR="006D2A6C" w:rsidRDefault="00000000">
            <w:pPr>
              <w:jc w:val="center"/>
            </w:pPr>
            <w:r>
              <w:rPr>
                <w:sz w:val="16"/>
                <w:szCs w:val="16"/>
              </w:rPr>
              <w:t>613</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BC74691" w14:textId="77777777" w:rsidR="006D2A6C" w:rsidRDefault="00000000">
            <w:r>
              <w:rPr>
                <w:sz w:val="16"/>
                <w:szCs w:val="16"/>
              </w:rPr>
              <w:t>Applied Science University - Bahrain</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6EAE4EA" w14:textId="77777777" w:rsidR="006D2A6C" w:rsidRDefault="00000000">
            <w:pPr>
              <w:jc w:val="center"/>
            </w:pPr>
            <w:r>
              <w:rPr>
                <w:sz w:val="16"/>
                <w:szCs w:val="16"/>
              </w:rPr>
              <w:t>Bahrain</w:t>
            </w:r>
          </w:p>
        </w:tc>
      </w:tr>
      <w:tr w:rsidR="006D2A6C" w14:paraId="5A7459DD"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30B97C8" w14:textId="77777777" w:rsidR="006D2A6C" w:rsidRDefault="00000000">
            <w:pPr>
              <w:jc w:val="center"/>
            </w:pPr>
            <w:r>
              <w:rPr>
                <w:b/>
                <w:bCs/>
                <w:sz w:val="16"/>
                <w:szCs w:val="16"/>
              </w:rPr>
              <w:t>670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ECA87F4" w14:textId="77777777" w:rsidR="006D2A6C" w:rsidRDefault="00000000">
            <w:pPr>
              <w:jc w:val="center"/>
            </w:pPr>
            <w:r>
              <w:rPr>
                <w:sz w:val="16"/>
                <w:szCs w:val="16"/>
              </w:rPr>
              <w:t>676</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ACE939A" w14:textId="77777777" w:rsidR="006D2A6C" w:rsidRDefault="00000000">
            <w:r>
              <w:rPr>
                <w:sz w:val="16"/>
                <w:szCs w:val="16"/>
              </w:rPr>
              <w:t>Beirut Arab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201645F" w14:textId="77777777" w:rsidR="006D2A6C" w:rsidRDefault="00000000">
            <w:pPr>
              <w:jc w:val="center"/>
            </w:pPr>
            <w:r>
              <w:rPr>
                <w:sz w:val="16"/>
                <w:szCs w:val="16"/>
              </w:rPr>
              <w:t>Lebanon</w:t>
            </w:r>
          </w:p>
        </w:tc>
      </w:tr>
      <w:tr w:rsidR="006D2A6C" w14:paraId="048702E9"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CA86CD2" w14:textId="77777777" w:rsidR="006D2A6C" w:rsidRDefault="00000000">
            <w:pPr>
              <w:jc w:val="center"/>
            </w:pPr>
            <w:r>
              <w:rPr>
                <w:b/>
                <w:bCs/>
                <w:sz w:val="16"/>
                <w:szCs w:val="16"/>
              </w:rPr>
              <w:t>677</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4637F98" w14:textId="77777777" w:rsidR="006D2A6C" w:rsidRDefault="00000000">
            <w:pPr>
              <w:jc w:val="center"/>
            </w:pPr>
            <w:r>
              <w:rPr>
                <w:sz w:val="16"/>
                <w:szCs w:val="16"/>
              </w:rPr>
              <w:t>721-730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822B2C1" w14:textId="77777777" w:rsidR="006D2A6C" w:rsidRDefault="00000000">
            <w:r>
              <w:rPr>
                <w:sz w:val="16"/>
                <w:szCs w:val="16"/>
              </w:rPr>
              <w:t>Prince Sattam Bin Abdulaziz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6304300" w14:textId="77777777" w:rsidR="006D2A6C" w:rsidRDefault="00000000">
            <w:pPr>
              <w:jc w:val="center"/>
            </w:pPr>
            <w:r>
              <w:rPr>
                <w:sz w:val="16"/>
                <w:szCs w:val="16"/>
              </w:rPr>
              <w:t>Saudi Arabia</w:t>
            </w:r>
          </w:p>
        </w:tc>
      </w:tr>
      <w:tr w:rsidR="006D2A6C" w14:paraId="42A5DA8D"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A87690E" w14:textId="77777777" w:rsidR="006D2A6C" w:rsidRDefault="00000000">
            <w:pPr>
              <w:jc w:val="center"/>
            </w:pPr>
            <w:r>
              <w:rPr>
                <w:b/>
                <w:bCs/>
                <w:sz w:val="16"/>
                <w:szCs w:val="16"/>
              </w:rPr>
              <w:t>711-720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7D611B5" w14:textId="77777777" w:rsidR="006D2A6C" w:rsidRDefault="00000000">
            <w:pPr>
              <w:jc w:val="center"/>
            </w:pPr>
            <w:r>
              <w:rPr>
                <w:sz w:val="16"/>
                <w:szCs w:val="16"/>
              </w:rPr>
              <w:t>801-850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A721B80" w14:textId="77777777" w:rsidR="006D2A6C" w:rsidRDefault="00000000">
            <w:r>
              <w:rPr>
                <w:sz w:val="16"/>
                <w:szCs w:val="16"/>
              </w:rPr>
              <w:t>Ahlia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695FA09" w14:textId="77777777" w:rsidR="006D2A6C" w:rsidRDefault="00000000">
            <w:pPr>
              <w:jc w:val="center"/>
            </w:pPr>
            <w:r>
              <w:rPr>
                <w:sz w:val="16"/>
                <w:szCs w:val="16"/>
              </w:rPr>
              <w:t>Bahrain</w:t>
            </w:r>
          </w:p>
        </w:tc>
      </w:tr>
      <w:tr w:rsidR="006D2A6C" w14:paraId="5D3C16D4"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FBE1E4C" w14:textId="77777777" w:rsidR="006D2A6C" w:rsidRDefault="00000000">
            <w:pPr>
              <w:jc w:val="center"/>
            </w:pPr>
            <w:r>
              <w:rPr>
                <w:b/>
                <w:bCs/>
                <w:sz w:val="16"/>
                <w:szCs w:val="16"/>
              </w:rPr>
              <w:t>741-750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B9D49F6" w14:textId="77777777" w:rsidR="006D2A6C" w:rsidRDefault="00000000">
            <w:pPr>
              <w:jc w:val="center"/>
            </w:pPr>
            <w:r>
              <w:rPr>
                <w:sz w:val="16"/>
                <w:szCs w:val="16"/>
              </w:rPr>
              <w:t>622</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C2B420E" w14:textId="77777777" w:rsidR="006D2A6C" w:rsidRDefault="00000000">
            <w:r>
              <w:rPr>
                <w:sz w:val="16"/>
                <w:szCs w:val="16"/>
              </w:rPr>
              <w:t>Umm Al-Qura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291C4E9" w14:textId="77777777" w:rsidR="006D2A6C" w:rsidRDefault="00000000">
            <w:pPr>
              <w:jc w:val="center"/>
            </w:pPr>
            <w:r>
              <w:rPr>
                <w:sz w:val="16"/>
                <w:szCs w:val="16"/>
              </w:rPr>
              <w:t>Saudi Arabia</w:t>
            </w:r>
          </w:p>
        </w:tc>
      </w:tr>
      <w:tr w:rsidR="006D2A6C" w14:paraId="226BE8EA"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544AA57" w14:textId="77777777" w:rsidR="006D2A6C" w:rsidRDefault="00000000">
            <w:pPr>
              <w:jc w:val="center"/>
            </w:pPr>
            <w:r>
              <w:rPr>
                <w:b/>
                <w:bCs/>
                <w:sz w:val="16"/>
                <w:szCs w:val="16"/>
              </w:rPr>
              <w:t>761-770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647B7F4" w14:textId="77777777" w:rsidR="006D2A6C" w:rsidRDefault="00000000">
            <w:pPr>
              <w:jc w:val="center"/>
            </w:pPr>
            <w:r>
              <w:rPr>
                <w:sz w:val="16"/>
                <w:szCs w:val="16"/>
              </w:rPr>
              <w:t>791-800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868D824" w14:textId="77777777" w:rsidR="006D2A6C" w:rsidRDefault="00000000">
            <w:r>
              <w:rPr>
                <w:sz w:val="16"/>
                <w:szCs w:val="16"/>
              </w:rPr>
              <w:t>Applied Science Private University - Jordan</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938C860" w14:textId="77777777" w:rsidR="006D2A6C" w:rsidRDefault="00000000">
            <w:pPr>
              <w:jc w:val="center"/>
            </w:pPr>
            <w:r>
              <w:rPr>
                <w:sz w:val="16"/>
                <w:szCs w:val="16"/>
              </w:rPr>
              <w:t>Jordan</w:t>
            </w:r>
          </w:p>
        </w:tc>
      </w:tr>
      <w:tr w:rsidR="006D2A6C" w14:paraId="38F5B92F"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0D30AEA" w14:textId="77777777" w:rsidR="006D2A6C" w:rsidRDefault="00000000">
            <w:pPr>
              <w:jc w:val="center"/>
            </w:pPr>
            <w:r>
              <w:rPr>
                <w:b/>
                <w:bCs/>
                <w:sz w:val="16"/>
                <w:szCs w:val="16"/>
              </w:rPr>
              <w:t>761-770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B56656F" w14:textId="77777777" w:rsidR="006D2A6C" w:rsidRDefault="00000000">
            <w:pPr>
              <w:jc w:val="center"/>
            </w:pPr>
            <w:r>
              <w:rPr>
                <w:sz w:val="16"/>
                <w:szCs w:val="16"/>
              </w:rPr>
              <w:t>771-780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C7E3688" w14:textId="77777777" w:rsidR="006D2A6C" w:rsidRDefault="00000000">
            <w:r>
              <w:rPr>
                <w:sz w:val="16"/>
                <w:szCs w:val="16"/>
              </w:rPr>
              <w:t xml:space="preserve">Holy Spirit University of </w:t>
            </w:r>
            <w:proofErr w:type="spellStart"/>
            <w:r>
              <w:rPr>
                <w:sz w:val="16"/>
                <w:szCs w:val="16"/>
              </w:rPr>
              <w:t>Kaslik</w:t>
            </w:r>
            <w:proofErr w:type="spellEnd"/>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0FEC5C4" w14:textId="77777777" w:rsidR="006D2A6C" w:rsidRDefault="00000000">
            <w:pPr>
              <w:jc w:val="center"/>
            </w:pPr>
            <w:r>
              <w:rPr>
                <w:sz w:val="16"/>
                <w:szCs w:val="16"/>
              </w:rPr>
              <w:t>Lebanon</w:t>
            </w:r>
          </w:p>
        </w:tc>
      </w:tr>
      <w:tr w:rsidR="006D2A6C" w14:paraId="15E1473E"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5CE16C4" w14:textId="77777777" w:rsidR="006D2A6C" w:rsidRDefault="00000000">
            <w:pPr>
              <w:jc w:val="center"/>
            </w:pPr>
            <w:r>
              <w:rPr>
                <w:b/>
                <w:bCs/>
                <w:sz w:val="16"/>
                <w:szCs w:val="16"/>
              </w:rPr>
              <w:t>781-790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E4C3D1D" w14:textId="77777777" w:rsidR="006D2A6C" w:rsidRDefault="00000000">
            <w:pPr>
              <w:jc w:val="center"/>
            </w:pPr>
            <w:r>
              <w:rPr>
                <w:sz w:val="16"/>
                <w:szCs w:val="16"/>
              </w:rPr>
              <w:t>801-850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DD14832" w14:textId="77777777" w:rsidR="006D2A6C" w:rsidRDefault="00000000">
            <w:r>
              <w:rPr>
                <w:sz w:val="16"/>
                <w:szCs w:val="16"/>
              </w:rPr>
              <w:t>German Jordanian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0CB64A9" w14:textId="77777777" w:rsidR="006D2A6C" w:rsidRDefault="00000000">
            <w:pPr>
              <w:jc w:val="center"/>
            </w:pPr>
            <w:r>
              <w:rPr>
                <w:sz w:val="16"/>
                <w:szCs w:val="16"/>
              </w:rPr>
              <w:t>Jordan</w:t>
            </w:r>
          </w:p>
        </w:tc>
      </w:tr>
      <w:tr w:rsidR="006D2A6C" w14:paraId="474E15ED"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E76D091" w14:textId="77777777" w:rsidR="006D2A6C" w:rsidRDefault="00000000">
            <w:pPr>
              <w:jc w:val="center"/>
            </w:pPr>
            <w:r>
              <w:rPr>
                <w:b/>
                <w:bCs/>
                <w:sz w:val="16"/>
                <w:szCs w:val="16"/>
              </w:rPr>
              <w:t>781-790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F2C351D" w14:textId="77777777" w:rsidR="006D2A6C" w:rsidRDefault="00000000">
            <w:pPr>
              <w:jc w:val="center"/>
            </w:pPr>
            <w:r>
              <w:rPr>
                <w:sz w:val="16"/>
                <w:szCs w:val="16"/>
              </w:rPr>
              <w:t>851-900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DFE6117" w14:textId="77777777" w:rsidR="006D2A6C" w:rsidRDefault="00000000">
            <w:r>
              <w:rPr>
                <w:sz w:val="16"/>
                <w:szCs w:val="16"/>
              </w:rPr>
              <w:t>University of Dubai</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2DF9B1A" w14:textId="77777777" w:rsidR="006D2A6C" w:rsidRDefault="00000000">
            <w:pPr>
              <w:jc w:val="center"/>
            </w:pPr>
            <w:r>
              <w:rPr>
                <w:sz w:val="16"/>
                <w:szCs w:val="16"/>
              </w:rPr>
              <w:t>United Arab Emirates</w:t>
            </w:r>
          </w:p>
        </w:tc>
      </w:tr>
      <w:tr w:rsidR="006D2A6C" w14:paraId="4A7F32C9"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9AC0B01" w14:textId="77777777" w:rsidR="006D2A6C" w:rsidRDefault="00000000">
            <w:pPr>
              <w:jc w:val="center"/>
            </w:pPr>
            <w:r>
              <w:rPr>
                <w:b/>
                <w:bCs/>
                <w:sz w:val="16"/>
                <w:szCs w:val="16"/>
              </w:rPr>
              <w:t>781-790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82EDA09" w14:textId="77777777" w:rsidR="006D2A6C" w:rsidRDefault="00000000">
            <w:pPr>
              <w:jc w:val="center"/>
            </w:pPr>
            <w:r>
              <w:rPr>
                <w:sz w:val="16"/>
                <w:szCs w:val="16"/>
              </w:rPr>
              <w:t>801-850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86F7FB5" w14:textId="77777777" w:rsidR="006D2A6C" w:rsidRDefault="00000000">
            <w:r>
              <w:rPr>
                <w:sz w:val="16"/>
                <w:szCs w:val="16"/>
              </w:rPr>
              <w:t>Qassim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8832716" w14:textId="77777777" w:rsidR="006D2A6C" w:rsidRDefault="00000000">
            <w:pPr>
              <w:jc w:val="center"/>
            </w:pPr>
            <w:r>
              <w:rPr>
                <w:sz w:val="16"/>
                <w:szCs w:val="16"/>
              </w:rPr>
              <w:t>Saudi Arabia</w:t>
            </w:r>
          </w:p>
        </w:tc>
      </w:tr>
      <w:tr w:rsidR="006D2A6C" w14:paraId="722D68B6"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CCC20EA" w14:textId="77777777" w:rsidR="006D2A6C" w:rsidRDefault="00000000">
            <w:pPr>
              <w:jc w:val="center"/>
            </w:pPr>
            <w:r>
              <w:rPr>
                <w:b/>
                <w:bCs/>
                <w:sz w:val="16"/>
                <w:szCs w:val="16"/>
              </w:rPr>
              <w:t>791-800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E1766F6" w14:textId="77777777" w:rsidR="006D2A6C" w:rsidRDefault="00000000">
            <w:pPr>
              <w:jc w:val="center"/>
            </w:pPr>
            <w:r>
              <w:rPr>
                <w:sz w:val="16"/>
                <w:szCs w:val="16"/>
              </w:rPr>
              <w:t>851-900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2D59674" w14:textId="77777777" w:rsidR="006D2A6C" w:rsidRDefault="00000000">
            <w:r>
              <w:rPr>
                <w:sz w:val="16"/>
                <w:szCs w:val="16"/>
              </w:rPr>
              <w:t>Imam Mohammad Ibn Saud Islamic University (IMSIU)</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6F9A4A0" w14:textId="77777777" w:rsidR="006D2A6C" w:rsidRDefault="00000000">
            <w:pPr>
              <w:jc w:val="center"/>
            </w:pPr>
            <w:r>
              <w:rPr>
                <w:sz w:val="16"/>
                <w:szCs w:val="16"/>
              </w:rPr>
              <w:t>Saudi Arabia</w:t>
            </w:r>
          </w:p>
        </w:tc>
      </w:tr>
      <w:tr w:rsidR="006D2A6C" w14:paraId="1E9F35D0"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316FF1C" w14:textId="77777777" w:rsidR="006D2A6C" w:rsidRDefault="00000000">
            <w:pPr>
              <w:jc w:val="center"/>
            </w:pPr>
            <w:r>
              <w:rPr>
                <w:b/>
                <w:bCs/>
                <w:sz w:val="16"/>
                <w:szCs w:val="16"/>
              </w:rPr>
              <w:t>801-850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445ABB7" w14:textId="77777777" w:rsidR="006D2A6C" w:rsidRDefault="00000000">
            <w:pPr>
              <w:jc w:val="center"/>
            </w:pPr>
            <w:r>
              <w:rPr>
                <w:sz w:val="16"/>
                <w:szCs w:val="16"/>
              </w:rPr>
              <w:t>801-850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FD95D73" w14:textId="77777777" w:rsidR="006D2A6C" w:rsidRDefault="00000000">
            <w:proofErr w:type="spellStart"/>
            <w:r>
              <w:rPr>
                <w:sz w:val="16"/>
                <w:szCs w:val="16"/>
              </w:rPr>
              <w:t>Alfaisal</w:t>
            </w:r>
            <w:proofErr w:type="spellEnd"/>
            <w:r>
              <w:rPr>
                <w:sz w:val="16"/>
                <w:szCs w:val="16"/>
              </w:rPr>
              <w:t xml:space="preserve">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0E2FA0B" w14:textId="77777777" w:rsidR="006D2A6C" w:rsidRDefault="00000000">
            <w:pPr>
              <w:jc w:val="center"/>
            </w:pPr>
            <w:r>
              <w:rPr>
                <w:sz w:val="16"/>
                <w:szCs w:val="16"/>
              </w:rPr>
              <w:t>Saudi Arabia</w:t>
            </w:r>
          </w:p>
        </w:tc>
      </w:tr>
      <w:tr w:rsidR="006D2A6C" w14:paraId="58676D2F"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CE040C8" w14:textId="77777777" w:rsidR="006D2A6C" w:rsidRDefault="00000000">
            <w:pPr>
              <w:jc w:val="center"/>
            </w:pPr>
            <w:r>
              <w:rPr>
                <w:b/>
                <w:bCs/>
                <w:sz w:val="16"/>
                <w:szCs w:val="16"/>
              </w:rPr>
              <w:t>801-850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222244B" w14:textId="77777777" w:rsidR="006D2A6C" w:rsidRDefault="00000000">
            <w:pPr>
              <w:jc w:val="center"/>
            </w:pPr>
            <w:r>
              <w:rPr>
                <w:sz w:val="16"/>
                <w:szCs w:val="16"/>
              </w:rPr>
              <w:t>741-750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2D71522" w14:textId="77777777" w:rsidR="006D2A6C" w:rsidRDefault="00000000">
            <w:r>
              <w:rPr>
                <w:sz w:val="16"/>
                <w:szCs w:val="16"/>
              </w:rPr>
              <w:t>University of Baghdad</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052828E" w14:textId="77777777" w:rsidR="006D2A6C" w:rsidRDefault="00000000">
            <w:pPr>
              <w:jc w:val="center"/>
            </w:pPr>
            <w:r>
              <w:rPr>
                <w:sz w:val="16"/>
                <w:szCs w:val="16"/>
              </w:rPr>
              <w:t>Iraq</w:t>
            </w:r>
          </w:p>
        </w:tc>
      </w:tr>
      <w:tr w:rsidR="006D2A6C" w14:paraId="73F4759C"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2D4779F" w14:textId="77777777" w:rsidR="006D2A6C" w:rsidRDefault="00000000">
            <w:pPr>
              <w:jc w:val="center"/>
            </w:pPr>
            <w:r>
              <w:rPr>
                <w:b/>
                <w:bCs/>
                <w:sz w:val="16"/>
                <w:szCs w:val="16"/>
              </w:rPr>
              <w:t>801-850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BFDD68A" w14:textId="77777777" w:rsidR="006D2A6C" w:rsidRDefault="006D2A6C">
            <w:pPr>
              <w:jc w:val="center"/>
            </w:pP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41C6CC9" w14:textId="77777777" w:rsidR="006D2A6C" w:rsidRDefault="00000000">
            <w:r>
              <w:rPr>
                <w:sz w:val="16"/>
                <w:szCs w:val="16"/>
              </w:rPr>
              <w:t>Egypt Japan University of Science &amp; Technology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1863036" w14:textId="77777777" w:rsidR="006D2A6C" w:rsidRDefault="00000000">
            <w:pPr>
              <w:jc w:val="center"/>
            </w:pPr>
            <w:r>
              <w:rPr>
                <w:sz w:val="16"/>
                <w:szCs w:val="16"/>
              </w:rPr>
              <w:t>Egypt</w:t>
            </w:r>
          </w:p>
        </w:tc>
      </w:tr>
      <w:tr w:rsidR="006D2A6C" w14:paraId="3772B85B"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450D464" w14:textId="77777777" w:rsidR="006D2A6C" w:rsidRDefault="00000000">
            <w:pPr>
              <w:jc w:val="center"/>
            </w:pPr>
            <w:r>
              <w:rPr>
                <w:b/>
                <w:bCs/>
                <w:sz w:val="16"/>
                <w:szCs w:val="16"/>
              </w:rPr>
              <w:t>801-850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BF0B767" w14:textId="77777777" w:rsidR="006D2A6C" w:rsidRDefault="00000000">
            <w:pPr>
              <w:jc w:val="center"/>
            </w:pPr>
            <w:r>
              <w:rPr>
                <w:sz w:val="16"/>
                <w:szCs w:val="16"/>
              </w:rPr>
              <w:t>781-790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CB8B14D" w14:textId="77777777" w:rsidR="006D2A6C" w:rsidRDefault="00000000">
            <w:r>
              <w:rPr>
                <w:sz w:val="16"/>
                <w:szCs w:val="16"/>
              </w:rPr>
              <w:t>Alexandria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476AA5E" w14:textId="77777777" w:rsidR="006D2A6C" w:rsidRDefault="00000000">
            <w:pPr>
              <w:jc w:val="center"/>
            </w:pPr>
            <w:r>
              <w:rPr>
                <w:sz w:val="16"/>
                <w:szCs w:val="16"/>
              </w:rPr>
              <w:t>Egypt</w:t>
            </w:r>
          </w:p>
        </w:tc>
      </w:tr>
      <w:tr w:rsidR="006D2A6C" w14:paraId="2E2ABF47"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7175D97" w14:textId="77777777" w:rsidR="006D2A6C" w:rsidRDefault="00000000">
            <w:pPr>
              <w:jc w:val="center"/>
            </w:pPr>
            <w:r>
              <w:rPr>
                <w:b/>
                <w:bCs/>
                <w:sz w:val="16"/>
                <w:szCs w:val="16"/>
              </w:rPr>
              <w:lastRenderedPageBreak/>
              <w:t>801-850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66E3E39" w14:textId="77777777" w:rsidR="006D2A6C" w:rsidRDefault="00000000">
            <w:pPr>
              <w:jc w:val="center"/>
            </w:pPr>
            <w:r>
              <w:rPr>
                <w:sz w:val="16"/>
                <w:szCs w:val="16"/>
              </w:rPr>
              <w:t>731-740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E55FEC7" w14:textId="77777777" w:rsidR="006D2A6C" w:rsidRDefault="00000000">
            <w:r>
              <w:rPr>
                <w:sz w:val="16"/>
                <w:szCs w:val="16"/>
              </w:rPr>
              <w:t xml:space="preserve">Princess Nourah </w:t>
            </w:r>
            <w:proofErr w:type="spellStart"/>
            <w:r>
              <w:rPr>
                <w:sz w:val="16"/>
                <w:szCs w:val="16"/>
              </w:rPr>
              <w:t>bint</w:t>
            </w:r>
            <w:proofErr w:type="spellEnd"/>
            <w:r>
              <w:rPr>
                <w:sz w:val="16"/>
                <w:szCs w:val="16"/>
              </w:rPr>
              <w:t xml:space="preserve"> Abdulrahman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41BEB9D" w14:textId="77777777" w:rsidR="006D2A6C" w:rsidRDefault="00000000">
            <w:pPr>
              <w:jc w:val="center"/>
            </w:pPr>
            <w:r>
              <w:rPr>
                <w:sz w:val="16"/>
                <w:szCs w:val="16"/>
              </w:rPr>
              <w:t>Saudi Arabia</w:t>
            </w:r>
          </w:p>
        </w:tc>
      </w:tr>
      <w:tr w:rsidR="006D2A6C" w14:paraId="06E60022"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8F8C715" w14:textId="77777777" w:rsidR="006D2A6C" w:rsidRDefault="00000000">
            <w:pPr>
              <w:jc w:val="center"/>
            </w:pPr>
            <w:r>
              <w:rPr>
                <w:b/>
                <w:bCs/>
                <w:sz w:val="16"/>
                <w:szCs w:val="16"/>
              </w:rPr>
              <w:t>851-900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AFA44A0" w14:textId="77777777" w:rsidR="006D2A6C" w:rsidRDefault="00000000">
            <w:pPr>
              <w:jc w:val="center"/>
            </w:pPr>
            <w:r>
              <w:rPr>
                <w:sz w:val="16"/>
                <w:szCs w:val="16"/>
              </w:rPr>
              <w:t>901-950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E27795B" w14:textId="77777777" w:rsidR="006D2A6C" w:rsidRDefault="00000000">
            <w:r>
              <w:rPr>
                <w:sz w:val="16"/>
                <w:szCs w:val="16"/>
              </w:rPr>
              <w:t>Taif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B67599F" w14:textId="77777777" w:rsidR="006D2A6C" w:rsidRDefault="00000000">
            <w:pPr>
              <w:jc w:val="center"/>
            </w:pPr>
            <w:r>
              <w:rPr>
                <w:sz w:val="16"/>
                <w:szCs w:val="16"/>
              </w:rPr>
              <w:t>Saudi Arabia</w:t>
            </w:r>
          </w:p>
        </w:tc>
      </w:tr>
      <w:tr w:rsidR="006D2A6C" w14:paraId="33B2D5AA"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09FC3E3" w14:textId="77777777" w:rsidR="006D2A6C" w:rsidRDefault="00000000">
            <w:pPr>
              <w:jc w:val="center"/>
            </w:pPr>
            <w:r>
              <w:rPr>
                <w:b/>
                <w:bCs/>
                <w:sz w:val="16"/>
                <w:szCs w:val="16"/>
              </w:rPr>
              <w:t>851-900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C2AA365" w14:textId="77777777" w:rsidR="006D2A6C" w:rsidRDefault="00000000">
            <w:pPr>
              <w:jc w:val="center"/>
            </w:pPr>
            <w:r>
              <w:rPr>
                <w:sz w:val="16"/>
                <w:szCs w:val="16"/>
              </w:rPr>
              <w:t>781-790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ACB41EB" w14:textId="77777777" w:rsidR="006D2A6C" w:rsidRDefault="00000000">
            <w:r>
              <w:rPr>
                <w:sz w:val="16"/>
                <w:szCs w:val="16"/>
              </w:rPr>
              <w:t>Kuwait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2ACA140" w14:textId="77777777" w:rsidR="006D2A6C" w:rsidRDefault="00000000">
            <w:pPr>
              <w:jc w:val="center"/>
            </w:pPr>
            <w:r>
              <w:rPr>
                <w:sz w:val="16"/>
                <w:szCs w:val="16"/>
              </w:rPr>
              <w:t>Kuwait</w:t>
            </w:r>
          </w:p>
        </w:tc>
      </w:tr>
      <w:tr w:rsidR="006D2A6C" w14:paraId="6A5512D4"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EBBA430" w14:textId="77777777" w:rsidR="006D2A6C" w:rsidRDefault="00000000">
            <w:pPr>
              <w:jc w:val="center"/>
            </w:pPr>
            <w:r>
              <w:rPr>
                <w:b/>
                <w:bCs/>
                <w:sz w:val="16"/>
                <w:szCs w:val="16"/>
              </w:rPr>
              <w:t>901-950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F96B695" w14:textId="77777777" w:rsidR="006D2A6C" w:rsidRDefault="00000000">
            <w:pPr>
              <w:jc w:val="center"/>
            </w:pPr>
            <w:r>
              <w:rPr>
                <w:sz w:val="16"/>
                <w:szCs w:val="16"/>
              </w:rPr>
              <w:t>851-900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3E73065" w14:textId="77777777" w:rsidR="006D2A6C" w:rsidRDefault="00000000">
            <w:r>
              <w:rPr>
                <w:sz w:val="16"/>
                <w:szCs w:val="16"/>
              </w:rPr>
              <w:t>Effat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7386A5C" w14:textId="77777777" w:rsidR="006D2A6C" w:rsidRDefault="00000000">
            <w:pPr>
              <w:jc w:val="center"/>
            </w:pPr>
            <w:r>
              <w:rPr>
                <w:sz w:val="16"/>
                <w:szCs w:val="16"/>
              </w:rPr>
              <w:t>Saudi Arabia</w:t>
            </w:r>
          </w:p>
        </w:tc>
      </w:tr>
      <w:tr w:rsidR="006D2A6C" w14:paraId="19D25D0D"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CC02CD3" w14:textId="77777777" w:rsidR="006D2A6C" w:rsidRDefault="00000000">
            <w:pPr>
              <w:jc w:val="center"/>
            </w:pPr>
            <w:r>
              <w:rPr>
                <w:b/>
                <w:bCs/>
                <w:sz w:val="16"/>
                <w:szCs w:val="16"/>
              </w:rPr>
              <w:t>901-950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3848460" w14:textId="77777777" w:rsidR="006D2A6C" w:rsidRDefault="00000000">
            <w:pPr>
              <w:jc w:val="center"/>
            </w:pPr>
            <w:r>
              <w:rPr>
                <w:sz w:val="16"/>
                <w:szCs w:val="16"/>
              </w:rPr>
              <w:t>851-900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DD73C08" w14:textId="77777777" w:rsidR="006D2A6C" w:rsidRDefault="00000000">
            <w:r>
              <w:rPr>
                <w:sz w:val="16"/>
                <w:szCs w:val="16"/>
              </w:rPr>
              <w:t>Yarmouk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526BA9F" w14:textId="77777777" w:rsidR="006D2A6C" w:rsidRDefault="00000000">
            <w:pPr>
              <w:jc w:val="center"/>
            </w:pPr>
            <w:r>
              <w:rPr>
                <w:sz w:val="16"/>
                <w:szCs w:val="16"/>
              </w:rPr>
              <w:t>Jordan</w:t>
            </w:r>
          </w:p>
        </w:tc>
      </w:tr>
      <w:tr w:rsidR="006D2A6C" w14:paraId="255EA4CF"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64875CB" w14:textId="77777777" w:rsidR="006D2A6C" w:rsidRDefault="00000000">
            <w:pPr>
              <w:jc w:val="center"/>
            </w:pPr>
            <w:r>
              <w:rPr>
                <w:b/>
                <w:bCs/>
                <w:sz w:val="16"/>
                <w:szCs w:val="16"/>
              </w:rPr>
              <w:t>901-950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4DBBDD2" w14:textId="77777777" w:rsidR="006D2A6C" w:rsidRDefault="00000000">
            <w:pPr>
              <w:jc w:val="center"/>
            </w:pPr>
            <w:r>
              <w:rPr>
                <w:sz w:val="16"/>
                <w:szCs w:val="16"/>
              </w:rPr>
              <w:t>951-1000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D0DE94B" w14:textId="77777777" w:rsidR="006D2A6C" w:rsidRDefault="00000000">
            <w:r>
              <w:rPr>
                <w:sz w:val="16"/>
                <w:szCs w:val="16"/>
              </w:rPr>
              <w:t>Al-Quds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9BBD171" w14:textId="77777777" w:rsidR="006D2A6C" w:rsidRDefault="00000000">
            <w:pPr>
              <w:jc w:val="center"/>
            </w:pPr>
            <w:r>
              <w:rPr>
                <w:sz w:val="16"/>
                <w:szCs w:val="16"/>
              </w:rPr>
              <w:t>Palestine</w:t>
            </w:r>
          </w:p>
        </w:tc>
      </w:tr>
      <w:tr w:rsidR="006D2A6C" w14:paraId="0D82326B"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AE55AFD" w14:textId="77777777" w:rsidR="006D2A6C" w:rsidRDefault="00000000">
            <w:pPr>
              <w:jc w:val="center"/>
            </w:pPr>
            <w:r>
              <w:rPr>
                <w:b/>
                <w:bCs/>
                <w:sz w:val="16"/>
                <w:szCs w:val="16"/>
              </w:rPr>
              <w:t>901-950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BE061D2" w14:textId="77777777" w:rsidR="006D2A6C" w:rsidRDefault="00000000">
            <w:pPr>
              <w:jc w:val="center"/>
            </w:pPr>
            <w:r>
              <w:rPr>
                <w:sz w:val="16"/>
                <w:szCs w:val="16"/>
              </w:rPr>
              <w:t>761-770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A157AD3" w14:textId="77777777" w:rsidR="006D2A6C" w:rsidRDefault="00000000">
            <w:r>
              <w:rPr>
                <w:sz w:val="16"/>
                <w:szCs w:val="16"/>
              </w:rPr>
              <w:t>University of Nizwa</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515B9B5" w14:textId="77777777" w:rsidR="006D2A6C" w:rsidRDefault="00000000">
            <w:pPr>
              <w:jc w:val="center"/>
            </w:pPr>
            <w:r>
              <w:rPr>
                <w:sz w:val="16"/>
                <w:szCs w:val="16"/>
              </w:rPr>
              <w:t>Oman</w:t>
            </w:r>
          </w:p>
        </w:tc>
      </w:tr>
      <w:tr w:rsidR="006D2A6C" w14:paraId="28C80C1A"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6D4E84B" w14:textId="77777777" w:rsidR="006D2A6C" w:rsidRDefault="00000000">
            <w:pPr>
              <w:jc w:val="center"/>
            </w:pPr>
            <w:r>
              <w:rPr>
                <w:b/>
                <w:bCs/>
                <w:sz w:val="16"/>
                <w:szCs w:val="16"/>
              </w:rPr>
              <w:t>901-950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0E072A4" w14:textId="77777777" w:rsidR="006D2A6C" w:rsidRDefault="00000000">
            <w:pPr>
              <w:jc w:val="center"/>
            </w:pPr>
            <w:r>
              <w:rPr>
                <w:sz w:val="16"/>
                <w:szCs w:val="16"/>
              </w:rPr>
              <w:t>851-900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D9ADEE8" w14:textId="77777777" w:rsidR="006D2A6C" w:rsidRDefault="00000000">
            <w:r>
              <w:rPr>
                <w:sz w:val="16"/>
                <w:szCs w:val="16"/>
              </w:rPr>
              <w:t>Dhofar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966689C" w14:textId="77777777" w:rsidR="006D2A6C" w:rsidRDefault="00000000">
            <w:pPr>
              <w:jc w:val="center"/>
            </w:pPr>
            <w:r>
              <w:rPr>
                <w:sz w:val="16"/>
                <w:szCs w:val="16"/>
              </w:rPr>
              <w:t>Oman</w:t>
            </w:r>
          </w:p>
        </w:tc>
      </w:tr>
      <w:tr w:rsidR="006D2A6C" w14:paraId="2B89F04F"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D851CB6" w14:textId="77777777" w:rsidR="006D2A6C" w:rsidRDefault="00000000">
            <w:pPr>
              <w:jc w:val="center"/>
            </w:pPr>
            <w:r>
              <w:rPr>
                <w:b/>
                <w:bCs/>
                <w:sz w:val="16"/>
                <w:szCs w:val="16"/>
              </w:rPr>
              <w:t>951-1000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6AB2EBD" w14:textId="77777777" w:rsidR="006D2A6C" w:rsidRDefault="00000000">
            <w:pPr>
              <w:jc w:val="center"/>
            </w:pPr>
            <w:r>
              <w:rPr>
                <w:sz w:val="16"/>
                <w:szCs w:val="16"/>
              </w:rPr>
              <w:t>901-950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02CBA1D" w14:textId="77777777" w:rsidR="006D2A6C" w:rsidRDefault="00000000">
            <w:proofErr w:type="spellStart"/>
            <w:r>
              <w:rPr>
                <w:sz w:val="16"/>
                <w:szCs w:val="16"/>
              </w:rPr>
              <w:t>Jouf</w:t>
            </w:r>
            <w:proofErr w:type="spellEnd"/>
            <w:r>
              <w:rPr>
                <w:sz w:val="16"/>
                <w:szCs w:val="16"/>
              </w:rPr>
              <w:t xml:space="preserve">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EECBFE2" w14:textId="77777777" w:rsidR="006D2A6C" w:rsidRDefault="00000000">
            <w:pPr>
              <w:jc w:val="center"/>
            </w:pPr>
            <w:r>
              <w:rPr>
                <w:sz w:val="16"/>
                <w:szCs w:val="16"/>
              </w:rPr>
              <w:t>Saudi Arabia</w:t>
            </w:r>
          </w:p>
        </w:tc>
      </w:tr>
      <w:tr w:rsidR="006D2A6C" w14:paraId="2D832C5B"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5D4CACF" w14:textId="77777777" w:rsidR="006D2A6C" w:rsidRDefault="00000000">
            <w:pPr>
              <w:jc w:val="center"/>
            </w:pPr>
            <w:r>
              <w:rPr>
                <w:b/>
                <w:bCs/>
                <w:sz w:val="16"/>
                <w:szCs w:val="16"/>
              </w:rPr>
              <w:t>951-1000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F75454F" w14:textId="77777777" w:rsidR="006D2A6C" w:rsidRDefault="00000000">
            <w:pPr>
              <w:jc w:val="center"/>
            </w:pPr>
            <w:r>
              <w:rPr>
                <w:sz w:val="16"/>
                <w:szCs w:val="16"/>
              </w:rPr>
              <w:t>901-950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0F0C6EF" w14:textId="77777777" w:rsidR="006D2A6C" w:rsidRDefault="00000000">
            <w:r>
              <w:rPr>
                <w:sz w:val="16"/>
                <w:szCs w:val="16"/>
              </w:rPr>
              <w:t>Princess Sumaya University for Technology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00C937E" w14:textId="77777777" w:rsidR="006D2A6C" w:rsidRDefault="00000000">
            <w:pPr>
              <w:jc w:val="center"/>
            </w:pPr>
            <w:r>
              <w:rPr>
                <w:sz w:val="16"/>
                <w:szCs w:val="16"/>
              </w:rPr>
              <w:t>Jordan</w:t>
            </w:r>
          </w:p>
        </w:tc>
      </w:tr>
      <w:tr w:rsidR="006D2A6C" w14:paraId="7B731D8E"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C4961F9" w14:textId="77777777" w:rsidR="006D2A6C" w:rsidRDefault="00000000">
            <w:pPr>
              <w:jc w:val="center"/>
            </w:pPr>
            <w:r>
              <w:rPr>
                <w:b/>
                <w:bCs/>
                <w:sz w:val="16"/>
                <w:szCs w:val="16"/>
              </w:rPr>
              <w:t>951-1000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64048CD" w14:textId="77777777" w:rsidR="006D2A6C" w:rsidRDefault="00000000">
            <w:pPr>
              <w:jc w:val="center"/>
            </w:pPr>
            <w:r>
              <w:rPr>
                <w:sz w:val="16"/>
                <w:szCs w:val="16"/>
              </w:rPr>
              <w:t>901-950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B35B4EB" w14:textId="77777777" w:rsidR="006D2A6C" w:rsidRDefault="00000000">
            <w:r>
              <w:rPr>
                <w:sz w:val="16"/>
                <w:szCs w:val="16"/>
              </w:rPr>
              <w:t>Gulf University for Science and Technology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66A6A0C" w14:textId="77777777" w:rsidR="006D2A6C" w:rsidRDefault="00000000">
            <w:pPr>
              <w:jc w:val="center"/>
            </w:pPr>
            <w:r>
              <w:rPr>
                <w:sz w:val="16"/>
                <w:szCs w:val="16"/>
              </w:rPr>
              <w:t>Kuwait</w:t>
            </w:r>
          </w:p>
        </w:tc>
      </w:tr>
      <w:tr w:rsidR="006D2A6C" w14:paraId="556E8381"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A41D091" w14:textId="77777777" w:rsidR="006D2A6C" w:rsidRDefault="00000000">
            <w:pPr>
              <w:jc w:val="center"/>
            </w:pPr>
            <w:r>
              <w:rPr>
                <w:b/>
                <w:bCs/>
                <w:sz w:val="16"/>
                <w:szCs w:val="16"/>
              </w:rPr>
              <w:t>951-1000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9EB0772" w14:textId="77777777" w:rsidR="006D2A6C" w:rsidRDefault="00000000">
            <w:pPr>
              <w:jc w:val="center"/>
            </w:pPr>
            <w:r>
              <w:rPr>
                <w:sz w:val="16"/>
                <w:szCs w:val="16"/>
              </w:rPr>
              <w:t>901-950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8895FCD" w14:textId="77777777" w:rsidR="006D2A6C" w:rsidRDefault="00000000">
            <w:r>
              <w:rPr>
                <w:sz w:val="16"/>
                <w:szCs w:val="16"/>
              </w:rPr>
              <w:t>Future University in Egypt</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92D2EEF" w14:textId="77777777" w:rsidR="006D2A6C" w:rsidRDefault="00000000">
            <w:pPr>
              <w:jc w:val="center"/>
            </w:pPr>
            <w:r>
              <w:rPr>
                <w:sz w:val="16"/>
                <w:szCs w:val="16"/>
              </w:rPr>
              <w:t>Egypt</w:t>
            </w:r>
          </w:p>
        </w:tc>
      </w:tr>
      <w:tr w:rsidR="006D2A6C" w14:paraId="62D3D1E1"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BB7CF4C" w14:textId="77777777" w:rsidR="006D2A6C" w:rsidRDefault="00000000">
            <w:pPr>
              <w:jc w:val="center"/>
            </w:pPr>
            <w:r>
              <w:rPr>
                <w:b/>
                <w:bCs/>
                <w:sz w:val="16"/>
                <w:szCs w:val="16"/>
              </w:rPr>
              <w:t>951-1000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5984B83" w14:textId="77777777" w:rsidR="006D2A6C" w:rsidRDefault="00000000">
            <w:pPr>
              <w:jc w:val="center"/>
            </w:pPr>
            <w:r>
              <w:rPr>
                <w:sz w:val="16"/>
                <w:szCs w:val="16"/>
              </w:rPr>
              <w:t>951-1000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E959D35" w14:textId="77777777" w:rsidR="006D2A6C" w:rsidRDefault="00000000">
            <w:r>
              <w:rPr>
                <w:sz w:val="16"/>
                <w:szCs w:val="16"/>
              </w:rPr>
              <w:t>Sohar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CBCD212" w14:textId="77777777" w:rsidR="006D2A6C" w:rsidRDefault="00000000">
            <w:pPr>
              <w:jc w:val="center"/>
            </w:pPr>
            <w:r>
              <w:rPr>
                <w:sz w:val="16"/>
                <w:szCs w:val="16"/>
              </w:rPr>
              <w:t>Oman</w:t>
            </w:r>
          </w:p>
        </w:tc>
      </w:tr>
      <w:tr w:rsidR="006D2A6C" w14:paraId="3A25644F"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327A0AB" w14:textId="77777777" w:rsidR="006D2A6C" w:rsidRDefault="00000000">
            <w:pPr>
              <w:jc w:val="center"/>
            </w:pPr>
            <w:r>
              <w:rPr>
                <w:b/>
                <w:bCs/>
                <w:sz w:val="16"/>
                <w:szCs w:val="16"/>
              </w:rPr>
              <w:t>951-1000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24BAA98" w14:textId="77777777" w:rsidR="006D2A6C" w:rsidRDefault="00000000">
            <w:pPr>
              <w:jc w:val="center"/>
            </w:pPr>
            <w:r>
              <w:rPr>
                <w:sz w:val="16"/>
                <w:szCs w:val="16"/>
              </w:rPr>
              <w:t>951-1000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BDC6767" w14:textId="77777777" w:rsidR="006D2A6C" w:rsidRDefault="00000000">
            <w:r>
              <w:rPr>
                <w:sz w:val="16"/>
                <w:szCs w:val="16"/>
              </w:rPr>
              <w:t>University of Bahrain</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177C0A0" w14:textId="77777777" w:rsidR="006D2A6C" w:rsidRDefault="00000000">
            <w:pPr>
              <w:jc w:val="center"/>
            </w:pPr>
            <w:r>
              <w:rPr>
                <w:sz w:val="16"/>
                <w:szCs w:val="16"/>
              </w:rPr>
              <w:t>Bahrain</w:t>
            </w:r>
          </w:p>
        </w:tc>
      </w:tr>
      <w:tr w:rsidR="006D2A6C" w14:paraId="35A31C2D"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7860EA7"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CED0258"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B7FD677" w14:textId="77777777" w:rsidR="006D2A6C" w:rsidRDefault="00000000">
            <w:r>
              <w:rPr>
                <w:sz w:val="16"/>
                <w:szCs w:val="16"/>
              </w:rPr>
              <w:t>An-Najah National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2536DAB" w14:textId="77777777" w:rsidR="006D2A6C" w:rsidRDefault="00000000">
            <w:pPr>
              <w:jc w:val="center"/>
            </w:pPr>
            <w:r>
              <w:rPr>
                <w:sz w:val="16"/>
                <w:szCs w:val="16"/>
              </w:rPr>
              <w:t>Palestine</w:t>
            </w:r>
          </w:p>
        </w:tc>
      </w:tr>
      <w:tr w:rsidR="006D2A6C" w14:paraId="6997503D"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D7CC922"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73CEE93" w14:textId="77777777" w:rsidR="006D2A6C" w:rsidRDefault="00000000">
            <w:pPr>
              <w:jc w:val="center"/>
            </w:pPr>
            <w:r>
              <w:rPr>
                <w:sz w:val="16"/>
                <w:szCs w:val="16"/>
              </w:rPr>
              <w:t>951-1000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7995359" w14:textId="77777777" w:rsidR="006D2A6C" w:rsidRDefault="00000000">
            <w:r>
              <w:rPr>
                <w:sz w:val="16"/>
                <w:szCs w:val="16"/>
              </w:rPr>
              <w:t xml:space="preserve">University of </w:t>
            </w:r>
            <w:proofErr w:type="spellStart"/>
            <w:r>
              <w:rPr>
                <w:sz w:val="16"/>
                <w:szCs w:val="16"/>
              </w:rPr>
              <w:t>Ha'il</w:t>
            </w:r>
            <w:proofErr w:type="spellEnd"/>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01F3DEC" w14:textId="77777777" w:rsidR="006D2A6C" w:rsidRDefault="00000000">
            <w:pPr>
              <w:jc w:val="center"/>
            </w:pPr>
            <w:r>
              <w:rPr>
                <w:sz w:val="16"/>
                <w:szCs w:val="16"/>
              </w:rPr>
              <w:t>Saudi Arabia</w:t>
            </w:r>
          </w:p>
        </w:tc>
      </w:tr>
      <w:tr w:rsidR="006D2A6C" w14:paraId="0787C163"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CEE1544"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4B2BB22"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7C1AA58" w14:textId="77777777" w:rsidR="006D2A6C" w:rsidRDefault="00000000">
            <w:r>
              <w:rPr>
                <w:sz w:val="16"/>
                <w:szCs w:val="16"/>
              </w:rPr>
              <w:t>Mansoura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BB0C524" w14:textId="77777777" w:rsidR="006D2A6C" w:rsidRDefault="00000000">
            <w:pPr>
              <w:jc w:val="center"/>
            </w:pPr>
            <w:r>
              <w:rPr>
                <w:sz w:val="16"/>
                <w:szCs w:val="16"/>
              </w:rPr>
              <w:t>Egypt</w:t>
            </w:r>
          </w:p>
        </w:tc>
      </w:tr>
      <w:tr w:rsidR="006D2A6C" w14:paraId="2049BBC2"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E129521"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9F00C99"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9201BED" w14:textId="77777777" w:rsidR="006D2A6C" w:rsidRDefault="00000000">
            <w:r>
              <w:rPr>
                <w:sz w:val="16"/>
                <w:szCs w:val="16"/>
              </w:rPr>
              <w:t>University of Tabuk</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FDC44D6" w14:textId="77777777" w:rsidR="006D2A6C" w:rsidRDefault="00000000">
            <w:pPr>
              <w:jc w:val="center"/>
            </w:pPr>
            <w:r>
              <w:rPr>
                <w:sz w:val="16"/>
                <w:szCs w:val="16"/>
              </w:rPr>
              <w:t>Saudi Arabia</w:t>
            </w:r>
          </w:p>
        </w:tc>
      </w:tr>
      <w:tr w:rsidR="006D2A6C" w14:paraId="752E62C4"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7B4B82D"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B0A60C0"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82E8DC0" w14:textId="77777777" w:rsidR="006D2A6C" w:rsidRDefault="00000000">
            <w:r>
              <w:rPr>
                <w:sz w:val="16"/>
                <w:szCs w:val="16"/>
              </w:rPr>
              <w:t>Al-Azhar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D00DD17" w14:textId="77777777" w:rsidR="006D2A6C" w:rsidRDefault="00000000">
            <w:pPr>
              <w:jc w:val="center"/>
            </w:pPr>
            <w:r>
              <w:rPr>
                <w:sz w:val="16"/>
                <w:szCs w:val="16"/>
              </w:rPr>
              <w:t>Egypt</w:t>
            </w:r>
          </w:p>
        </w:tc>
      </w:tr>
      <w:tr w:rsidR="006D2A6C" w14:paraId="577F3876"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F8FE7E0"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EBF3ACB" w14:textId="77777777" w:rsidR="006D2A6C" w:rsidRDefault="00000000">
            <w:pPr>
              <w:jc w:val="center"/>
            </w:pPr>
            <w:r>
              <w:rPr>
                <w:sz w:val="16"/>
                <w:szCs w:val="16"/>
              </w:rPr>
              <w:t>951-1000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93F3CFD" w14:textId="77777777" w:rsidR="006D2A6C" w:rsidRDefault="00000000">
            <w:r>
              <w:rPr>
                <w:sz w:val="16"/>
                <w:szCs w:val="16"/>
              </w:rPr>
              <w:t>Al Nahrain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A137512" w14:textId="77777777" w:rsidR="006D2A6C" w:rsidRDefault="00000000">
            <w:pPr>
              <w:jc w:val="center"/>
            </w:pPr>
            <w:r>
              <w:rPr>
                <w:sz w:val="16"/>
                <w:szCs w:val="16"/>
              </w:rPr>
              <w:t>Iraq</w:t>
            </w:r>
          </w:p>
        </w:tc>
      </w:tr>
      <w:tr w:rsidR="006D2A6C" w14:paraId="0FAE89C0"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6A5E9B3"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60341E8"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6043EDE" w14:textId="77777777" w:rsidR="006D2A6C" w:rsidRDefault="00000000">
            <w:r>
              <w:rPr>
                <w:sz w:val="16"/>
                <w:szCs w:val="16"/>
              </w:rPr>
              <w:t>Northern Borders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BEC9F79" w14:textId="77777777" w:rsidR="006D2A6C" w:rsidRDefault="00000000">
            <w:pPr>
              <w:jc w:val="center"/>
            </w:pPr>
            <w:r>
              <w:rPr>
                <w:sz w:val="16"/>
                <w:szCs w:val="16"/>
              </w:rPr>
              <w:t>Saudi Arabia</w:t>
            </w:r>
          </w:p>
        </w:tc>
      </w:tr>
      <w:tr w:rsidR="006D2A6C" w14:paraId="76175E1A"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5E74558"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45C1C76"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CBC8606" w14:textId="77777777" w:rsidR="006D2A6C" w:rsidRDefault="00000000">
            <w:r>
              <w:rPr>
                <w:sz w:val="16"/>
                <w:szCs w:val="16"/>
              </w:rPr>
              <w:t>University of Sfax</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76E85FF" w14:textId="77777777" w:rsidR="006D2A6C" w:rsidRDefault="00000000">
            <w:pPr>
              <w:jc w:val="center"/>
            </w:pPr>
            <w:r>
              <w:rPr>
                <w:sz w:val="16"/>
                <w:szCs w:val="16"/>
              </w:rPr>
              <w:t>Tunisia</w:t>
            </w:r>
          </w:p>
        </w:tc>
      </w:tr>
      <w:tr w:rsidR="006D2A6C" w14:paraId="4F1BC241"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981FCCF"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ACC8AA9"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3F039CD" w14:textId="77777777" w:rsidR="006D2A6C" w:rsidRDefault="00000000">
            <w:proofErr w:type="spellStart"/>
            <w:r>
              <w:rPr>
                <w:sz w:val="16"/>
                <w:szCs w:val="16"/>
              </w:rPr>
              <w:t>Mustansiriyah</w:t>
            </w:r>
            <w:proofErr w:type="spellEnd"/>
            <w:r>
              <w:rPr>
                <w:sz w:val="16"/>
                <w:szCs w:val="16"/>
              </w:rPr>
              <w:t xml:space="preserve">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1E66776" w14:textId="77777777" w:rsidR="006D2A6C" w:rsidRDefault="00000000">
            <w:pPr>
              <w:jc w:val="center"/>
            </w:pPr>
            <w:r>
              <w:rPr>
                <w:sz w:val="16"/>
                <w:szCs w:val="16"/>
              </w:rPr>
              <w:t>Iraq</w:t>
            </w:r>
          </w:p>
        </w:tc>
      </w:tr>
      <w:tr w:rsidR="006D2A6C" w14:paraId="01DD6B37"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6F80DC7"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5358727"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18EA063" w14:textId="77777777" w:rsidR="006D2A6C" w:rsidRDefault="00000000">
            <w:r>
              <w:rPr>
                <w:sz w:val="16"/>
                <w:szCs w:val="16"/>
              </w:rPr>
              <w:t>Middle East University Jordan</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7ABB8CD" w14:textId="77777777" w:rsidR="006D2A6C" w:rsidRDefault="00000000">
            <w:pPr>
              <w:jc w:val="center"/>
            </w:pPr>
            <w:r>
              <w:rPr>
                <w:sz w:val="16"/>
                <w:szCs w:val="16"/>
              </w:rPr>
              <w:t>Jordan</w:t>
            </w:r>
          </w:p>
        </w:tc>
      </w:tr>
      <w:tr w:rsidR="006D2A6C" w14:paraId="67064060"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666CF2F"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1270C60"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212A899" w14:textId="77777777" w:rsidR="006D2A6C" w:rsidRDefault="00000000">
            <w:r>
              <w:rPr>
                <w:sz w:val="16"/>
                <w:szCs w:val="16"/>
              </w:rPr>
              <w:t>Arab Academy for Science, Technology and Maritime Transport (AASTMT)</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0DADABD" w14:textId="77777777" w:rsidR="006D2A6C" w:rsidRDefault="00000000">
            <w:pPr>
              <w:jc w:val="center"/>
            </w:pPr>
            <w:r>
              <w:rPr>
                <w:sz w:val="16"/>
                <w:szCs w:val="16"/>
              </w:rPr>
              <w:t>Egypt</w:t>
            </w:r>
          </w:p>
        </w:tc>
      </w:tr>
      <w:tr w:rsidR="006D2A6C" w14:paraId="6EAE5023"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5E09A29"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48702CB"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A82EECE" w14:textId="77777777" w:rsidR="006D2A6C" w:rsidRDefault="00000000">
            <w:r>
              <w:rPr>
                <w:sz w:val="16"/>
                <w:szCs w:val="16"/>
              </w:rPr>
              <w:t xml:space="preserve">University of </w:t>
            </w:r>
            <w:proofErr w:type="spellStart"/>
            <w:r>
              <w:rPr>
                <w:sz w:val="16"/>
                <w:szCs w:val="16"/>
              </w:rPr>
              <w:t>Balamand</w:t>
            </w:r>
            <w:proofErr w:type="spellEnd"/>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C100C22" w14:textId="77777777" w:rsidR="006D2A6C" w:rsidRDefault="00000000">
            <w:pPr>
              <w:jc w:val="center"/>
            </w:pPr>
            <w:r>
              <w:rPr>
                <w:sz w:val="16"/>
                <w:szCs w:val="16"/>
              </w:rPr>
              <w:t>Lebanon</w:t>
            </w:r>
          </w:p>
        </w:tc>
      </w:tr>
      <w:tr w:rsidR="006D2A6C" w14:paraId="46DCDFAD"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0453C1D"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B1FDF80"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0CE2FD4" w14:textId="77777777" w:rsidR="006D2A6C" w:rsidRDefault="00000000">
            <w:r>
              <w:rPr>
                <w:sz w:val="16"/>
                <w:szCs w:val="16"/>
              </w:rPr>
              <w:t>Assiut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10DBB72" w14:textId="77777777" w:rsidR="006D2A6C" w:rsidRDefault="00000000">
            <w:pPr>
              <w:jc w:val="center"/>
            </w:pPr>
            <w:r>
              <w:rPr>
                <w:sz w:val="16"/>
                <w:szCs w:val="16"/>
              </w:rPr>
              <w:t>Egypt</w:t>
            </w:r>
          </w:p>
        </w:tc>
      </w:tr>
      <w:tr w:rsidR="006D2A6C" w14:paraId="1BD26A68"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27DD2D4"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00DE6D5"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05D4EB9" w14:textId="77777777" w:rsidR="006D2A6C" w:rsidRDefault="00000000">
            <w:r>
              <w:rPr>
                <w:sz w:val="16"/>
                <w:szCs w:val="16"/>
              </w:rPr>
              <w:t>The Hashemite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6A1E4C6" w14:textId="77777777" w:rsidR="006D2A6C" w:rsidRDefault="00000000">
            <w:pPr>
              <w:jc w:val="center"/>
            </w:pPr>
            <w:r>
              <w:rPr>
                <w:sz w:val="16"/>
                <w:szCs w:val="16"/>
              </w:rPr>
              <w:t>Jordan</w:t>
            </w:r>
          </w:p>
        </w:tc>
      </w:tr>
      <w:tr w:rsidR="006D2A6C" w14:paraId="58E30B60"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248CF86"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E4E4D46"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CF77189" w14:textId="77777777" w:rsidR="006D2A6C" w:rsidRDefault="00000000">
            <w:proofErr w:type="spellStart"/>
            <w:r>
              <w:rPr>
                <w:sz w:val="16"/>
                <w:szCs w:val="16"/>
              </w:rPr>
              <w:t>Mutah</w:t>
            </w:r>
            <w:proofErr w:type="spellEnd"/>
            <w:r>
              <w:rPr>
                <w:sz w:val="16"/>
                <w:szCs w:val="16"/>
              </w:rPr>
              <w:t xml:space="preserve">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BCB7F64" w14:textId="77777777" w:rsidR="006D2A6C" w:rsidRDefault="00000000">
            <w:pPr>
              <w:jc w:val="center"/>
            </w:pPr>
            <w:r>
              <w:rPr>
                <w:sz w:val="16"/>
                <w:szCs w:val="16"/>
              </w:rPr>
              <w:t>Jordan</w:t>
            </w:r>
          </w:p>
        </w:tc>
      </w:tr>
      <w:tr w:rsidR="006D2A6C" w14:paraId="55C3B814"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93838DF"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CEA7212"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926D2B6" w14:textId="77777777" w:rsidR="006D2A6C" w:rsidRDefault="00000000">
            <w:r>
              <w:rPr>
                <w:sz w:val="16"/>
                <w:szCs w:val="16"/>
              </w:rPr>
              <w:t>Islamic University of Madinah</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16E7679" w14:textId="77777777" w:rsidR="006D2A6C" w:rsidRDefault="00000000">
            <w:pPr>
              <w:jc w:val="center"/>
            </w:pPr>
            <w:r>
              <w:rPr>
                <w:sz w:val="16"/>
                <w:szCs w:val="16"/>
              </w:rPr>
              <w:t>Saudi Arabia</w:t>
            </w:r>
          </w:p>
        </w:tc>
      </w:tr>
      <w:tr w:rsidR="006D2A6C" w14:paraId="2884CAF8"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079B2FA" w14:textId="77777777" w:rsidR="006D2A6C" w:rsidRDefault="00000000">
            <w:pPr>
              <w:jc w:val="center"/>
            </w:pPr>
            <w:r>
              <w:rPr>
                <w:b/>
                <w:bCs/>
                <w:sz w:val="16"/>
                <w:szCs w:val="16"/>
              </w:rPr>
              <w:t>1001-1200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7D4073F"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C26E157" w14:textId="77777777" w:rsidR="006D2A6C" w:rsidRDefault="00000000">
            <w:r>
              <w:rPr>
                <w:sz w:val="16"/>
                <w:szCs w:val="16"/>
              </w:rPr>
              <w:t>Universite Mohammed V de Rabat</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A9F9E33" w14:textId="77777777" w:rsidR="006D2A6C" w:rsidRDefault="00000000">
            <w:pPr>
              <w:jc w:val="center"/>
            </w:pPr>
            <w:r>
              <w:rPr>
                <w:sz w:val="16"/>
                <w:szCs w:val="16"/>
              </w:rPr>
              <w:t>Morocco</w:t>
            </w:r>
          </w:p>
        </w:tc>
      </w:tr>
      <w:tr w:rsidR="006D2A6C" w14:paraId="2E94AE9E"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96B47AA"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3A907BE"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69AECB3" w14:textId="77777777" w:rsidR="006D2A6C" w:rsidRDefault="00000000">
            <w:r>
              <w:rPr>
                <w:sz w:val="16"/>
                <w:szCs w:val="16"/>
              </w:rPr>
              <w:t>University of Anbar</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0775F6C" w14:textId="77777777" w:rsidR="006D2A6C" w:rsidRDefault="00000000">
            <w:pPr>
              <w:jc w:val="center"/>
            </w:pPr>
            <w:r>
              <w:rPr>
                <w:sz w:val="16"/>
                <w:szCs w:val="16"/>
              </w:rPr>
              <w:t>Iraq</w:t>
            </w:r>
          </w:p>
        </w:tc>
      </w:tr>
      <w:tr w:rsidR="006D2A6C" w14:paraId="7BD01276"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8FBAAF5"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9DA3E64"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4983D73" w14:textId="77777777" w:rsidR="006D2A6C" w:rsidRDefault="00000000">
            <w:r>
              <w:rPr>
                <w:sz w:val="16"/>
                <w:szCs w:val="16"/>
              </w:rPr>
              <w:t>Al-Balqa Applied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F7A2451" w14:textId="77777777" w:rsidR="006D2A6C" w:rsidRDefault="00000000">
            <w:pPr>
              <w:jc w:val="center"/>
            </w:pPr>
            <w:r>
              <w:rPr>
                <w:sz w:val="16"/>
                <w:szCs w:val="16"/>
              </w:rPr>
              <w:t>Jordan</w:t>
            </w:r>
          </w:p>
        </w:tc>
      </w:tr>
      <w:tr w:rsidR="006D2A6C" w14:paraId="452519E8"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8612D4D"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313EDAA"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E9174FC" w14:textId="77777777" w:rsidR="006D2A6C" w:rsidRDefault="00000000">
            <w:r>
              <w:rPr>
                <w:sz w:val="16"/>
                <w:szCs w:val="16"/>
              </w:rPr>
              <w:t>German University of Technology in Oman (GUtech)</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D41ECC5" w14:textId="77777777" w:rsidR="006D2A6C" w:rsidRDefault="00000000">
            <w:pPr>
              <w:jc w:val="center"/>
            </w:pPr>
            <w:r>
              <w:rPr>
                <w:sz w:val="16"/>
                <w:szCs w:val="16"/>
              </w:rPr>
              <w:t>Oman</w:t>
            </w:r>
          </w:p>
        </w:tc>
      </w:tr>
      <w:tr w:rsidR="006D2A6C" w14:paraId="01897A29"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B5FB90A"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24A93B7"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211C093" w14:textId="77777777" w:rsidR="006D2A6C" w:rsidRDefault="00000000">
            <w:r>
              <w:rPr>
                <w:sz w:val="16"/>
                <w:szCs w:val="16"/>
              </w:rPr>
              <w:t xml:space="preserve">Palestine Technical University - </w:t>
            </w:r>
            <w:proofErr w:type="spellStart"/>
            <w:r>
              <w:rPr>
                <w:sz w:val="16"/>
                <w:szCs w:val="16"/>
              </w:rPr>
              <w:t>Kadoorie</w:t>
            </w:r>
            <w:proofErr w:type="spellEnd"/>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E15B339" w14:textId="77777777" w:rsidR="006D2A6C" w:rsidRDefault="00000000">
            <w:pPr>
              <w:jc w:val="center"/>
            </w:pPr>
            <w:r>
              <w:rPr>
                <w:sz w:val="16"/>
                <w:szCs w:val="16"/>
              </w:rPr>
              <w:t>Palestine</w:t>
            </w:r>
          </w:p>
        </w:tc>
      </w:tr>
      <w:tr w:rsidR="006D2A6C" w14:paraId="1ED91A78"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2203251"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8370279"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166D85F" w14:textId="77777777" w:rsidR="006D2A6C" w:rsidRPr="00DB2D4F" w:rsidRDefault="00000000">
            <w:pPr>
              <w:rPr>
                <w:lang w:val="fr-FR"/>
              </w:rPr>
            </w:pPr>
            <w:r w:rsidRPr="00DB2D4F">
              <w:rPr>
                <w:sz w:val="16"/>
                <w:szCs w:val="16"/>
                <w:lang w:val="fr-FR"/>
              </w:rPr>
              <w:t>Notre Dame University-</w:t>
            </w:r>
            <w:proofErr w:type="spellStart"/>
            <w:r w:rsidRPr="00DB2D4F">
              <w:rPr>
                <w:sz w:val="16"/>
                <w:szCs w:val="16"/>
                <w:lang w:val="fr-FR"/>
              </w:rPr>
              <w:t>Louaize</w:t>
            </w:r>
            <w:proofErr w:type="spellEnd"/>
            <w:r w:rsidRPr="00DB2D4F">
              <w:rPr>
                <w:sz w:val="16"/>
                <w:szCs w:val="16"/>
                <w:lang w:val="fr-FR"/>
              </w:rPr>
              <w:t xml:space="preserve"> (NDU)</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187B936" w14:textId="77777777" w:rsidR="006D2A6C" w:rsidRDefault="00000000">
            <w:pPr>
              <w:jc w:val="center"/>
            </w:pPr>
            <w:r>
              <w:rPr>
                <w:sz w:val="16"/>
                <w:szCs w:val="16"/>
              </w:rPr>
              <w:t>Lebanon</w:t>
            </w:r>
          </w:p>
        </w:tc>
      </w:tr>
      <w:tr w:rsidR="006D2A6C" w14:paraId="7D3EAA4A"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9D93CDF"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E00F13B"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5334372" w14:textId="77777777" w:rsidR="006D2A6C" w:rsidRDefault="00000000">
            <w:r>
              <w:rPr>
                <w:sz w:val="16"/>
                <w:szCs w:val="16"/>
              </w:rPr>
              <w:t>Amman Arab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AAF2C2E" w14:textId="77777777" w:rsidR="006D2A6C" w:rsidRDefault="00000000">
            <w:pPr>
              <w:jc w:val="center"/>
            </w:pPr>
            <w:r>
              <w:rPr>
                <w:sz w:val="16"/>
                <w:szCs w:val="16"/>
              </w:rPr>
              <w:t>Jordan</w:t>
            </w:r>
          </w:p>
        </w:tc>
      </w:tr>
      <w:tr w:rsidR="006D2A6C" w14:paraId="1EE1CF0C"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817C0F5"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2525C61" w14:textId="77777777" w:rsidR="006D2A6C" w:rsidRDefault="00000000">
            <w:pPr>
              <w:jc w:val="center"/>
            </w:pPr>
            <w:r>
              <w:rPr>
                <w:sz w:val="16"/>
                <w:szCs w:val="16"/>
              </w:rPr>
              <w:t>1001-1200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CAEEC39" w14:textId="77777777" w:rsidR="006D2A6C" w:rsidRDefault="00000000">
            <w:r>
              <w:rPr>
                <w:sz w:val="16"/>
                <w:szCs w:val="16"/>
              </w:rPr>
              <w:t>Islamic University of Lebanon</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DA931A1" w14:textId="77777777" w:rsidR="006D2A6C" w:rsidRDefault="00000000">
            <w:pPr>
              <w:jc w:val="center"/>
            </w:pPr>
            <w:r>
              <w:rPr>
                <w:sz w:val="16"/>
                <w:szCs w:val="16"/>
              </w:rPr>
              <w:t>Lebanon</w:t>
            </w:r>
          </w:p>
        </w:tc>
      </w:tr>
      <w:tr w:rsidR="006D2A6C" w14:paraId="3302F901"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7D0C5DE"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F43AC90" w14:textId="77777777" w:rsidR="006D2A6C" w:rsidRDefault="006D2A6C">
            <w:pPr>
              <w:jc w:val="center"/>
            </w:pP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2400520" w14:textId="77777777" w:rsidR="006D2A6C" w:rsidRDefault="00000000">
            <w:r>
              <w:rPr>
                <w:sz w:val="16"/>
                <w:szCs w:val="16"/>
              </w:rPr>
              <w:t>National University of Science and Technology, Oman</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D117D5B" w14:textId="77777777" w:rsidR="006D2A6C" w:rsidRDefault="00000000">
            <w:pPr>
              <w:jc w:val="center"/>
            </w:pPr>
            <w:r>
              <w:rPr>
                <w:sz w:val="16"/>
                <w:szCs w:val="16"/>
              </w:rPr>
              <w:t>Oman</w:t>
            </w:r>
          </w:p>
        </w:tc>
      </w:tr>
      <w:tr w:rsidR="006D2A6C" w14:paraId="7E105813"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4177940"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3935694"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66D4CCD" w14:textId="77777777" w:rsidR="006D2A6C" w:rsidRDefault="00000000">
            <w:r>
              <w:rPr>
                <w:sz w:val="16"/>
                <w:szCs w:val="16"/>
              </w:rPr>
              <w:t>Taibah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A281091" w14:textId="77777777" w:rsidR="006D2A6C" w:rsidRDefault="00000000">
            <w:pPr>
              <w:jc w:val="center"/>
            </w:pPr>
            <w:r>
              <w:rPr>
                <w:sz w:val="16"/>
                <w:szCs w:val="16"/>
              </w:rPr>
              <w:t>Saudi Arabia</w:t>
            </w:r>
          </w:p>
        </w:tc>
      </w:tr>
      <w:tr w:rsidR="006D2A6C" w14:paraId="7FC8507A"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40FC318"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BBC42A9"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0565086" w14:textId="77777777" w:rsidR="006D2A6C" w:rsidRDefault="00000000">
            <w:r>
              <w:rPr>
                <w:sz w:val="16"/>
                <w:szCs w:val="16"/>
              </w:rPr>
              <w:t>Tishk International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A5BD35D" w14:textId="77777777" w:rsidR="006D2A6C" w:rsidRDefault="00000000">
            <w:pPr>
              <w:jc w:val="center"/>
            </w:pPr>
            <w:r>
              <w:rPr>
                <w:sz w:val="16"/>
                <w:szCs w:val="16"/>
              </w:rPr>
              <w:t>Iraq</w:t>
            </w:r>
          </w:p>
        </w:tc>
      </w:tr>
      <w:tr w:rsidR="006D2A6C" w14:paraId="5FE0CF52"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2C461A8"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2E332A4"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11A716D" w14:textId="77777777" w:rsidR="006D2A6C" w:rsidRDefault="00000000">
            <w:r>
              <w:rPr>
                <w:sz w:val="16"/>
                <w:szCs w:val="16"/>
              </w:rPr>
              <w:t>Zagazig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E7E571D" w14:textId="77777777" w:rsidR="006D2A6C" w:rsidRDefault="00000000">
            <w:pPr>
              <w:jc w:val="center"/>
            </w:pPr>
            <w:r>
              <w:rPr>
                <w:sz w:val="16"/>
                <w:szCs w:val="16"/>
              </w:rPr>
              <w:t>Egypt</w:t>
            </w:r>
          </w:p>
        </w:tc>
      </w:tr>
      <w:tr w:rsidR="006D2A6C" w14:paraId="08EF6287"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E7E6A2F"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2BC6E67"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1E463BF" w14:textId="77777777" w:rsidR="006D2A6C" w:rsidRDefault="00000000">
            <w:r>
              <w:rPr>
                <w:sz w:val="16"/>
                <w:szCs w:val="16"/>
              </w:rPr>
              <w:t>University of Khartoum</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1D379AA" w14:textId="77777777" w:rsidR="006D2A6C" w:rsidRDefault="00000000">
            <w:pPr>
              <w:jc w:val="center"/>
            </w:pPr>
            <w:r>
              <w:rPr>
                <w:sz w:val="16"/>
                <w:szCs w:val="16"/>
              </w:rPr>
              <w:t>Sudan</w:t>
            </w:r>
          </w:p>
        </w:tc>
      </w:tr>
      <w:tr w:rsidR="006D2A6C" w14:paraId="6766F45A"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2A37A81"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349FA02C"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AD094BE" w14:textId="77777777" w:rsidR="006D2A6C" w:rsidRDefault="00000000">
            <w:r>
              <w:rPr>
                <w:sz w:val="16"/>
                <w:szCs w:val="16"/>
              </w:rPr>
              <w:t>Delta University for Science and Technology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EE73847" w14:textId="77777777" w:rsidR="006D2A6C" w:rsidRDefault="00000000">
            <w:pPr>
              <w:jc w:val="center"/>
            </w:pPr>
            <w:r>
              <w:rPr>
                <w:sz w:val="16"/>
                <w:szCs w:val="16"/>
              </w:rPr>
              <w:t>Egypt</w:t>
            </w:r>
          </w:p>
        </w:tc>
      </w:tr>
      <w:tr w:rsidR="006D2A6C" w14:paraId="549C4583"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3B9047F"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BEE7A3E"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6D46AFA" w14:textId="77777777" w:rsidR="006D2A6C" w:rsidRDefault="00000000">
            <w:r>
              <w:rPr>
                <w:sz w:val="16"/>
                <w:szCs w:val="16"/>
              </w:rPr>
              <w:t>British University in Egypt</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E18B31D" w14:textId="77777777" w:rsidR="006D2A6C" w:rsidRDefault="00000000">
            <w:pPr>
              <w:jc w:val="center"/>
            </w:pPr>
            <w:r>
              <w:rPr>
                <w:sz w:val="16"/>
                <w:szCs w:val="16"/>
              </w:rPr>
              <w:t>Egypt</w:t>
            </w:r>
          </w:p>
        </w:tc>
      </w:tr>
      <w:tr w:rsidR="006D2A6C" w14:paraId="1C15E9BA"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A23949A"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2087B8A"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A781B52" w14:textId="77777777" w:rsidR="006D2A6C" w:rsidRDefault="00000000">
            <w:r>
              <w:rPr>
                <w:sz w:val="16"/>
                <w:szCs w:val="16"/>
              </w:rPr>
              <w:t xml:space="preserve">Ibn </w:t>
            </w:r>
            <w:proofErr w:type="spellStart"/>
            <w:r>
              <w:rPr>
                <w:sz w:val="16"/>
                <w:szCs w:val="16"/>
              </w:rPr>
              <w:t>Tofail</w:t>
            </w:r>
            <w:proofErr w:type="spellEnd"/>
            <w:r>
              <w:rPr>
                <w:sz w:val="16"/>
                <w:szCs w:val="16"/>
              </w:rPr>
              <w:t xml:space="preserve">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CBD0FDA" w14:textId="77777777" w:rsidR="006D2A6C" w:rsidRDefault="00000000">
            <w:pPr>
              <w:jc w:val="center"/>
            </w:pPr>
            <w:r>
              <w:rPr>
                <w:sz w:val="16"/>
                <w:szCs w:val="16"/>
              </w:rPr>
              <w:t>Morocco</w:t>
            </w:r>
          </w:p>
        </w:tc>
      </w:tr>
      <w:tr w:rsidR="006D2A6C" w14:paraId="5AAB4635"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FB43BA5"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060EFD4"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1DD450B" w14:textId="77777777" w:rsidR="006D2A6C" w:rsidRDefault="00000000">
            <w:r>
              <w:rPr>
                <w:sz w:val="16"/>
                <w:szCs w:val="16"/>
              </w:rPr>
              <w:t>Universite de Sousse</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0AEBD91" w14:textId="77777777" w:rsidR="006D2A6C" w:rsidRDefault="00000000">
            <w:pPr>
              <w:jc w:val="center"/>
            </w:pPr>
            <w:r>
              <w:rPr>
                <w:sz w:val="16"/>
                <w:szCs w:val="16"/>
              </w:rPr>
              <w:t>Tunisia</w:t>
            </w:r>
          </w:p>
        </w:tc>
      </w:tr>
      <w:tr w:rsidR="006D2A6C" w14:paraId="1F65933F"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7B1339F"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641648D4"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5F4E6C6" w14:textId="77777777" w:rsidR="006D2A6C" w:rsidRDefault="00000000">
            <w:r>
              <w:rPr>
                <w:sz w:val="16"/>
                <w:szCs w:val="16"/>
              </w:rPr>
              <w:t>University of Tunis</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F461A23" w14:textId="77777777" w:rsidR="006D2A6C" w:rsidRDefault="00000000">
            <w:pPr>
              <w:jc w:val="center"/>
            </w:pPr>
            <w:r>
              <w:rPr>
                <w:sz w:val="16"/>
                <w:szCs w:val="16"/>
              </w:rPr>
              <w:t>Tunisia</w:t>
            </w:r>
          </w:p>
        </w:tc>
      </w:tr>
      <w:tr w:rsidR="006D2A6C" w14:paraId="08F7D39E"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6CEAC42" w14:textId="77777777" w:rsidR="006D2A6C" w:rsidRDefault="00000000">
            <w:pPr>
              <w:jc w:val="center"/>
            </w:pPr>
            <w:r>
              <w:rPr>
                <w:b/>
                <w:bCs/>
                <w:sz w:val="16"/>
                <w:szCs w:val="16"/>
              </w:rPr>
              <w:lastRenderedPageBreak/>
              <w:t>1201-1400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1B327B0" w14:textId="77777777" w:rsidR="006D2A6C" w:rsidRDefault="00000000">
            <w:pPr>
              <w:jc w:val="center"/>
            </w:pPr>
            <w:r>
              <w:rPr>
                <w:sz w:val="16"/>
                <w:szCs w:val="16"/>
              </w:rPr>
              <w:t>1401+</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10637E6" w14:textId="77777777" w:rsidR="006D2A6C" w:rsidRDefault="00000000">
            <w:proofErr w:type="spellStart"/>
            <w:r>
              <w:rPr>
                <w:sz w:val="16"/>
                <w:szCs w:val="16"/>
              </w:rPr>
              <w:t>Jadara</w:t>
            </w:r>
            <w:proofErr w:type="spellEnd"/>
            <w:r>
              <w:rPr>
                <w:sz w:val="16"/>
                <w:szCs w:val="16"/>
              </w:rPr>
              <w:t xml:space="preserve">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69B256F" w14:textId="77777777" w:rsidR="006D2A6C" w:rsidRDefault="00000000">
            <w:pPr>
              <w:jc w:val="center"/>
            </w:pPr>
            <w:r>
              <w:rPr>
                <w:sz w:val="16"/>
                <w:szCs w:val="16"/>
              </w:rPr>
              <w:t>Jordan</w:t>
            </w:r>
          </w:p>
        </w:tc>
      </w:tr>
      <w:tr w:rsidR="006D2A6C" w14:paraId="29623DCB"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67E0208"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B20B822"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144D847" w14:textId="77777777" w:rsidR="006D2A6C" w:rsidRDefault="00000000">
            <w:r>
              <w:rPr>
                <w:sz w:val="16"/>
                <w:szCs w:val="16"/>
              </w:rPr>
              <w:t>Damascus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929F32A" w14:textId="77777777" w:rsidR="006D2A6C" w:rsidRDefault="00000000">
            <w:pPr>
              <w:jc w:val="center"/>
            </w:pPr>
            <w:r>
              <w:rPr>
                <w:sz w:val="16"/>
                <w:szCs w:val="16"/>
              </w:rPr>
              <w:t>Syrian Arab Republic</w:t>
            </w:r>
          </w:p>
        </w:tc>
      </w:tr>
      <w:tr w:rsidR="006D2A6C" w14:paraId="00029FB7"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8E95CAE"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B954112" w14:textId="77777777" w:rsidR="006D2A6C" w:rsidRDefault="006D2A6C">
            <w:pPr>
              <w:jc w:val="center"/>
            </w:pP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57EE42C7" w14:textId="77777777" w:rsidR="006D2A6C" w:rsidRDefault="00000000">
            <w:proofErr w:type="spellStart"/>
            <w:r>
              <w:rPr>
                <w:sz w:val="16"/>
                <w:szCs w:val="16"/>
              </w:rPr>
              <w:t>A'Sharqiyah</w:t>
            </w:r>
            <w:proofErr w:type="spellEnd"/>
            <w:r>
              <w:rPr>
                <w:sz w:val="16"/>
                <w:szCs w:val="16"/>
              </w:rPr>
              <w:t xml:space="preserve"> University</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A84B437" w14:textId="77777777" w:rsidR="006D2A6C" w:rsidRDefault="00000000">
            <w:pPr>
              <w:jc w:val="center"/>
            </w:pPr>
            <w:r>
              <w:rPr>
                <w:sz w:val="16"/>
                <w:szCs w:val="16"/>
              </w:rPr>
              <w:t>Oman</w:t>
            </w:r>
          </w:p>
        </w:tc>
      </w:tr>
      <w:tr w:rsidR="006D2A6C" w14:paraId="43D5CE23"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FB5DB03"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E9FF062"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8D5D5C3" w14:textId="77777777" w:rsidR="006D2A6C" w:rsidRDefault="00000000">
            <w:r>
              <w:rPr>
                <w:sz w:val="16"/>
                <w:szCs w:val="16"/>
              </w:rPr>
              <w:t>Beni-Suef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1E7684EA" w14:textId="77777777" w:rsidR="006D2A6C" w:rsidRDefault="00000000">
            <w:pPr>
              <w:jc w:val="center"/>
            </w:pPr>
            <w:r>
              <w:rPr>
                <w:sz w:val="16"/>
                <w:szCs w:val="16"/>
              </w:rPr>
              <w:t>Egypt</w:t>
            </w:r>
          </w:p>
        </w:tc>
      </w:tr>
      <w:tr w:rsidR="006D2A6C" w14:paraId="15FC0B6B"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C51F957" w14:textId="77777777" w:rsidR="006D2A6C" w:rsidRDefault="00000000">
            <w:pPr>
              <w:jc w:val="center"/>
            </w:pPr>
            <w:r>
              <w:rPr>
                <w:b/>
                <w:bCs/>
                <w:sz w:val="16"/>
                <w:szCs w:val="16"/>
              </w:rPr>
              <w:t>1201-1400</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FD77CA2"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8D540C6" w14:textId="77777777" w:rsidR="006D2A6C" w:rsidRDefault="00000000">
            <w:r>
              <w:rPr>
                <w:sz w:val="16"/>
                <w:szCs w:val="16"/>
              </w:rPr>
              <w:t>Capital University - Egypt</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6822B163" w14:textId="77777777" w:rsidR="006D2A6C" w:rsidRDefault="00000000">
            <w:pPr>
              <w:jc w:val="center"/>
            </w:pPr>
            <w:r>
              <w:rPr>
                <w:sz w:val="16"/>
                <w:szCs w:val="16"/>
              </w:rPr>
              <w:t>Egypt</w:t>
            </w:r>
          </w:p>
        </w:tc>
      </w:tr>
      <w:tr w:rsidR="006D2A6C" w14:paraId="0EED0AB0"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14EC34B" w14:textId="77777777" w:rsidR="006D2A6C" w:rsidRDefault="00000000">
            <w:pPr>
              <w:jc w:val="center"/>
            </w:pPr>
            <w:r>
              <w:rPr>
                <w:b/>
                <w:bCs/>
                <w:sz w:val="16"/>
                <w:szCs w:val="16"/>
              </w:rPr>
              <w:t>1401+</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5A6C94C"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A85332A" w14:textId="77777777" w:rsidR="006D2A6C" w:rsidRDefault="00000000">
            <w:r>
              <w:rPr>
                <w:sz w:val="16"/>
                <w:szCs w:val="16"/>
              </w:rPr>
              <w:t>Tanta University</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308AD4B" w14:textId="77777777" w:rsidR="006D2A6C" w:rsidRDefault="00000000">
            <w:pPr>
              <w:jc w:val="center"/>
            </w:pPr>
            <w:r>
              <w:rPr>
                <w:sz w:val="16"/>
                <w:szCs w:val="16"/>
              </w:rPr>
              <w:t>Egypt</w:t>
            </w:r>
          </w:p>
        </w:tc>
      </w:tr>
      <w:tr w:rsidR="006D2A6C" w14:paraId="59CC0907"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6BFBFC1" w14:textId="77777777" w:rsidR="006D2A6C" w:rsidRDefault="00000000">
            <w:pPr>
              <w:jc w:val="center"/>
            </w:pPr>
            <w:r>
              <w:rPr>
                <w:b/>
                <w:bCs/>
                <w:sz w:val="16"/>
                <w:szCs w:val="16"/>
              </w:rPr>
              <w:t>1401+</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52C2354"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39545403" w14:textId="77777777" w:rsidR="006D2A6C" w:rsidRDefault="00000000">
            <w:r>
              <w:rPr>
                <w:sz w:val="16"/>
                <w:szCs w:val="16"/>
              </w:rPr>
              <w:t>Zarqa University (ZU)</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327D2B9" w14:textId="77777777" w:rsidR="006D2A6C" w:rsidRDefault="00000000">
            <w:pPr>
              <w:jc w:val="center"/>
            </w:pPr>
            <w:r>
              <w:rPr>
                <w:sz w:val="16"/>
                <w:szCs w:val="16"/>
              </w:rPr>
              <w:t>Jordan</w:t>
            </w:r>
          </w:p>
        </w:tc>
      </w:tr>
      <w:tr w:rsidR="006D2A6C" w14:paraId="0F5181F0"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3833B45" w14:textId="77777777" w:rsidR="006D2A6C" w:rsidRDefault="00000000">
            <w:pPr>
              <w:jc w:val="center"/>
            </w:pPr>
            <w:r>
              <w:rPr>
                <w:b/>
                <w:bCs/>
                <w:sz w:val="16"/>
                <w:szCs w:val="16"/>
              </w:rPr>
              <w:t>1401+</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C8584DB"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946A7A5" w14:textId="77777777" w:rsidR="006D2A6C" w:rsidRDefault="00000000">
            <w:r>
              <w:rPr>
                <w:sz w:val="16"/>
                <w:szCs w:val="16"/>
              </w:rPr>
              <w:t>German University in Cairo</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769A0F7F" w14:textId="77777777" w:rsidR="006D2A6C" w:rsidRDefault="00000000">
            <w:pPr>
              <w:jc w:val="center"/>
            </w:pPr>
            <w:r>
              <w:rPr>
                <w:sz w:val="16"/>
                <w:szCs w:val="16"/>
              </w:rPr>
              <w:t>Egypt</w:t>
            </w:r>
          </w:p>
        </w:tc>
      </w:tr>
      <w:tr w:rsidR="006D2A6C" w14:paraId="3848DFAF"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4F27EF9" w14:textId="77777777" w:rsidR="006D2A6C" w:rsidRDefault="00000000">
            <w:pPr>
              <w:jc w:val="center"/>
            </w:pPr>
            <w:r>
              <w:rPr>
                <w:b/>
                <w:bCs/>
                <w:sz w:val="16"/>
                <w:szCs w:val="16"/>
              </w:rPr>
              <w:t>1401+</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25FDE56F" w14:textId="77777777" w:rsidR="006D2A6C" w:rsidRDefault="00000000">
            <w:pPr>
              <w:jc w:val="center"/>
            </w:pPr>
            <w:r>
              <w:rPr>
                <w:sz w:val="16"/>
                <w:szCs w:val="16"/>
              </w:rPr>
              <w:t>1401+</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18579809" w14:textId="77777777" w:rsidR="006D2A6C" w:rsidRDefault="00000000">
            <w:proofErr w:type="spellStart"/>
            <w:r>
              <w:rPr>
                <w:sz w:val="16"/>
                <w:szCs w:val="16"/>
              </w:rPr>
              <w:t>Benha</w:t>
            </w:r>
            <w:proofErr w:type="spellEnd"/>
            <w:r>
              <w:rPr>
                <w:sz w:val="16"/>
                <w:szCs w:val="16"/>
              </w:rPr>
              <w:t xml:space="preserve"> University - Egypt</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3705A66" w14:textId="77777777" w:rsidR="006D2A6C" w:rsidRDefault="00000000">
            <w:pPr>
              <w:jc w:val="center"/>
            </w:pPr>
            <w:r>
              <w:rPr>
                <w:sz w:val="16"/>
                <w:szCs w:val="16"/>
              </w:rPr>
              <w:t>Egypt</w:t>
            </w:r>
          </w:p>
        </w:tc>
      </w:tr>
      <w:tr w:rsidR="006D2A6C" w14:paraId="0DEDB2E9"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EBA1450" w14:textId="77777777" w:rsidR="006D2A6C" w:rsidRDefault="00000000">
            <w:pPr>
              <w:jc w:val="center"/>
            </w:pPr>
            <w:r>
              <w:rPr>
                <w:b/>
                <w:bCs/>
                <w:sz w:val="16"/>
                <w:szCs w:val="16"/>
              </w:rPr>
              <w:t>1401+</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3AA35CE"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3DED329" w14:textId="77777777" w:rsidR="006D2A6C" w:rsidRDefault="00000000">
            <w:r>
              <w:rPr>
                <w:sz w:val="16"/>
                <w:szCs w:val="16"/>
              </w:rPr>
              <w:t>University of Kerbala</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657B5FF" w14:textId="77777777" w:rsidR="006D2A6C" w:rsidRDefault="00000000">
            <w:pPr>
              <w:jc w:val="center"/>
            </w:pPr>
            <w:r>
              <w:rPr>
                <w:sz w:val="16"/>
                <w:szCs w:val="16"/>
              </w:rPr>
              <w:t>Iraq</w:t>
            </w:r>
          </w:p>
        </w:tc>
      </w:tr>
      <w:tr w:rsidR="006D2A6C" w14:paraId="4E944303"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2F53BC1" w14:textId="77777777" w:rsidR="006D2A6C" w:rsidRDefault="00000000">
            <w:pPr>
              <w:jc w:val="center"/>
            </w:pPr>
            <w:r>
              <w:rPr>
                <w:b/>
                <w:bCs/>
                <w:sz w:val="16"/>
                <w:szCs w:val="16"/>
              </w:rPr>
              <w:t>1401+</w:t>
            </w:r>
          </w:p>
        </w:tc>
        <w:tc>
          <w:tcPr>
            <w:tcW w:w="13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45025446"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0567D055" w14:textId="77777777" w:rsidR="006D2A6C" w:rsidRDefault="00000000">
            <w:r>
              <w:rPr>
                <w:sz w:val="16"/>
                <w:szCs w:val="16"/>
              </w:rPr>
              <w:t>University of Petra</w:t>
            </w:r>
          </w:p>
        </w:tc>
        <w:tc>
          <w:tcPr>
            <w:tcW w:w="1600" w:type="dxa"/>
            <w:tcBorders>
              <w:top w:val="single" w:sz="2" w:space="0" w:color="E2E2E2"/>
              <w:left w:val="single" w:sz="2" w:space="0" w:color="E2E2E2"/>
              <w:bottom w:val="single" w:sz="2" w:space="0" w:color="E2E2E2"/>
              <w:right w:val="single" w:sz="2" w:space="0" w:color="E2E2E2"/>
            </w:tcBorders>
            <w:shd w:val="clear" w:color="auto" w:fill="FBF6EE"/>
            <w:tcMar>
              <w:top w:w="50" w:type="dxa"/>
              <w:left w:w="90" w:type="dxa"/>
              <w:bottom w:w="50" w:type="dxa"/>
              <w:right w:w="90" w:type="dxa"/>
            </w:tcMar>
            <w:vAlign w:val="center"/>
          </w:tcPr>
          <w:p w14:paraId="7AB00A9E" w14:textId="77777777" w:rsidR="006D2A6C" w:rsidRDefault="00000000">
            <w:pPr>
              <w:jc w:val="center"/>
            </w:pPr>
            <w:r>
              <w:rPr>
                <w:sz w:val="16"/>
                <w:szCs w:val="16"/>
              </w:rPr>
              <w:t>Jordan</w:t>
            </w:r>
          </w:p>
        </w:tc>
      </w:tr>
      <w:tr w:rsidR="006D2A6C" w14:paraId="3F4FADAA" w14:textId="77777777">
        <w:tblPrEx>
          <w:tblCellMar>
            <w:top w:w="0" w:type="dxa"/>
            <w:bottom w:w="0" w:type="dxa"/>
          </w:tblCellMar>
        </w:tblPrEx>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28DBAE6C" w14:textId="77777777" w:rsidR="006D2A6C" w:rsidRDefault="00000000">
            <w:pPr>
              <w:jc w:val="center"/>
            </w:pPr>
            <w:r>
              <w:rPr>
                <w:b/>
                <w:bCs/>
                <w:sz w:val="16"/>
                <w:szCs w:val="16"/>
              </w:rPr>
              <w:t>1401+</w:t>
            </w:r>
          </w:p>
        </w:tc>
        <w:tc>
          <w:tcPr>
            <w:tcW w:w="13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0EBF2108" w14:textId="77777777" w:rsidR="006D2A6C" w:rsidRDefault="00000000">
            <w:pPr>
              <w:jc w:val="center"/>
            </w:pPr>
            <w:r>
              <w:rPr>
                <w:sz w:val="16"/>
                <w:szCs w:val="16"/>
              </w:rPr>
              <w:t>1201-1400</w:t>
            </w:r>
          </w:p>
        </w:tc>
        <w:tc>
          <w:tcPr>
            <w:tcW w:w="5402"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5562E16F" w14:textId="77777777" w:rsidR="006D2A6C" w:rsidRDefault="00000000">
            <w:r>
              <w:rPr>
                <w:sz w:val="16"/>
                <w:szCs w:val="16"/>
              </w:rPr>
              <w:t>University of Kufa</w:t>
            </w:r>
          </w:p>
        </w:tc>
        <w:tc>
          <w:tcPr>
            <w:tcW w:w="1600" w:type="dxa"/>
            <w:tcBorders>
              <w:top w:val="single" w:sz="2" w:space="0" w:color="E2E2E2"/>
              <w:left w:val="single" w:sz="2" w:space="0" w:color="E2E2E2"/>
              <w:bottom w:val="single" w:sz="2" w:space="0" w:color="E2E2E2"/>
              <w:right w:val="single" w:sz="2" w:space="0" w:color="E2E2E2"/>
            </w:tcBorders>
            <w:tcMar>
              <w:top w:w="50" w:type="dxa"/>
              <w:left w:w="90" w:type="dxa"/>
              <w:bottom w:w="50" w:type="dxa"/>
              <w:right w:w="90" w:type="dxa"/>
            </w:tcMar>
            <w:vAlign w:val="center"/>
          </w:tcPr>
          <w:p w14:paraId="4D6F3BA3" w14:textId="77777777" w:rsidR="006D2A6C" w:rsidRDefault="00000000">
            <w:pPr>
              <w:jc w:val="center"/>
            </w:pPr>
            <w:r>
              <w:rPr>
                <w:sz w:val="16"/>
                <w:szCs w:val="16"/>
              </w:rPr>
              <w:t>Iraq</w:t>
            </w:r>
          </w:p>
        </w:tc>
      </w:tr>
      <w:tr w:rsidR="006D2A6C" w14:paraId="4076801D" w14:textId="77777777">
        <w:tblPrEx>
          <w:tblCellMar>
            <w:top w:w="0" w:type="dxa"/>
            <w:bottom w:w="0" w:type="dxa"/>
          </w:tblCellMar>
        </w:tblPrEx>
        <w:tc>
          <w:tcPr>
            <w:tcW w:w="9602" w:type="dxa"/>
            <w:gridSpan w:val="4"/>
            <w:tcBorders>
              <w:top w:val="single" w:sz="2" w:space="0" w:color="E2E2E2"/>
              <w:left w:val="single" w:sz="2" w:space="0" w:color="E2E2E2"/>
              <w:bottom w:val="single" w:sz="2" w:space="0" w:color="E2E2E2"/>
              <w:right w:val="single" w:sz="2" w:space="0" w:color="E2E2E2"/>
            </w:tcBorders>
            <w:shd w:val="clear" w:color="auto" w:fill="FBF6EE"/>
            <w:tcMar>
              <w:top w:w="50" w:type="dxa"/>
              <w:left w:w="120" w:type="dxa"/>
              <w:bottom w:w="50" w:type="dxa"/>
              <w:right w:w="120" w:type="dxa"/>
            </w:tcMar>
          </w:tcPr>
          <w:p w14:paraId="6EC6173D" w14:textId="77777777" w:rsidR="006D2A6C" w:rsidRDefault="00000000">
            <w:r>
              <w:rPr>
                <w:i/>
                <w:iCs/>
                <w:color w:val="6B6B6A"/>
                <w:sz w:val="15"/>
                <w:szCs w:val="15"/>
              </w:rPr>
              <w:t>© QS Quacquarelli Symonds 2004-2027, TopUniversities.com</w:t>
            </w:r>
          </w:p>
        </w:tc>
      </w:tr>
    </w:tbl>
    <w:p w14:paraId="1D1DA33E" w14:textId="77777777" w:rsidR="0039456A" w:rsidRDefault="0039456A"/>
    <w:sectPr w:rsidR="0039456A">
      <w:footerReference w:type="default" r:id="rId27"/>
      <w:pgSz w:w="11906" w:h="16838"/>
      <w:pgMar w:top="1152" w:right="1152" w:bottom="1152" w:left="115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EFEE" w14:textId="77777777" w:rsidR="0039456A" w:rsidRDefault="0039456A">
      <w:r>
        <w:separator/>
      </w:r>
    </w:p>
  </w:endnote>
  <w:endnote w:type="continuationSeparator" w:id="0">
    <w:p w14:paraId="4BF3F6A5" w14:textId="77777777" w:rsidR="0039456A" w:rsidRDefault="0039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8276" w14:textId="2B092456" w:rsidR="006D2A6C" w:rsidRDefault="00000000">
    <w:pPr>
      <w:pBdr>
        <w:top w:val="single" w:sz="6" w:space="6" w:color="F7A600"/>
      </w:pBdr>
      <w:tabs>
        <w:tab w:val="right" w:pos="9602"/>
      </w:tabs>
    </w:pPr>
    <w:r>
      <w:rPr>
        <w:color w:val="6B6B6A"/>
        <w:sz w:val="15"/>
        <w:szCs w:val="15"/>
      </w:rPr>
      <w:t>QS World University Rankings 2027  |  Arab Region  |  Under strict embargo until 02:01 AST, 18 June 2026</w:t>
    </w:r>
    <w:r>
      <w:rPr>
        <w:sz w:val="15"/>
        <w:szCs w:val="15"/>
      </w:rPr>
      <w:tab/>
    </w:r>
    <w:r>
      <w:rPr>
        <w:color w:val="6B6B6A"/>
        <w:sz w:val="15"/>
        <w:szCs w:val="15"/>
      </w:rPr>
      <w:t xml:space="preserve">Page </w:t>
    </w:r>
    <w:r>
      <w:rPr>
        <w:color w:val="6B6B6A"/>
        <w:sz w:val="15"/>
        <w:szCs w:val="15"/>
      </w:rPr>
      <w:fldChar w:fldCharType="begin"/>
    </w:r>
    <w:r>
      <w:rPr>
        <w:color w:val="6B6B6A"/>
        <w:sz w:val="15"/>
        <w:szCs w:val="15"/>
      </w:rPr>
      <w:instrText>PAGE</w:instrText>
    </w:r>
    <w:r>
      <w:rPr>
        <w:color w:val="6B6B6A"/>
        <w:sz w:val="15"/>
        <w:szCs w:val="15"/>
      </w:rPr>
      <w:fldChar w:fldCharType="separate"/>
    </w:r>
    <w:r w:rsidR="00DB2D4F">
      <w:rPr>
        <w:noProof/>
        <w:color w:val="6B6B6A"/>
        <w:sz w:val="15"/>
        <w:szCs w:val="15"/>
      </w:rPr>
      <w:t>6</w:t>
    </w:r>
    <w:r>
      <w:rPr>
        <w:color w:val="6B6B6A"/>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3A21" w14:textId="77777777" w:rsidR="0039456A" w:rsidRDefault="0039456A">
      <w:r>
        <w:separator/>
      </w:r>
    </w:p>
  </w:footnote>
  <w:footnote w:type="continuationSeparator" w:id="0">
    <w:p w14:paraId="25636035" w14:textId="77777777" w:rsidR="0039456A" w:rsidRDefault="00394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A1E5C"/>
    <w:multiLevelType w:val="hybridMultilevel"/>
    <w:tmpl w:val="D538682A"/>
    <w:lvl w:ilvl="0" w:tplc="A1DCFB46">
      <w:start w:val="1"/>
      <w:numFmt w:val="bullet"/>
      <w:lvlText w:val="●"/>
      <w:lvlJc w:val="left"/>
      <w:pPr>
        <w:ind w:left="720" w:hanging="360"/>
      </w:pPr>
    </w:lvl>
    <w:lvl w:ilvl="1" w:tplc="41167A24">
      <w:start w:val="1"/>
      <w:numFmt w:val="bullet"/>
      <w:lvlText w:val="○"/>
      <w:lvlJc w:val="left"/>
      <w:pPr>
        <w:ind w:left="1440" w:hanging="360"/>
      </w:pPr>
    </w:lvl>
    <w:lvl w:ilvl="2" w:tplc="41140A12">
      <w:start w:val="1"/>
      <w:numFmt w:val="bullet"/>
      <w:lvlText w:val="■"/>
      <w:lvlJc w:val="left"/>
      <w:pPr>
        <w:ind w:left="2160" w:hanging="360"/>
      </w:pPr>
    </w:lvl>
    <w:lvl w:ilvl="3" w:tplc="9F6ED8AC">
      <w:start w:val="1"/>
      <w:numFmt w:val="bullet"/>
      <w:lvlText w:val="●"/>
      <w:lvlJc w:val="left"/>
      <w:pPr>
        <w:ind w:left="2880" w:hanging="360"/>
      </w:pPr>
    </w:lvl>
    <w:lvl w:ilvl="4" w:tplc="F1200B14">
      <w:start w:val="1"/>
      <w:numFmt w:val="bullet"/>
      <w:lvlText w:val="○"/>
      <w:lvlJc w:val="left"/>
      <w:pPr>
        <w:ind w:left="3600" w:hanging="360"/>
      </w:pPr>
    </w:lvl>
    <w:lvl w:ilvl="5" w:tplc="6254AC8E">
      <w:start w:val="1"/>
      <w:numFmt w:val="bullet"/>
      <w:lvlText w:val="■"/>
      <w:lvlJc w:val="left"/>
      <w:pPr>
        <w:ind w:left="4320" w:hanging="360"/>
      </w:pPr>
    </w:lvl>
    <w:lvl w:ilvl="6" w:tplc="6D747FC2">
      <w:start w:val="1"/>
      <w:numFmt w:val="bullet"/>
      <w:lvlText w:val="●"/>
      <w:lvlJc w:val="left"/>
      <w:pPr>
        <w:ind w:left="5040" w:hanging="360"/>
      </w:pPr>
    </w:lvl>
    <w:lvl w:ilvl="7" w:tplc="CF26673C">
      <w:start w:val="1"/>
      <w:numFmt w:val="bullet"/>
      <w:lvlText w:val="●"/>
      <w:lvlJc w:val="left"/>
      <w:pPr>
        <w:ind w:left="5760" w:hanging="360"/>
      </w:pPr>
    </w:lvl>
    <w:lvl w:ilvl="8" w:tplc="F22AD606">
      <w:start w:val="1"/>
      <w:numFmt w:val="bullet"/>
      <w:lvlText w:val="●"/>
      <w:lvlJc w:val="left"/>
      <w:pPr>
        <w:ind w:left="6480" w:hanging="360"/>
      </w:pPr>
    </w:lvl>
  </w:abstractNum>
  <w:abstractNum w:abstractNumId="1" w15:restartNumberingAfterBreak="0">
    <w:nsid w:val="654F6623"/>
    <w:multiLevelType w:val="hybridMultilevel"/>
    <w:tmpl w:val="21AC4F7E"/>
    <w:lvl w:ilvl="0" w:tplc="FFD8B45C">
      <w:start w:val="1"/>
      <w:numFmt w:val="bullet"/>
      <w:lvlText w:val="•"/>
      <w:lvlJc w:val="left"/>
      <w:pPr>
        <w:ind w:left="360" w:hanging="220"/>
      </w:pPr>
      <w:rPr>
        <w:color w:val="F7A600"/>
      </w:rPr>
    </w:lvl>
    <w:lvl w:ilvl="1" w:tplc="D168F7A2">
      <w:numFmt w:val="decimal"/>
      <w:lvlText w:val=""/>
      <w:lvlJc w:val="left"/>
    </w:lvl>
    <w:lvl w:ilvl="2" w:tplc="B0F05C56">
      <w:numFmt w:val="decimal"/>
      <w:lvlText w:val=""/>
      <w:lvlJc w:val="left"/>
    </w:lvl>
    <w:lvl w:ilvl="3" w:tplc="B99C378C">
      <w:numFmt w:val="decimal"/>
      <w:lvlText w:val=""/>
      <w:lvlJc w:val="left"/>
    </w:lvl>
    <w:lvl w:ilvl="4" w:tplc="5E30D0DA">
      <w:numFmt w:val="decimal"/>
      <w:lvlText w:val=""/>
      <w:lvlJc w:val="left"/>
    </w:lvl>
    <w:lvl w:ilvl="5" w:tplc="FB5A5B20">
      <w:numFmt w:val="decimal"/>
      <w:lvlText w:val=""/>
      <w:lvlJc w:val="left"/>
    </w:lvl>
    <w:lvl w:ilvl="6" w:tplc="46104014">
      <w:numFmt w:val="decimal"/>
      <w:lvlText w:val=""/>
      <w:lvlJc w:val="left"/>
    </w:lvl>
    <w:lvl w:ilvl="7" w:tplc="9D962D3E">
      <w:numFmt w:val="decimal"/>
      <w:lvlText w:val=""/>
      <w:lvlJc w:val="left"/>
    </w:lvl>
    <w:lvl w:ilvl="8" w:tplc="19DE9A06">
      <w:numFmt w:val="decimal"/>
      <w:lvlText w:val=""/>
      <w:lvlJc w:val="left"/>
    </w:lvl>
  </w:abstractNum>
  <w:num w:numId="1" w16cid:durableId="1375809892">
    <w:abstractNumId w:val="0"/>
    <w:lvlOverride w:ilvl="0">
      <w:startOverride w:val="1"/>
    </w:lvlOverride>
  </w:num>
  <w:num w:numId="2" w16cid:durableId="11953834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6C"/>
    <w:rsid w:val="000D5692"/>
    <w:rsid w:val="001E5EDB"/>
    <w:rsid w:val="00245D48"/>
    <w:rsid w:val="0039456A"/>
    <w:rsid w:val="00584DCF"/>
    <w:rsid w:val="006D2A6C"/>
    <w:rsid w:val="00A6621C"/>
    <w:rsid w:val="00B031BA"/>
    <w:rsid w:val="00B548AD"/>
    <w:rsid w:val="00BF078A"/>
    <w:rsid w:val="00DB2D4F"/>
    <w:rsid w:val="00F96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DB4C"/>
  <w15:docId w15:val="{517E6C9C-0EBB-48AE-9DDA-38C627E0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D1D1B"/>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686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opuniversities.com/world-university-rankings" TargetMode="External"/><Relationship Id="rId13" Type="http://schemas.openxmlformats.org/officeDocument/2006/relationships/hyperlink" Target="https://support.qs.com/hc/en-gb/articles/17814620744092" TargetMode="External"/><Relationship Id="rId18" Type="http://schemas.openxmlformats.org/officeDocument/2006/relationships/hyperlink" Target="https://support.qs.com/hc/en-gb/articles/360021865579" TargetMode="External"/><Relationship Id="rId26" Type="http://schemas.openxmlformats.org/officeDocument/2006/relationships/hyperlink" Target="mailto:viggo.stacey@qs.com" TargetMode="External"/><Relationship Id="rId3" Type="http://schemas.openxmlformats.org/officeDocument/2006/relationships/settings" Target="settings.xml"/><Relationship Id="rId21" Type="http://schemas.openxmlformats.org/officeDocument/2006/relationships/hyperlink" Target="https://support.qs.com/hc/en-gb/articles/17928075678236" TargetMode="External"/><Relationship Id="rId7" Type="http://schemas.openxmlformats.org/officeDocument/2006/relationships/image" Target="media/image1.jpg"/><Relationship Id="rId12" Type="http://schemas.openxmlformats.org/officeDocument/2006/relationships/hyperlink" Target="https://support.qs.com/hc/en-gb/articles/360019107580" TargetMode="External"/><Relationship Id="rId17" Type="http://schemas.openxmlformats.org/officeDocument/2006/relationships/hyperlink" Target="https://support.qs.com/hc/en-gb/articles/4403961809554" TargetMode="External"/><Relationship Id="rId25" Type="http://schemas.openxmlformats.org/officeDocument/2006/relationships/hyperlink" Target="mailto:simona@qs.com" TargetMode="External"/><Relationship Id="rId2" Type="http://schemas.openxmlformats.org/officeDocument/2006/relationships/styles" Target="styles.xml"/><Relationship Id="rId16" Type="http://schemas.openxmlformats.org/officeDocument/2006/relationships/hyperlink" Target="https://support.qs.com/hc/en-gb/articles/19224616222748" TargetMode="External"/><Relationship Id="rId20" Type="http://schemas.openxmlformats.org/officeDocument/2006/relationships/hyperlink" Target="https://support.qs.com/hc/en-gb/articles/440396172750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qs.com/hc/en-gb/articles/4405952675346" TargetMode="External"/><Relationship Id="rId24" Type="http://schemas.openxmlformats.org/officeDocument/2006/relationships/hyperlink" Target="https://www.topuniversities.com/world-university-rankings"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support.qs.com/hc/en-gb/articles/4744563188508" TargetMode="External"/><Relationship Id="rId23" Type="http://schemas.openxmlformats.org/officeDocument/2006/relationships/hyperlink" Target="https://support.qs.com/hc/en-gb/articles/8322582098460" TargetMode="External"/><Relationship Id="rId28" Type="http://schemas.openxmlformats.org/officeDocument/2006/relationships/fontTable" Target="fontTable.xml"/><Relationship Id="rId10" Type="http://schemas.openxmlformats.org/officeDocument/2006/relationships/hyperlink" Target="https://support.qs.com/hc/en-gb/articles/16078425711260" TargetMode="External"/><Relationship Id="rId19" Type="http://schemas.openxmlformats.org/officeDocument/2006/relationships/hyperlink" Target="https://support.qs.com/hc/en-gb/articles/10425678849564"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topuniversities.com/world-university-rankings" TargetMode="External"/><Relationship Id="rId14" Type="http://schemas.openxmlformats.org/officeDocument/2006/relationships/hyperlink" Target="https://support.qs.com/hc/en-gb/articles/4407794203410-Employer-Reputation" TargetMode="External"/><Relationship Id="rId22" Type="http://schemas.openxmlformats.org/officeDocument/2006/relationships/hyperlink" Target="https://support.qs.com/hc/en-gb/articles/360019108240" TargetMode="External"/><Relationship Id="rId27" Type="http://schemas.openxmlformats.org/officeDocument/2006/relationships/footer" Target="footer1.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D6988A-B968-4CE0-A5FA-6931E76D6130}"/>
</file>

<file path=customXml/itemProps2.xml><?xml version="1.0" encoding="utf-8"?>
<ds:datastoreItem xmlns:ds="http://schemas.openxmlformats.org/officeDocument/2006/customXml" ds:itemID="{DF764444-7211-4637-B64F-11C88BC1E100}"/>
</file>

<file path=customXml/itemProps3.xml><?xml version="1.0" encoding="utf-8"?>
<ds:datastoreItem xmlns:ds="http://schemas.openxmlformats.org/officeDocument/2006/customXml" ds:itemID="{D62AE4C1-7F60-4107-8B4F-7CB145135EAD}"/>
</file>

<file path=docProps/app.xml><?xml version="1.0" encoding="utf-8"?>
<Properties xmlns="http://schemas.openxmlformats.org/officeDocument/2006/extended-properties" xmlns:vt="http://schemas.openxmlformats.org/officeDocument/2006/docPropsVTypes">
  <Template>Normal</Template>
  <TotalTime>0</TotalTime>
  <Pages>10</Pages>
  <Words>3573</Words>
  <Characters>19366</Characters>
  <Application>Microsoft Office Word</Application>
  <DocSecurity>0</DocSecurity>
  <Lines>1489</Lines>
  <Paragraphs>1433</Paragraphs>
  <ScaleCrop>false</ScaleCrop>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 Region - QS World University Rankings 2027</dc:title>
  <dc:creator>QS Quacquarelli Symonds</dc:creator>
  <cp:lastModifiedBy>Simona Bizzozero</cp:lastModifiedBy>
  <cp:revision>3</cp:revision>
  <dcterms:created xsi:type="dcterms:W3CDTF">2026-06-15T15:36:00Z</dcterms:created>
  <dcterms:modified xsi:type="dcterms:W3CDTF">2026-06-15T15:43:00Z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ies>
</file>