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9BD7988" w:rsidP="5092C94C" w:rsidRDefault="59BD7988" w14:paraId="7918E1E0" w14:textId="02BC3C24">
      <w:pPr>
        <w:pStyle w:val="paragraph"/>
        <w:spacing w:before="0" w:beforeAutospacing="off" w:after="160" w:afterAutospacing="off" w:line="360" w:lineRule="auto"/>
        <w:jc w:val="center"/>
        <w:rPr>
          <w:rStyle w:val="normaltextrun"/>
          <w:rFonts w:ascii="Calibri" w:hAnsi="Calibri" w:eastAsia="Calibri" w:cs="Calibri"/>
          <w:b w:val="1"/>
          <w:bCs w:val="1"/>
          <w:noProof/>
          <w:color w:val="FF0000"/>
          <w:sz w:val="22"/>
          <w:szCs w:val="22"/>
          <w:lang w:val="pt-BR"/>
        </w:rPr>
      </w:pPr>
      <w:r w:rsidR="59BD7988">
        <w:drawing>
          <wp:inline wp14:editId="3B4A0965" wp14:anchorId="6FD86A55">
            <wp:extent cx="2809875" cy="914400"/>
            <wp:effectExtent l="0" t="0" r="0" b="0"/>
            <wp:docPr id="10046888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4688878" name="Picture 1004688878"/>
                    <pic:cNvPicPr/>
                  </pic:nvPicPr>
                  <pic:blipFill>
                    <a:blip xmlns:r="http://schemas.openxmlformats.org/officeDocument/2006/relationships" r:embed="rId20659258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168C8" w:rsidR="001930BF" w:rsidP="5092C94C" w:rsidRDefault="290C4E64" w14:paraId="373D7247" w14:textId="490B4179">
      <w:pPr>
        <w:pStyle w:val="paragraph"/>
        <w:shd w:val="clear" w:color="auto" w:fill="C00000"/>
        <w:spacing w:before="0" w:beforeAutospacing="off" w:after="160" w:afterAutospacing="off" w:line="360" w:lineRule="auto"/>
        <w:jc w:val="center"/>
        <w:textAlignment w:val="baseline"/>
        <w:rPr>
          <w:rFonts w:ascii="Calibri" w:hAnsi="Calibri" w:eastAsia="Calibri" w:cs="Calibri"/>
          <w:noProof/>
          <w:color w:val="FFFFFF" w:themeColor="background1" w:themeTint="FF" w:themeShade="FF"/>
          <w:sz w:val="22"/>
          <w:szCs w:val="22"/>
          <w:lang w:val="pt-BR"/>
        </w:rPr>
      </w:pPr>
      <w:r w:rsidRPr="5092C94C" w:rsidR="5715C212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 xml:space="preserve">INFORMAÇÃO SOB EMBARGO ATÉ </w:t>
      </w:r>
      <w:r w:rsidRPr="5092C94C" w:rsidR="27AE65FD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>QUARTA-FEIR</w:t>
      </w:r>
      <w:r w:rsidRPr="5092C94C" w:rsidR="6D9529BC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 xml:space="preserve">A, </w:t>
      </w:r>
      <w:r w:rsidRPr="5092C94C" w:rsidR="27AE65FD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 xml:space="preserve">17 </w:t>
      </w:r>
      <w:r w:rsidRPr="5092C94C" w:rsidR="5715C212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>DE JUNH</w:t>
      </w:r>
      <w:r w:rsidRPr="5092C94C" w:rsidR="6D9529BC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 xml:space="preserve">O, </w:t>
      </w:r>
      <w:r w:rsidRPr="5092C94C" w:rsidR="5715C212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 xml:space="preserve">ÀS 20H01 </w:t>
      </w:r>
      <w:r w:rsidRPr="5092C94C" w:rsidR="5715C212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>(</w:t>
      </w:r>
      <w:r w:rsidRPr="5092C94C" w:rsidR="27AE65FD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 xml:space="preserve">HORÁRIO </w:t>
      </w:r>
      <w:r w:rsidRPr="5092C94C" w:rsidR="6D9529BC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>DE BRASÍLIA)</w:t>
      </w:r>
      <w:r w:rsidRPr="5092C94C" w:rsidR="27AE65FD">
        <w:rPr>
          <w:rStyle w:val="normaltextrun"/>
          <w:rFonts w:ascii="Calibri" w:hAnsi="Calibri" w:eastAsia="Calibri" w:cs="Calibri"/>
          <w:b w:val="1"/>
          <w:bCs w:val="1"/>
          <w:noProof/>
          <w:color w:val="FFFFFF" w:themeColor="background1" w:themeTint="FF" w:themeShade="FF"/>
          <w:sz w:val="22"/>
          <w:szCs w:val="22"/>
          <w:lang w:val="pt-BR"/>
        </w:rPr>
        <w:t>  </w:t>
      </w:r>
    </w:p>
    <w:p w:rsidR="5092C94C" w:rsidP="021F218C" w:rsidRDefault="5092C94C" w14:paraId="62BDED11" w14:textId="5F993667">
      <w:pPr>
        <w:pStyle w:val="paragraph"/>
        <w:spacing w:before="0" w:beforeAutospacing="off" w:after="160" w:afterAutospacing="off" w:line="360" w:lineRule="auto"/>
        <w:jc w:val="left"/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</w:pPr>
      <w:r w:rsidRPr="021F218C" w:rsidR="081BDC00">
        <w:rPr>
          <w:rFonts w:ascii="Calibri" w:hAnsi="Calibri" w:eastAsia="Calibri" w:cs="Calibri"/>
          <w:b w:val="1"/>
          <w:bCs w:val="1"/>
          <w:noProof/>
          <w:sz w:val="25"/>
          <w:szCs w:val="25"/>
          <w:lang w:val="pt-BR"/>
        </w:rPr>
        <w:t xml:space="preserve">Brasil registra queda acentuada </w:t>
      </w:r>
      <w:r w:rsidRPr="021F218C" w:rsidR="6D9529BC">
        <w:rPr>
          <w:rFonts w:ascii="Calibri" w:hAnsi="Calibri" w:eastAsia="Calibri" w:cs="Calibri"/>
          <w:b w:val="1"/>
          <w:bCs w:val="1"/>
          <w:noProof/>
          <w:sz w:val="25"/>
          <w:szCs w:val="25"/>
          <w:lang w:val="pt-BR"/>
        </w:rPr>
        <w:t>à medida que</w:t>
      </w:r>
      <w:r w:rsidRPr="021F218C" w:rsidR="081BDC00">
        <w:rPr>
          <w:rFonts w:ascii="Calibri" w:hAnsi="Calibri" w:eastAsia="Calibri" w:cs="Calibri"/>
          <w:b w:val="1"/>
          <w:bCs w:val="1"/>
          <w:noProof/>
          <w:sz w:val="25"/>
          <w:szCs w:val="25"/>
          <w:lang w:val="pt-BR"/>
        </w:rPr>
        <w:t xml:space="preserve"> persistem desafios de internacionalização e pesquisa</w:t>
      </w:r>
      <w:r>
        <w:br/>
      </w:r>
      <w:r w:rsidRPr="021F218C" w:rsidR="081BDC00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 xml:space="preserve">As universidades brasileiras enfrentam pressões globais crescentes no mais recente QS World University Rankings, com um declínio institucional generalizado, apesar do forte desempenho em </w:t>
      </w:r>
      <w:r w:rsidRPr="021F218C" w:rsidR="6D9529BC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 xml:space="preserve">Reputação Acadêmica </w:t>
      </w:r>
      <w:r w:rsidRPr="021F218C" w:rsidR="081BDC00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e dos resultados resilientes dos graduados nas principais instituições do país.</w:t>
      </w:r>
    </w:p>
    <w:p w:rsidRPr="006168C8" w:rsidR="001930BF" w:rsidP="5092C94C" w:rsidRDefault="001930BF" w14:paraId="57412058" w14:textId="043A184F">
      <w:pPr>
        <w:pStyle w:val="paragraph"/>
        <w:spacing w:before="0" w:beforeAutospacing="off" w:after="160" w:afterAutospacing="off" w:line="360" w:lineRule="auto"/>
        <w:textAlignment w:val="baseline"/>
        <w:rPr>
          <w:rFonts w:ascii="Calibri" w:hAnsi="Calibri" w:eastAsia="Calibri" w:cs="Calibri"/>
          <w:noProof/>
          <w:sz w:val="18"/>
          <w:szCs w:val="18"/>
          <w:lang w:val="pt-BR"/>
        </w:rPr>
      </w:pPr>
      <w:r w:rsidRPr="5092C94C" w:rsidR="6A07AFA3">
        <w:rPr>
          <w:rFonts w:ascii="Calibri" w:hAnsi="Calibri" w:eastAsia="Calibri" w:cs="Calibri"/>
          <w:sz w:val="22"/>
          <w:szCs w:val="22"/>
          <w:lang w:val="pt-BR"/>
        </w:rPr>
        <w:t xml:space="preserve"> A QS Quacquarelli Symonds, especialista internacional em ensino superior, divulgou hoje a</w:t>
      </w:r>
      <w:r w:rsidRPr="5092C94C" w:rsidR="61E53AA1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A07AFA3">
        <w:rPr>
          <w:rFonts w:ascii="Calibri" w:hAnsi="Calibri" w:eastAsia="Calibri" w:cs="Calibri"/>
          <w:sz w:val="22"/>
          <w:szCs w:val="22"/>
          <w:lang w:val="pt-BR"/>
        </w:rPr>
        <w:t>23</w:t>
      </w:r>
      <w:r w:rsidRPr="5092C94C" w:rsidR="6A07AFA3">
        <w:rPr>
          <w:rFonts w:ascii="Calibri" w:hAnsi="Calibri" w:eastAsia="Calibri" w:cs="Calibri"/>
          <w:sz w:val="22"/>
          <w:szCs w:val="22"/>
          <w:lang w:val="pt-BR"/>
        </w:rPr>
        <w:t>ª</w:t>
      </w:r>
      <w:r w:rsidRPr="5092C94C" w:rsidR="61E53AA1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A07AFA3">
        <w:rPr>
          <w:rFonts w:ascii="Calibri" w:hAnsi="Calibri" w:eastAsia="Calibri" w:cs="Calibri"/>
          <w:sz w:val="22"/>
          <w:szCs w:val="22"/>
          <w:lang w:val="pt-BR"/>
        </w:rPr>
        <w:t>edição anual do</w:t>
      </w:r>
      <w:r w:rsidRPr="5092C94C" w:rsidR="6A07AFA3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 </w:t>
      </w:r>
      <w:hyperlink r:id="R6024a61252ad4a8d">
        <w:r w:rsidRPr="5092C94C" w:rsidR="6A07AFA3">
          <w:rPr>
            <w:rStyle w:val="normaltextrun"/>
            <w:rFonts w:ascii="Calibri" w:hAnsi="Calibri" w:eastAsia="Calibri" w:cs="Calibri"/>
            <w:noProof/>
            <w:color w:val="467886"/>
            <w:sz w:val="22"/>
            <w:szCs w:val="22"/>
            <w:u w:val="single"/>
            <w:lang w:val="pt-BR"/>
          </w:rPr>
          <w:t>QS World University Rankings</w:t>
        </w:r>
      </w:hyperlink>
      <w:r w:rsidRPr="5092C94C" w:rsidR="6A07AFA3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*. </w:t>
      </w:r>
      <w:r w:rsidRPr="5092C94C" w:rsidR="6A07AFA3">
        <w:rPr>
          <w:rStyle w:val="normaltextrun"/>
          <w:rFonts w:ascii="Calibri" w:hAnsi="Calibri" w:eastAsia="Calibri" w:cs="Calibri"/>
          <w:noProof/>
          <w:color w:val="EE0000"/>
          <w:sz w:val="16"/>
          <w:szCs w:val="16"/>
          <w:lang w:val="pt-BR"/>
        </w:rPr>
        <w:t>*O link será atualizado com os resultados mais recentes quando o embargo</w:t>
      </w:r>
      <w:r w:rsidRPr="5092C94C" w:rsidR="61E53AA1">
        <w:rPr>
          <w:rStyle w:val="normaltextrun"/>
          <w:rFonts w:ascii="Calibri" w:hAnsi="Calibri" w:eastAsia="Calibri" w:cs="Calibri"/>
          <w:noProof/>
          <w:color w:val="EE0000"/>
          <w:sz w:val="16"/>
          <w:szCs w:val="16"/>
          <w:lang w:val="pt-BR"/>
        </w:rPr>
        <w:t xml:space="preserve"> </w:t>
      </w:r>
      <w:r w:rsidRPr="5092C94C" w:rsidR="6A07AFA3">
        <w:rPr>
          <w:rStyle w:val="normaltextrun"/>
          <w:rFonts w:ascii="Calibri" w:hAnsi="Calibri" w:eastAsia="Calibri" w:cs="Calibri"/>
          <w:noProof/>
          <w:color w:val="EE0000"/>
          <w:sz w:val="16"/>
          <w:szCs w:val="16"/>
          <w:lang w:val="pt-BR"/>
        </w:rPr>
        <w:t>for suspenso.</w:t>
      </w:r>
    </w:p>
    <w:p w:rsidRPr="006168C8" w:rsidR="001930BF" w:rsidP="5092C94C" w:rsidRDefault="001930BF" w14:paraId="7882B45F" w14:textId="77777777">
      <w:pPr>
        <w:pStyle w:val="paragraph"/>
        <w:spacing w:before="0" w:beforeAutospacing="off" w:after="160" w:afterAutospacing="off" w:line="360" w:lineRule="auto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6A07AFA3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Pelo décimo quinto ano consecutivo, </w:t>
      </w:r>
      <w:r w:rsidRPr="5092C94C" w:rsidR="6A07AFA3">
        <w:rPr>
          <w:rStyle w:val="normaltextrun"/>
          <w:rFonts w:ascii="Calibri" w:hAnsi="Calibri" w:eastAsia="Calibri" w:cs="Calibri"/>
          <w:b w:val="1"/>
          <w:bCs w:val="1"/>
          <w:noProof/>
          <w:sz w:val="22"/>
          <w:szCs w:val="22"/>
          <w:lang w:val="pt-BR"/>
        </w:rPr>
        <w:t xml:space="preserve">o Instituto de Tecnologia de Massachusetts (MIT) </w:t>
      </w:r>
      <w:r w:rsidRPr="5092C94C" w:rsidR="6A07AFA3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mantém o primeiro lugar. </w:t>
      </w:r>
      <w:r w:rsidRPr="5092C94C" w:rsidR="6A07AFA3">
        <w:rPr>
          <w:rStyle w:val="normaltextrun"/>
          <w:rFonts w:ascii="Calibri" w:hAnsi="Calibri" w:eastAsia="Calibri" w:cs="Calibri"/>
          <w:b w:val="1"/>
          <w:bCs w:val="1"/>
          <w:noProof/>
          <w:sz w:val="22"/>
          <w:szCs w:val="22"/>
          <w:lang w:val="pt-BR"/>
        </w:rPr>
        <w:t xml:space="preserve">O Imperial College London </w:t>
      </w:r>
      <w:r w:rsidRPr="5092C94C" w:rsidR="6A07AFA3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permanece em segundo lugar pelo terceiro ano consecutivo, agora dividindo a posição com </w:t>
      </w:r>
      <w:r w:rsidRPr="5092C94C" w:rsidR="6A07AFA3">
        <w:rPr>
          <w:rStyle w:val="normaltextrun"/>
          <w:rFonts w:ascii="Calibri" w:hAnsi="Calibri" w:eastAsia="Calibri" w:cs="Calibri"/>
          <w:b w:val="1"/>
          <w:bCs w:val="1"/>
          <w:noProof/>
          <w:sz w:val="22"/>
          <w:szCs w:val="22"/>
          <w:lang w:val="pt-BR"/>
        </w:rPr>
        <w:t>a Universidade de Stanford</w:t>
      </w:r>
      <w:r w:rsidRPr="5092C94C" w:rsidR="6A07AFA3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, que subiu da terceira posição. </w:t>
      </w:r>
    </w:p>
    <w:p w:rsidRPr="006168C8" w:rsidR="00CB506D" w:rsidP="5092C94C" w:rsidRDefault="5A80114A" w14:paraId="5C6D92B7" w14:textId="31A1B0B5">
      <w:pPr>
        <w:pStyle w:val="paragraph"/>
        <w:spacing w:before="0" w:beforeAutospacing="off" w:after="160" w:afterAutospacing="off" w:line="360" w:lineRule="auto"/>
        <w:textAlignment w:val="baseline"/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36B8E292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Os resultados mostram que </w:t>
      </w:r>
      <w:r w:rsidRPr="5092C94C" w:rsidR="57EE2594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>a principal instituição do Brasil, a Universidade de São Paulo, caiu 25 posições</w:t>
      </w:r>
      <w:r w:rsidRPr="5092C94C" w:rsidR="3F0001EF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>,</w:t>
      </w:r>
      <w:r w:rsidRPr="5092C94C" w:rsidR="57EE2594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 ficando 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em</w:t>
      </w:r>
      <w:r w:rsidRPr="5092C94C" w:rsidR="61E53AA1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133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º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 xml:space="preserve"> lugar</w:t>
      </w:r>
      <w:r w:rsidRPr="5092C94C" w:rsidR="3F0001EF">
        <w:rPr>
          <w:rFonts w:ascii="Calibri" w:hAnsi="Calibri" w:eastAsia="Calibri" w:cs="Calibri"/>
          <w:sz w:val="22"/>
          <w:szCs w:val="22"/>
          <w:lang w:val="pt-BR"/>
        </w:rPr>
        <w:t xml:space="preserve">, 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marcando três anos consecutivos de queda no ranking após ter alcançado a melhor posição já obtida pelo</w:t>
      </w:r>
      <w:r w:rsidRPr="5092C94C" w:rsidR="33111254">
        <w:rPr>
          <w:rFonts w:ascii="Calibri" w:hAnsi="Calibri" w:eastAsia="Calibri" w:cs="Calibri"/>
          <w:sz w:val="22"/>
          <w:szCs w:val="22"/>
          <w:lang w:val="pt-BR"/>
        </w:rPr>
        <w:t xml:space="preserve"> Brasil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, o 85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º</w:t>
      </w:r>
      <w:r w:rsidRPr="5092C94C" w:rsidR="61E53AA1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lugar,</w:t>
      </w:r>
      <w:r w:rsidRPr="5092C94C" w:rsidR="61E53AA1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em 2024</w:t>
      </w:r>
      <w:r w:rsidRPr="5092C94C" w:rsidR="20BD62CA">
        <w:rPr>
          <w:rFonts w:ascii="Calibri" w:hAnsi="Calibri" w:eastAsia="Calibri" w:cs="Calibri"/>
          <w:sz w:val="22"/>
          <w:szCs w:val="22"/>
          <w:lang w:val="pt-BR"/>
        </w:rPr>
        <w:t xml:space="preserve">. </w:t>
      </w:r>
      <w:r w:rsidRPr="5092C94C" w:rsidR="57EE2594">
        <w:rPr>
          <w:rFonts w:ascii="Calibri" w:hAnsi="Calibri" w:eastAsia="Calibri" w:cs="Calibri"/>
          <w:sz w:val="22"/>
          <w:szCs w:val="22"/>
          <w:lang w:val="pt-BR"/>
        </w:rPr>
        <w:t>Posteriormente</w:t>
      </w:r>
      <w:r w:rsidRPr="5092C94C" w:rsidR="20BD62CA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, ela </w:t>
      </w:r>
      <w:r w:rsidRPr="5092C94C" w:rsidR="57EE2594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saiu do top 100 na edição do ano passado. </w:t>
      </w:r>
    </w:p>
    <w:p w:rsidRPr="006168C8" w:rsidR="00884144" w:rsidP="5092C94C" w:rsidRDefault="00884144" w14:paraId="0853520B" w14:textId="3AC5CF7D">
      <w:pPr>
        <w:pStyle w:val="paragraph"/>
        <w:spacing w:before="0" w:beforeAutospacing="off" w:after="160" w:afterAutospacing="off" w:line="360" w:lineRule="auto"/>
        <w:textAlignment w:val="baseline"/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5C36355B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>Isso reflete uma tendência mais ampla de declínio para o Brasil, que vê 14 de suas universidades anteriormente classificadas caírem e oito permanecerem estáveis, enquanto nenhuma sobe</w:t>
      </w:r>
      <w:r w:rsidRPr="5092C94C" w:rsidR="081BDC00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,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resultando em uma taxa líquida de queda de 64% para o Brasil</w:t>
      </w:r>
      <w:r w:rsidRPr="5092C94C" w:rsidR="61E53AA1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–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a sétima mais alta do mundo entre os sistemas de ensino superior com 10 ou mais universidades classificadas</w:t>
      </w:r>
      <w:r w:rsidRPr="5092C94C" w:rsidR="5C36355B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  <w:r w:rsidRPr="5092C94C" w:rsidR="5CC4B4B9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>O Brasil não está sozinho</w:t>
      </w:r>
      <w:r w:rsidRPr="5092C94C" w:rsidR="081BDC00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  <w:r w:rsidRPr="5092C94C" w:rsidR="5CC4B4B9">
        <w:rPr>
          <w:rStyle w:val="normaltextrun"/>
          <w:rFonts w:ascii="Calibri" w:hAnsi="Calibri" w:eastAsia="Calibri" w:cs="Calibri"/>
          <w:noProof/>
          <w:sz w:val="22"/>
          <w:szCs w:val="22"/>
          <w:lang w:val="pt-BR"/>
        </w:rPr>
        <w:t>Entre as 116 universidades da América Latina anteriormente classificadas, 60 caíram, 47 permaneceram estáveis e apenas nove subiram.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297"/>
        <w:gridCol w:w="1297"/>
        <w:gridCol w:w="5387"/>
      </w:tblGrid>
      <w:tr w:rsidRPr="006168C8" w:rsidR="00A7244A" w:rsidTr="5092C94C" w14:paraId="4DCA70D7" w14:textId="77777777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460BCD2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Tabela 1: Universidades brasileiras entre as 1.000 melhores</w:t>
            </w:r>
          </w:p>
        </w:tc>
      </w:tr>
      <w:tr w:rsidRPr="006168C8" w:rsidR="00A7244A" w:rsidTr="5092C94C" w14:paraId="2C7F4D3C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6A57C4D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Classificação em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44284D8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Classificação em 2026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7244A" w:rsidP="5092C94C" w:rsidRDefault="00A7244A" w14:paraId="59339F9E" w14:textId="777777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Instituição</w:t>
            </w:r>
          </w:p>
        </w:tc>
      </w:tr>
      <w:tr w:rsidRPr="006168C8" w:rsidR="00A7244A" w:rsidTr="5092C94C" w14:paraId="52601C42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2AC2D2A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0F186B6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36DCDEE7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de São Paulo</w:t>
            </w:r>
          </w:p>
        </w:tc>
      </w:tr>
      <w:tr w:rsidRPr="006168C8" w:rsidR="00A7244A" w:rsidTr="5092C94C" w14:paraId="5174D4B3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4C28EFB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5981DE6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663D1C55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Estadual de Campinas (Unicamp)</w:t>
            </w:r>
          </w:p>
        </w:tc>
      </w:tr>
      <w:tr w:rsidRPr="006168C8" w:rsidR="00A7244A" w:rsidTr="5092C94C" w14:paraId="44C9377A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0A10BF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3F8E8D1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5AC7F9DB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Federal do Rio de Janeiro</w:t>
            </w:r>
          </w:p>
        </w:tc>
      </w:tr>
      <w:tr w:rsidRPr="006168C8" w:rsidR="00A7244A" w:rsidTr="5092C94C" w14:paraId="7DD6C97D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766212E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2B7BB1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434D0C1F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UNESP</w:t>
            </w:r>
          </w:p>
        </w:tc>
      </w:tr>
      <w:tr w:rsidRPr="006168C8" w:rsidR="00A7244A" w:rsidTr="5092C94C" w14:paraId="07C55B1B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33FCC48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030B92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595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6DEF1353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Federal de Minas Gerais (UFMG)</w:t>
            </w:r>
          </w:p>
        </w:tc>
      </w:tr>
      <w:tr w:rsidRPr="006168C8" w:rsidR="00A7244A" w:rsidTr="5092C94C" w14:paraId="3F647BB1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3944E04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225C79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571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50A0AEF3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Pontifícia Universidade Católica do Rio de Janeiro</w:t>
            </w:r>
          </w:p>
        </w:tc>
      </w:tr>
      <w:tr w:rsidRPr="006168C8" w:rsidR="00A7244A" w:rsidTr="5092C94C" w14:paraId="7C6FBDF0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0CE9FF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741-750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0809442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691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6687A271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Federal do Rio Grande do Sul</w:t>
            </w:r>
          </w:p>
        </w:tc>
      </w:tr>
      <w:tr w:rsidRPr="006168C8" w:rsidR="00A7244A" w:rsidTr="5092C94C" w14:paraId="17982517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65D687D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801-850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7225187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801-850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14298320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Federal de São Paulo</w:t>
            </w:r>
          </w:p>
        </w:tc>
      </w:tr>
      <w:tr w:rsidRPr="006168C8" w:rsidR="00A7244A" w:rsidTr="5092C94C" w14:paraId="024B11BA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42D39B4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851-900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4AF7D36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801-850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2076A2AA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de Brasília</w:t>
            </w:r>
          </w:p>
        </w:tc>
      </w:tr>
      <w:tr w:rsidRPr="006168C8" w:rsidR="00A7244A" w:rsidTr="5092C94C" w14:paraId="78669AA3" w14:textId="77777777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14F3C85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901-950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675A6F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801-850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08C8" w:rsidR="00A7244A" w:rsidP="5092C94C" w:rsidRDefault="00A7244A" w14:paraId="137B332A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</w:pPr>
            <w:r w:rsidRPr="5092C94C" w:rsidR="5CC4B4B9">
              <w:rPr>
                <w:rFonts w:ascii="Calibri" w:hAnsi="Calibri" w:eastAsia="Calibri" w:cs="Calibri"/>
                <w:noProof/>
                <w:color w:val="1D1D1B"/>
                <w:kern w:val="0"/>
                <w:sz w:val="18"/>
                <w:szCs w:val="18"/>
                <w:lang w:val="pt-BR" w:eastAsia="en-GB"/>
                <w14:ligatures w14:val="none"/>
              </w:rPr>
              <w:t>Universidade Federal de Santa Catarina</w:t>
            </w:r>
          </w:p>
        </w:tc>
      </w:tr>
    </w:tbl>
    <w:p w:rsidR="5092C94C" w:rsidP="5092C94C" w:rsidRDefault="5092C94C" w14:paraId="1D34E08B" w14:textId="01CC4A72">
      <w:pPr>
        <w:pStyle w:val="paragraph"/>
        <w:spacing w:after="160" w:afterAutospacing="off" w:line="360" w:lineRule="auto"/>
        <w:rPr>
          <w:rFonts w:ascii="Calibri" w:hAnsi="Calibri" w:eastAsia="Calibri" w:cs="Calibri"/>
          <w:b w:val="1"/>
          <w:bCs w:val="1"/>
          <w:noProof/>
          <w:sz w:val="22"/>
          <w:szCs w:val="22"/>
          <w:u w:val="single"/>
          <w:lang w:val="pt-BR"/>
        </w:rPr>
      </w:pPr>
    </w:p>
    <w:p w:rsidRPr="006168C8" w:rsidR="00654BFC" w:rsidP="5092C94C" w:rsidRDefault="00654BFC" w14:paraId="1828A15F" w14:textId="136ADFEE">
      <w:pPr>
        <w:pStyle w:val="paragraph"/>
        <w:spacing w:after="160" w:afterAutospacing="off" w:line="360" w:lineRule="auto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4A17F89F">
        <w:rPr>
          <w:rFonts w:ascii="Calibri" w:hAnsi="Calibri" w:eastAsia="Calibri" w:cs="Calibri"/>
          <w:b w:val="1"/>
          <w:bCs w:val="1"/>
          <w:noProof/>
          <w:sz w:val="22"/>
          <w:szCs w:val="22"/>
          <w:u w:val="single"/>
          <w:lang w:val="pt-BR"/>
        </w:rPr>
        <w:t xml:space="preserve">Resumo executivo: Brasil </w:t>
      </w:r>
    </w:p>
    <w:p w:rsidRPr="006168C8" w:rsidR="004125CF" w:rsidP="5092C94C" w:rsidRDefault="004125CF" w14:paraId="3CBF2341" w14:textId="65838C68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A Universidade de São Paulo caiu 25 posições, ficando em 133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º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lugar no ranking mundial, prolongando sua queda no ranking pelo terceiro ano consecutivo. </w:t>
      </w:r>
    </w:p>
    <w:p w:rsidRPr="006168C8" w:rsidR="004125CF" w:rsidP="5092C94C" w:rsidRDefault="004125CF" w14:paraId="0BB84CA8" w14:textId="2D0BF833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O Brasil registra </w:t>
      </w:r>
      <w:r w:rsidRPr="5092C94C" w:rsidR="2CB12ABA">
        <w:rPr>
          <w:rFonts w:ascii="Calibri" w:hAnsi="Calibri" w:eastAsia="Calibri" w:cs="Calibri"/>
          <w:noProof/>
          <w:sz w:val="22"/>
          <w:szCs w:val="22"/>
          <w:lang w:val="pt-BR"/>
        </w:rPr>
        <w:t>uma das quedas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mais acentuadas da América Latina, com 64% das universidades classificadas apresentando queda e nenhuma apresentando melhora em relação ao ano anterior. </w:t>
      </w:r>
    </w:p>
    <w:p w:rsidRPr="006168C8" w:rsidR="004125CF" w:rsidP="5092C94C" w:rsidRDefault="004125CF" w14:paraId="38618CEB" w14:textId="328A7B5A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Apesar da pressão dos rankings, o Brasil continua sendo o sistema de ensino superior mais representado da América Latina, com 22 universidades classificadas globalmente. </w:t>
      </w:r>
    </w:p>
    <w:p w:rsidRPr="006168C8" w:rsidR="004125CF" w:rsidP="5092C94C" w:rsidRDefault="004125CF" w14:paraId="1167DC94" w14:textId="471E28A0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 forte </w:t>
      </w:r>
      <w:r w:rsidRPr="5092C94C" w:rsidR="0F9FB446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Reputação Acadêmica</w:t>
      </w:r>
      <w:r w:rsidRPr="5092C94C" w:rsidR="0F9FB446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reforça a influência acadêmica do Brasil, com a USP e a Unicamp figurando entre as 100 melhores do mundo</w:t>
      </w:r>
      <w:r w:rsidRPr="5092C94C" w:rsidR="0F9FB446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neste indicador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</w:p>
    <w:p w:rsidRPr="006168C8" w:rsidR="004125CF" w:rsidP="5092C94C" w:rsidRDefault="24F55489" w14:paraId="5885DF00" w14:textId="044E8E2E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5DE83FDA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 internacionalização continua sendo uma fraqueza estrutural, com nenhuma universidade brasileira classificada 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>acima da 800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>ª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 xml:space="preserve"> posi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>çã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>o</w:t>
      </w:r>
      <w:r w:rsidRPr="5092C94C" w:rsidR="0F9FB446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>globalmente n</w:t>
      </w:r>
      <w:r w:rsidRPr="5092C94C" w:rsidR="0F9FB446">
        <w:rPr>
          <w:rFonts w:ascii="Calibri" w:hAnsi="Calibri" w:eastAsia="Calibri" w:cs="Calibri"/>
          <w:sz w:val="22"/>
          <w:szCs w:val="22"/>
          <w:lang w:val="pt-BR"/>
        </w:rPr>
        <w:t>a</w:t>
      </w:r>
      <w:r w:rsidRPr="5092C94C" w:rsidR="5DE83FDA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0F9FB446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>Proporção de Docentes Internacionais</w:t>
      </w:r>
      <w:r w:rsidRPr="5092C94C" w:rsidR="0F9FB446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104ACD56">
        <w:rPr>
          <w:rFonts w:ascii="Calibri" w:hAnsi="Calibri" w:eastAsia="Calibri" w:cs="Calibri"/>
          <w:sz w:val="22"/>
          <w:szCs w:val="22"/>
          <w:lang w:val="pt-BR"/>
        </w:rPr>
        <w:t xml:space="preserve">e apenas uma entre as 800 melhores </w:t>
      </w:r>
      <w:r w:rsidRPr="5092C94C" w:rsidR="0F9FB446">
        <w:rPr>
          <w:rFonts w:ascii="Calibri" w:hAnsi="Calibri" w:eastAsia="Calibri" w:cs="Calibri"/>
          <w:sz w:val="22"/>
          <w:szCs w:val="22"/>
          <w:lang w:val="pt-BR"/>
        </w:rPr>
        <w:t xml:space="preserve">na </w:t>
      </w:r>
      <w:r w:rsidRPr="5092C94C" w:rsidR="0F9FB446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>Proporção de Estudantes Internacionais</w:t>
      </w:r>
      <w:r w:rsidRPr="5092C94C" w:rsidR="104ACD56">
        <w:rPr>
          <w:rFonts w:ascii="Calibri" w:hAnsi="Calibri" w:eastAsia="Calibri" w:cs="Calibri"/>
          <w:noProof/>
          <w:sz w:val="22"/>
          <w:szCs w:val="22"/>
          <w:lang w:val="pt-BR"/>
        </w:rPr>
        <w:t>.</w:t>
      </w:r>
    </w:p>
    <w:p w:rsidRPr="006168C8" w:rsidR="004125CF" w:rsidP="5092C94C" w:rsidRDefault="004125CF" w14:paraId="22C8D68C" w14:textId="0C21EB90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 competitividade do Brasil em pesquisa enfrenta </w:t>
      </w:r>
      <w:r w:rsidRPr="5092C94C" w:rsidR="2CB12ABA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pressão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à medida que seus pares </w:t>
      </w:r>
      <w:r w:rsidRPr="5092C94C" w:rsidR="2CB12ABA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globais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fortalecem visibilidade </w:t>
      </w:r>
      <w:r w:rsidRPr="5092C94C" w:rsidR="2CB12ABA">
        <w:rPr>
          <w:rFonts w:ascii="Calibri" w:hAnsi="Calibri" w:eastAsia="Calibri" w:cs="Calibri"/>
          <w:noProof/>
          <w:sz w:val="22"/>
          <w:szCs w:val="22"/>
          <w:lang w:val="pt-BR"/>
        </w:rPr>
        <w:t>e impacto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redes de colaboração e </w:t>
      </w:r>
      <w:r w:rsidRPr="5092C94C" w:rsidR="2CB12ABA">
        <w:rPr>
          <w:rFonts w:ascii="Calibri" w:hAnsi="Calibri" w:eastAsia="Calibri" w:cs="Calibri"/>
          <w:noProof/>
          <w:sz w:val="22"/>
          <w:szCs w:val="22"/>
          <w:lang w:val="pt-BR"/>
        </w:rPr>
        <w:t>citações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</w:p>
    <w:p w:rsidRPr="006168C8" w:rsidR="004125CF" w:rsidP="5092C94C" w:rsidRDefault="004125CF" w14:paraId="0DDB80A5" w14:textId="7A3AD978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O investimento federal planejado em parcerias internacionais e mobilidade sinaliza uma resposta política </w:t>
      </w:r>
      <w:r w:rsidRPr="5092C94C" w:rsidR="0F9FB446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assertiva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às crescentes pressões competitivas globais. </w:t>
      </w:r>
    </w:p>
    <w:p w:rsidRPr="006168C8" w:rsidR="004125CF" w:rsidP="5092C94C" w:rsidRDefault="004125CF" w14:paraId="610A695A" w14:textId="796C1896">
      <w:pPr>
        <w:pStyle w:val="paragraph"/>
        <w:numPr>
          <w:ilvl w:val="0"/>
          <w:numId w:val="25"/>
        </w:numPr>
        <w:spacing w:after="160" w:afterAutospacing="off" w:line="360" w:lineRule="auto"/>
        <w:ind w:left="714" w:hanging="357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Os </w:t>
      </w:r>
      <w:r w:rsidRPr="5092C94C" w:rsidR="0F9FB446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Resultados de Emprego</w:t>
      </w:r>
      <w:r w:rsidRPr="5092C94C" w:rsidR="0F9FB446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continuam sendo um ponto forte relativo, sugerindo que as universidades brasileiras continuam formando graduados com influência global, apesar do reconhecimento mais fraco por parte dos empregadores.</w:t>
      </w:r>
    </w:p>
    <w:p w:rsidRPr="006168C8" w:rsidR="004125CF" w:rsidP="5092C94C" w:rsidRDefault="00654BFC" w14:paraId="5C2007A3" w14:textId="0A4B4A1D">
      <w:pPr>
        <w:pStyle w:val="paragraph"/>
        <w:spacing w:after="160" w:afterAutospacing="off" w:line="360" w:lineRule="auto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4A17F89F">
        <w:rPr>
          <w:rFonts w:ascii="Calibri" w:hAnsi="Calibri" w:eastAsia="Calibri" w:cs="Calibri"/>
          <w:b w:val="1"/>
          <w:bCs w:val="1"/>
          <w:noProof/>
          <w:sz w:val="22"/>
          <w:szCs w:val="22"/>
          <w:lang w:val="pt-BR"/>
        </w:rPr>
        <w:t xml:space="preserve">O vice-presidente sênior da QS, Ben Sowter, </w:t>
      </w:r>
      <w:r w:rsidRPr="5092C94C" w:rsidR="0F9FB446">
        <w:rPr>
          <w:rFonts w:ascii="Calibri" w:hAnsi="Calibri" w:eastAsia="Calibri" w:cs="Calibri"/>
          <w:b w:val="1"/>
          <w:bCs w:val="1"/>
          <w:noProof/>
          <w:sz w:val="22"/>
          <w:szCs w:val="22"/>
          <w:lang w:val="pt-BR"/>
        </w:rPr>
        <w:t>afirma</w:t>
      </w:r>
      <w:r w:rsidRPr="5092C94C" w:rsidR="4A17F89F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: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“Os resultados do Brasil no último QS World University Rankings refletem a crescente pressão sobre as universidades do país para converter sua </w:t>
      </w:r>
      <w:r w:rsidRPr="5092C94C" w:rsidR="0F9FB446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Reputação Acadêmica</w:t>
      </w:r>
      <w:r w:rsidRPr="5092C94C" w:rsidR="0F9FB446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de longa data em maior visibilidade internacional em pesquisa e atração de talentos. O 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contínuo declínio da Universidade de São Paulo no ranking ocorre no momento em que</w:t>
      </w:r>
      <w:r w:rsidRPr="5092C94C" w:rsidR="0F9FB446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o </w:t>
      </w:r>
      <w:hyperlink r:id="R9655a59996c64d36">
        <w:r w:rsidRPr="5092C94C" w:rsidR="0F9FB446">
          <w:rPr>
            <w:rStyle w:val="Hyperlink"/>
            <w:rFonts w:ascii="Calibri" w:hAnsi="Calibri" w:eastAsia="Calibri" w:cs="Calibri"/>
            <w:noProof/>
            <w:sz w:val="22"/>
            <w:szCs w:val="22"/>
            <w:lang w:val="pt-BR"/>
          </w:rPr>
          <w:t>Plano Nacional de Pós-Graduação</w:t>
        </w:r>
        <w:r w:rsidRPr="5092C94C" w:rsidR="081BDC00">
          <w:rPr>
            <w:rStyle w:val="Hyperlink"/>
            <w:rFonts w:ascii="Calibri" w:hAnsi="Calibri" w:eastAsia="Calibri" w:cs="Calibri"/>
            <w:noProof/>
            <w:sz w:val="22"/>
            <w:szCs w:val="22"/>
            <w:lang w:val="pt-BR"/>
          </w:rPr>
          <w:t xml:space="preserve"> 2025–2029</w:t>
        </w:r>
      </w:hyperlink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do Brasil prioriza a internacionalização, a colaboração em pesquisa e o desenvolvimento científico regional, enquanto o </w:t>
      </w:r>
      <w:hyperlink r:id="R7d3927c9d55447db">
        <w:r w:rsidRPr="5092C94C" w:rsidR="081BDC00">
          <w:rPr>
            <w:rStyle w:val="Hyperlink"/>
            <w:rFonts w:ascii="Calibri" w:hAnsi="Calibri" w:eastAsia="Calibri" w:cs="Calibri"/>
            <w:noProof/>
            <w:sz w:val="22"/>
            <w:szCs w:val="22"/>
            <w:lang w:val="pt-BR"/>
          </w:rPr>
          <w:t>programa CAPES-Global.edu</w:t>
        </w:r>
      </w:hyperlink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busca expandir parcerias no exterior e a mobilidade acadêmica por meio de um investimento anual planejado de R$ 350 milhões em redes internacionais de pesquisa. Apesar do desempenho mais fraco em citações e corpo docente internacional, instituições como a USP e a Unicamp continuam apresentando forte desempenho em </w:t>
      </w:r>
      <w:r w:rsidRPr="5092C94C" w:rsidR="081BDC00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Reputação Acadêmica</w:t>
      </w:r>
      <w:r w:rsidRPr="5092C94C" w:rsidR="081BDC00">
        <w:rPr>
          <w:rFonts w:ascii="Calibri" w:hAnsi="Calibri" w:eastAsia="Calibri" w:cs="Calibri"/>
          <w:noProof/>
          <w:sz w:val="22"/>
          <w:szCs w:val="22"/>
          <w:lang w:val="pt-BR"/>
        </w:rPr>
        <w:t>, sugerindo que o Brasil mantém influência global significativa, mesmo com o aumento das pressões competitivas em todo o setor latino-americano.”</w:t>
      </w:r>
    </w:p>
    <w:p w:rsidRPr="006168C8" w:rsidR="00A7244A" w:rsidP="5092C94C" w:rsidRDefault="00654BFC" w14:paraId="78876404" w14:textId="4E4DC712">
      <w:pPr>
        <w:pStyle w:val="paragraph"/>
        <w:spacing w:before="0" w:beforeAutospacing="off" w:after="160" w:afterAutospacing="off" w:line="360" w:lineRule="auto"/>
        <w:textAlignment w:val="baseline"/>
        <w:rPr>
          <w:rFonts w:ascii="Calibri" w:hAnsi="Calibri" w:eastAsia="Calibri" w:cs="Calibri"/>
          <w:b w:val="1"/>
          <w:bCs w:val="1"/>
          <w:noProof/>
          <w:sz w:val="22"/>
          <w:szCs w:val="22"/>
          <w:u w:val="single"/>
          <w:lang w:val="pt-BR"/>
        </w:rPr>
      </w:pPr>
      <w:r w:rsidRPr="5092C94C" w:rsidR="4A17F89F">
        <w:rPr>
          <w:rFonts w:ascii="Calibri" w:hAnsi="Calibri" w:eastAsia="Calibri" w:cs="Calibri"/>
          <w:b w:val="1"/>
          <w:bCs w:val="1"/>
          <w:noProof/>
          <w:sz w:val="22"/>
          <w:szCs w:val="22"/>
          <w:u w:val="single"/>
          <w:lang w:val="pt-BR"/>
        </w:rPr>
        <w:t>Visão geral do Brasil</w:t>
      </w:r>
    </w:p>
    <w:p w:rsidRPr="006168C8" w:rsidR="004125CF" w:rsidP="5092C94C" w:rsidRDefault="00AE7474" w14:paraId="7B14E624" w14:textId="32A6E736">
      <w:pPr>
        <w:pStyle w:val="paragraph"/>
        <w:spacing w:before="0" w:beforeAutospacing="off" w:after="160" w:afterAutospacing="off" w:line="360" w:lineRule="auto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6C20DEE8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O ranking deste ano apresenta mais de 1.500 universidades em 106 sistemas de ensino superior. O Brasil continua sendo o sistema de ensino superior mais representado na América Latina, com 22 universidades classificadas e a USP na terceira posição </w:t>
      </w:r>
      <w:r w:rsidRPr="5092C94C" w:rsidR="35F87923">
        <w:rPr>
          <w:rFonts w:ascii="Calibri" w:hAnsi="Calibri" w:eastAsia="Calibri" w:cs="Calibri"/>
          <w:noProof/>
          <w:sz w:val="22"/>
          <w:szCs w:val="22"/>
          <w:lang w:val="pt-BR"/>
        </w:rPr>
        <w:t>da região</w:t>
      </w:r>
      <w:r w:rsidRPr="5092C94C" w:rsidR="6C20DEE8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atrás da 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Universidade de Buenos Aires (UBA)</w:t>
      </w:r>
      <w:r w:rsidRPr="5092C94C" w:rsidR="3DD2875E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em</w:t>
      </w:r>
      <w:r w:rsidRPr="5092C94C" w:rsidR="3DD2875E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84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º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 xml:space="preserve"> lugar</w:t>
      </w:r>
      <w:r w:rsidRPr="5092C94C" w:rsidR="3DD2875E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globalmente, e da Pontifícia Universidade Católica do Chile (UC),</w:t>
      </w:r>
      <w:r w:rsidRPr="5092C94C" w:rsidR="3DD2875E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em</w:t>
      </w:r>
      <w:r w:rsidRPr="5092C94C" w:rsidR="3DD2875E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119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>º</w:t>
      </w:r>
      <w:r w:rsidRPr="5092C94C" w:rsidR="6C20DEE8">
        <w:rPr>
          <w:rFonts w:ascii="Calibri" w:hAnsi="Calibri" w:eastAsia="Calibri" w:cs="Calibri"/>
          <w:sz w:val="22"/>
          <w:szCs w:val="22"/>
          <w:lang w:val="pt-BR"/>
        </w:rPr>
        <w:t xml:space="preserve"> lugar</w:t>
      </w:r>
      <w:r w:rsidRPr="5092C94C" w:rsidR="6C20DEE8">
        <w:rPr>
          <w:rFonts w:ascii="Calibri" w:hAnsi="Calibri" w:eastAsia="Calibri" w:cs="Calibri"/>
          <w:noProof/>
          <w:sz w:val="22"/>
          <w:szCs w:val="22"/>
          <w:lang w:val="pt-BR"/>
        </w:rPr>
        <w:t>.</w:t>
      </w:r>
    </w:p>
    <w:tbl>
      <w:tblPr>
        <w:tblW w:w="10669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1075"/>
        <w:gridCol w:w="850"/>
        <w:gridCol w:w="627"/>
        <w:gridCol w:w="680"/>
        <w:gridCol w:w="624"/>
        <w:gridCol w:w="2210"/>
        <w:gridCol w:w="1186"/>
        <w:gridCol w:w="437"/>
        <w:gridCol w:w="140"/>
        <w:gridCol w:w="437"/>
        <w:gridCol w:w="130"/>
        <w:gridCol w:w="437"/>
        <w:gridCol w:w="130"/>
        <w:gridCol w:w="582"/>
        <w:gridCol w:w="130"/>
        <w:gridCol w:w="7"/>
      </w:tblGrid>
      <w:tr w:rsidRPr="006168C8" w:rsidR="00A539AD" w:rsidTr="5092C94C" w14:paraId="43EEF0BB" w14:textId="77777777">
        <w:trPr>
          <w:trHeight w:val="300"/>
          <w:jc w:val="center"/>
        </w:trPr>
        <w:tc>
          <w:tcPr>
            <w:tcW w:w="106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A539AD" w:rsidP="5092C94C" w:rsidRDefault="331E2B03" w14:paraId="204CF8BB" w14:textId="48AC92B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  <w:t>Tabela 2: América Latina – Principais sistemas de ensino superior por número total de universidades classificadas</w:t>
            </w:r>
          </w:p>
        </w:tc>
      </w:tr>
      <w:tr w:rsidRPr="006168C8" w:rsidR="00A539AD" w:rsidTr="5092C94C" w14:paraId="6BC7A99E" w14:textId="77777777">
        <w:trPr>
          <w:gridAfter w:val="1"/>
          <w:wAfter w:w="7" w:type="dxa"/>
          <w:trHeight w:val="109"/>
          <w:jc w:val="center"/>
        </w:trPr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0961BC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Sistema de Ensino Superior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00E05EEF" w14:paraId="59B3DBE8" w14:textId="1DE02BB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0F9FB446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Classificadas (Total)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00E05EEF" w14:paraId="64084BD7" w14:textId="38D2D28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0F9FB446">
              <w:rPr>
                <w:rFonts w:ascii="Calibri" w:hAnsi="Calibri" w:eastAsia="Calibri" w:cs="Calibri"/>
                <w:b w:val="1"/>
                <w:bCs w:val="1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Aumento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008C5260" w14:paraId="2D525AE9" w14:textId="776BD0E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Igual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B767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Queda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1A5BC85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Novo 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4E218B4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Melhores universidades</w:t>
            </w:r>
          </w:p>
        </w:tc>
        <w:tc>
          <w:tcPr>
            <w:tcW w:w="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7E9A65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Top 100 </w:t>
            </w: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99F5F9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Top 200 </w:t>
            </w: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223647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Top 500 </w:t>
            </w:r>
          </w:p>
        </w:tc>
        <w:tc>
          <w:tcPr>
            <w:tcW w:w="7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2D335E7" w14:textId="133321C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Top 1000</w:t>
            </w:r>
          </w:p>
        </w:tc>
      </w:tr>
      <w:tr w:rsidRPr="00CD08C8" w:rsidR="00A539AD" w:rsidTr="5092C94C" w14:paraId="2D34A873" w14:textId="77777777">
        <w:trPr>
          <w:gridAfter w:val="2"/>
          <w:wAfter w:w="137" w:type="dxa"/>
          <w:trHeight w:val="197"/>
          <w:jc w:val="center"/>
        </w:trPr>
        <w:tc>
          <w:tcPr>
            <w:tcW w:w="987" w:type="dxa"/>
            <w:vMerge/>
            <w:tcMar/>
            <w:vAlign w:val="center"/>
            <w:hideMark/>
          </w:tcPr>
          <w:p w:rsidRPr="00CD08C8" w:rsidR="00A539AD" w:rsidP="00A539AD" w:rsidRDefault="00A539AD" w14:paraId="65C31645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1075" w:type="dxa"/>
            <w:vMerge/>
            <w:tcMar/>
            <w:vAlign w:val="center"/>
            <w:hideMark/>
          </w:tcPr>
          <w:p w:rsidRPr="00CD08C8" w:rsidR="00A539AD" w:rsidP="00A539AD" w:rsidRDefault="00A539AD" w14:paraId="083A4949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850" w:type="dxa"/>
            <w:vMerge/>
            <w:tcMar/>
            <w:vAlign w:val="center"/>
            <w:hideMark/>
          </w:tcPr>
          <w:p w:rsidRPr="00CD08C8" w:rsidR="00A539AD" w:rsidP="00A539AD" w:rsidRDefault="00A539AD" w14:paraId="3F1A1E6E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627" w:type="dxa"/>
            <w:vMerge/>
            <w:tcMar/>
            <w:vAlign w:val="center"/>
            <w:hideMark/>
          </w:tcPr>
          <w:p w:rsidRPr="00CD08C8" w:rsidR="00A539AD" w:rsidP="00A539AD" w:rsidRDefault="00A539AD" w14:paraId="680E428B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680" w:type="dxa"/>
            <w:vMerge/>
            <w:tcMar/>
            <w:vAlign w:val="center"/>
            <w:hideMark/>
          </w:tcPr>
          <w:p w:rsidRPr="00CD08C8" w:rsidR="00A539AD" w:rsidP="00A539AD" w:rsidRDefault="00A539AD" w14:paraId="061BAD82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624" w:type="dxa"/>
            <w:vMerge/>
            <w:tcMar/>
            <w:vAlign w:val="center"/>
            <w:hideMark/>
          </w:tcPr>
          <w:p w:rsidRPr="00CD08C8" w:rsidR="00A539AD" w:rsidP="00A539AD" w:rsidRDefault="00A539AD" w14:paraId="6EDC13FD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0BF7C0D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Nome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3AAE536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Classificação</w:t>
            </w:r>
          </w:p>
        </w:tc>
        <w:tc>
          <w:tcPr>
            <w:tcW w:w="437" w:type="dxa"/>
            <w:tcMar/>
            <w:vAlign w:val="center"/>
            <w:hideMark/>
          </w:tcPr>
          <w:p w:rsidRPr="00CD08C8" w:rsidR="00A539AD" w:rsidP="5092C94C" w:rsidRDefault="00A539AD" w14:paraId="4CC3231C" w14:textId="777777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577" w:type="dxa"/>
            <w:gridSpan w:val="2"/>
            <w:tcMar/>
            <w:vAlign w:val="center"/>
            <w:hideMark/>
          </w:tcPr>
          <w:p w:rsidRPr="00CD08C8" w:rsidR="00A539AD" w:rsidP="5092C94C" w:rsidRDefault="00A539AD" w14:paraId="7526D0F2" w14:textId="777777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567" w:type="dxa"/>
            <w:gridSpan w:val="2"/>
            <w:tcMar/>
            <w:vAlign w:val="center"/>
            <w:hideMark/>
          </w:tcPr>
          <w:p w:rsidRPr="00CD08C8" w:rsidR="00A539AD" w:rsidP="5092C94C" w:rsidRDefault="00A539AD" w14:paraId="6D2AC3B4" w14:textId="777777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712" w:type="dxa"/>
            <w:gridSpan w:val="2"/>
            <w:tcMar/>
            <w:vAlign w:val="center"/>
            <w:hideMark/>
          </w:tcPr>
          <w:p w:rsidRPr="00CD08C8" w:rsidR="00A539AD" w:rsidP="5092C94C" w:rsidRDefault="00A539AD" w14:paraId="1CA2D0E5" w14:textId="777777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</w:tr>
      <w:tr w:rsidRPr="006168C8" w:rsidR="00A539AD" w:rsidTr="5092C94C" w14:paraId="25896EDD" w14:textId="77777777">
        <w:trPr>
          <w:gridAfter w:val="1"/>
          <w:wAfter w:w="7" w:type="dxa"/>
          <w:trHeight w:val="300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82F13A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Brasil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111B9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FFD707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8D094B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36%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4E62A9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64%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CFDA5D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69D137F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1A5C3A4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133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F335BF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05C5E8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02A38A0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6F2393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10</w:t>
            </w:r>
          </w:p>
        </w:tc>
      </w:tr>
      <w:tr w:rsidRPr="006168C8" w:rsidR="00A539AD" w:rsidTr="5092C94C" w14:paraId="29F72157" w14:textId="77777777">
        <w:trPr>
          <w:gridAfter w:val="1"/>
          <w:wAfter w:w="7" w:type="dxa"/>
          <w:trHeight w:val="300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46EDF2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México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C732D2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99869D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17%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672239A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39%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70B55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44%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8C9A35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6A8C2A7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Nacional Autônoma do México (UNAM)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1E467D7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145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1148DED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39A451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05A1CF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C14EDE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8</w:t>
            </w:r>
          </w:p>
        </w:tc>
      </w:tr>
      <w:tr w:rsidRPr="006168C8" w:rsidR="00A539AD" w:rsidTr="5092C94C" w14:paraId="298998D8" w14:textId="77777777">
        <w:trPr>
          <w:gridAfter w:val="1"/>
          <w:wAfter w:w="7" w:type="dxa"/>
          <w:trHeight w:val="300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08C6D47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Chile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ED15BC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0BAC1E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7AC8D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41%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1B8CE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59%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9DFA58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23DD7AA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Pontifícia Universidade Católica do Chile (UC)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02B7B11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119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C107C7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F83D0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EDA059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0D163F5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7</w:t>
            </w:r>
          </w:p>
        </w:tc>
      </w:tr>
      <w:tr w:rsidRPr="006168C8" w:rsidR="00A539AD" w:rsidTr="5092C94C" w14:paraId="1F51DBAF" w14:textId="77777777">
        <w:trPr>
          <w:gridAfter w:val="1"/>
          <w:wAfter w:w="7" w:type="dxa"/>
          <w:trHeight w:val="300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1EB969F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Argentina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A22035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15E7E53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7%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7C5083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33%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7E145D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60%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5840BB3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465C229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Buenos Aires (UBA)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57A72E3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84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3A461B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1444DD9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0F5508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E1F3C1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6</w:t>
            </w:r>
          </w:p>
        </w:tc>
      </w:tr>
      <w:tr w:rsidRPr="006168C8" w:rsidR="00A539AD" w:rsidTr="5092C94C" w14:paraId="1BDB2ACE" w14:textId="77777777">
        <w:trPr>
          <w:gridAfter w:val="1"/>
          <w:wAfter w:w="7" w:type="dxa"/>
          <w:trHeight w:val="300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265966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Colômbia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E48A2E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339D259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0%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EB8173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17%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675FF23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83%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66DB581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07CFEBE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dos Andes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A539AD" w:rsidP="5092C94C" w:rsidRDefault="331E2B03" w14:paraId="4E99226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233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63C9B96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CDBC65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2655E55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A539AD" w:rsidP="5092C94C" w:rsidRDefault="331E2B03" w14:paraId="484BB7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14FF4760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5</w:t>
            </w:r>
          </w:p>
        </w:tc>
      </w:tr>
    </w:tbl>
    <w:p w:rsidRPr="006168C8" w:rsidR="00A539AD" w:rsidP="5092C94C" w:rsidRDefault="00A539AD" w14:paraId="6BCB94EA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</w:p>
    <w:p w:rsidRPr="006168C8" w:rsidR="008C5260" w:rsidP="5092C94C" w:rsidRDefault="404C0837" w14:paraId="49AA3F83" w14:textId="60255391">
      <w:pPr>
        <w:rPr>
          <w:rFonts w:ascii="Calibri" w:hAnsi="Calibri" w:eastAsia="Calibri" w:cs="Calibri"/>
        </w:rPr>
      </w:pPr>
      <w:r w:rsidRPr="5092C94C" w:rsidR="17A445C8">
        <w:rPr>
          <w:rFonts w:ascii="Calibri" w:hAnsi="Calibri" w:eastAsia="Calibri" w:cs="Calibri"/>
          <w:noProof/>
          <w:sz w:val="22"/>
          <w:szCs w:val="22"/>
          <w:lang w:val="pt-BR"/>
        </w:rPr>
        <w:t>O QS World University Rankings é determinado pelas pontuações de uma instituição em nove indicadores-chave.</w:t>
      </w:r>
      <w:r w:rsidRPr="5092C94C" w:rsidR="7104FE3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</w:t>
      </w:r>
      <w:r w:rsidRPr="5092C94C" w:rsidR="3DD2875E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</w:t>
      </w:r>
      <w:r w:rsidRPr="5092C94C" w:rsidR="17A445C8">
        <w:rPr>
          <w:rFonts w:ascii="Calibri" w:hAnsi="Calibri" w:eastAsia="Calibri" w:cs="Calibri"/>
          <w:noProof/>
          <w:sz w:val="22"/>
          <w:szCs w:val="22"/>
          <w:lang w:val="pt-BR"/>
        </w:rPr>
        <w:t>A tabela abaixo mostra a universidade brasileira com melhor desempenho em cada indicador</w:t>
      </w:r>
      <w:r w:rsidRPr="5092C94C" w:rsidR="50E351DC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com destaque para a </w:t>
      </w:r>
      <w:r w:rsidRPr="5092C94C" w:rsidR="50E351DC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Reputação Acadêmica</w:t>
      </w:r>
      <w:r w:rsidRPr="5092C94C" w:rsidR="50E351DC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enquanto a </w:t>
      </w:r>
      <w:r w:rsidRPr="5092C94C" w:rsidR="50E351DC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Proporção de Estudantes Internacionais</w:t>
      </w:r>
      <w:r w:rsidRPr="5092C94C" w:rsidR="50E351DC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é o único indicador em que </w:t>
      </w:r>
      <w:r w:rsidRPr="5092C94C" w:rsidR="7104FE34">
        <w:rPr>
          <w:rFonts w:ascii="Calibri" w:hAnsi="Calibri" w:eastAsia="Calibri" w:cs="Calibri"/>
          <w:noProof/>
          <w:sz w:val="22"/>
          <w:szCs w:val="22"/>
          <w:lang w:val="pt-BR"/>
        </w:rPr>
        <w:t>instituições nacionais</w:t>
      </w:r>
      <w:r w:rsidRPr="5092C94C" w:rsidR="50E351DC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alcança</w:t>
      </w:r>
      <w:r w:rsidRPr="5092C94C" w:rsidR="7104FE34">
        <w:rPr>
          <w:rFonts w:ascii="Calibri" w:hAnsi="Calibri" w:eastAsia="Calibri" w:cs="Calibri"/>
          <w:noProof/>
          <w:sz w:val="22"/>
          <w:szCs w:val="22"/>
          <w:lang w:val="pt-BR"/>
        </w:rPr>
        <w:t>m</w:t>
      </w:r>
      <w:r w:rsidRPr="5092C94C" w:rsidR="50E351DC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ganhos líquidos, embora moderados. </w:t>
      </w:r>
      <w:r w:rsidRPr="5092C94C" w:rsidR="332A1C8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 USP é líder na América Latina em três indicadores, incluindo </w:t>
      </w:r>
      <w:r w:rsidRPr="5092C94C" w:rsidR="332A1C80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Citações por Docente</w:t>
      </w:r>
      <w:r w:rsidRPr="5092C94C" w:rsidR="332A1C8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</w:t>
      </w:r>
      <w:r w:rsidRPr="5092C94C" w:rsidR="332A1C80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Rede Internacional de Pesquisa</w:t>
      </w:r>
      <w:r w:rsidRPr="5092C94C" w:rsidR="332A1C8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e </w:t>
      </w:r>
      <w:r w:rsidRPr="5092C94C" w:rsidR="332A1C80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Sustentabilidade</w:t>
      </w:r>
      <w:r w:rsidRPr="5092C94C" w:rsidR="332A1C8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  <w:r w:rsidRPr="5092C94C" w:rsidR="17A445C8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Informações metodológicas detalhadas podem ser encontradas </w:t>
      </w:r>
      <w:hyperlink r:id="R41006e85cb4d45b8">
        <w:r w:rsidRPr="5092C94C" w:rsidR="17A445C8">
          <w:rPr>
            <w:rStyle w:val="Hyperlink"/>
            <w:rFonts w:ascii="Calibri" w:hAnsi="Calibri" w:eastAsia="Calibri" w:cs="Calibri"/>
            <w:noProof/>
            <w:sz w:val="22"/>
            <w:szCs w:val="22"/>
            <w:u w:val="none"/>
            <w:lang w:val="pt-BR"/>
          </w:rPr>
          <w:t>aqui</w:t>
        </w:r>
      </w:hyperlink>
      <w:r w:rsidRPr="5092C94C" w:rsidR="7104FE3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(em inglês)</w:t>
      </w:r>
      <w:r w:rsidRPr="5092C94C" w:rsidR="17A445C8">
        <w:rPr>
          <w:rFonts w:ascii="Calibri" w:hAnsi="Calibri" w:eastAsia="Calibri" w:cs="Calibri"/>
          <w:noProof/>
          <w:sz w:val="22"/>
          <w:szCs w:val="22"/>
          <w:lang w:val="pt-BR"/>
        </w:rPr>
        <w:t>.</w:t>
      </w:r>
      <w:r w:rsidRPr="5092C94C" w:rsidR="7104FE34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 xml:space="preserve"> </w:t>
      </w:r>
    </w:p>
    <w:tbl>
      <w:tblPr>
        <w:tblW w:w="1134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020"/>
        <w:gridCol w:w="850"/>
        <w:gridCol w:w="624"/>
        <w:gridCol w:w="680"/>
        <w:gridCol w:w="964"/>
        <w:gridCol w:w="964"/>
        <w:gridCol w:w="1986"/>
        <w:gridCol w:w="1077"/>
        <w:gridCol w:w="1192"/>
        <w:gridCol w:w="11"/>
      </w:tblGrid>
      <w:tr w:rsidRPr="006168C8" w:rsidR="00F736A1" w:rsidTr="5092C94C" w14:paraId="1CD5D1A6" w14:textId="77777777">
        <w:trPr>
          <w:trHeight w:val="285"/>
          <w:jc w:val="center"/>
        </w:trPr>
        <w:tc>
          <w:tcPr>
            <w:tcW w:w="113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6168C8" w:rsidR="00F736A1" w:rsidP="5092C94C" w:rsidRDefault="00F736A1" w14:paraId="5485673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  <w:t>Tabela 3: Brasil – Detalhamento dos indicadores</w:t>
            </w:r>
          </w:p>
        </w:tc>
      </w:tr>
      <w:tr w:rsidRPr="006168C8" w:rsidR="008C5260" w:rsidTr="5092C94C" w14:paraId="686F00B7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51D87BE9" w14:textId="777777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Indicador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791672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Ponderação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6D3C6F02" w14:textId="6C1D5ED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Aumento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427BA254" w14:textId="534232B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Igual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1C0F3B12" w14:textId="754B5B5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Queda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0F59F11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Pontuação média global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D08C8" w:rsidR="008C5260" w:rsidP="5092C94C" w:rsidRDefault="008C5260" w14:paraId="0883BBA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Pontuação média nacional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8C5260" w:rsidP="5092C94C" w:rsidRDefault="008C5260" w14:paraId="40C1DE0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Melhores universidades</w:t>
            </w:r>
          </w:p>
        </w:tc>
      </w:tr>
      <w:tr w:rsidRPr="006168C8" w:rsidR="00F736A1" w:rsidTr="5092C94C" w14:paraId="71E5B203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vMerge/>
            <w:tcMar/>
            <w:vAlign w:val="center"/>
            <w:hideMark/>
          </w:tcPr>
          <w:p w:rsidRPr="00CD08C8" w:rsidR="00F736A1" w:rsidP="008C5260" w:rsidRDefault="00F736A1" w14:paraId="057B4E57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1020" w:type="dxa"/>
            <w:vMerge/>
            <w:tcMar/>
            <w:vAlign w:val="center"/>
            <w:hideMark/>
          </w:tcPr>
          <w:p w:rsidRPr="00CD08C8" w:rsidR="00F736A1" w:rsidP="00F736A1" w:rsidRDefault="00F736A1" w14:paraId="66791B9F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850" w:type="dxa"/>
            <w:vMerge/>
            <w:tcMar/>
            <w:vAlign w:val="center"/>
            <w:hideMark/>
          </w:tcPr>
          <w:p w:rsidRPr="00CD08C8" w:rsidR="00F736A1" w:rsidP="00F736A1" w:rsidRDefault="00F736A1" w14:paraId="4F258F8F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624" w:type="dxa"/>
            <w:vMerge/>
            <w:tcMar/>
            <w:vAlign w:val="center"/>
            <w:hideMark/>
          </w:tcPr>
          <w:p w:rsidRPr="00CD08C8" w:rsidR="00F736A1" w:rsidP="00F736A1" w:rsidRDefault="00F736A1" w14:paraId="6F0130E5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680" w:type="dxa"/>
            <w:vMerge/>
            <w:tcMar/>
            <w:vAlign w:val="center"/>
            <w:hideMark/>
          </w:tcPr>
          <w:p w:rsidRPr="00CD08C8" w:rsidR="00F736A1" w:rsidP="00F736A1" w:rsidRDefault="00F736A1" w14:paraId="1BBDBA21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964" w:type="dxa"/>
            <w:vMerge/>
            <w:tcMar/>
            <w:vAlign w:val="center"/>
            <w:hideMark/>
          </w:tcPr>
          <w:p w:rsidRPr="00CD08C8" w:rsidR="00F736A1" w:rsidP="00F736A1" w:rsidRDefault="00F736A1" w14:paraId="589A3E0E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964" w:type="dxa"/>
            <w:vMerge/>
            <w:tcMar/>
            <w:vAlign w:val="center"/>
            <w:hideMark/>
          </w:tcPr>
          <w:p w:rsidRPr="00CD08C8" w:rsidR="00F736A1" w:rsidP="00F736A1" w:rsidRDefault="00F736A1" w14:paraId="304B9686" w14:textId="77777777">
            <w:pPr>
              <w:spacing w:after="0" w:line="240" w:lineRule="auto"/>
              <w:rPr>
                <w:rFonts w:ascii="PP Telegraf" w:hAnsi="PP Telegraf" w:eastAsia="Times New Roman" w:cs="Calibri"/>
                <w:b/>
                <w:bCs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D08C8" w:rsidR="00F736A1" w:rsidP="5092C94C" w:rsidRDefault="00F736A1" w14:paraId="5EDA5A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Nome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D08C8" w:rsidR="00F736A1" w:rsidP="5092C94C" w:rsidRDefault="00F736A1" w14:paraId="79D5DAC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Classificação do indicador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D08C8" w:rsidR="00F736A1" w:rsidP="5092C94C" w:rsidRDefault="00F736A1" w14:paraId="1C36805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Classificação geral</w:t>
            </w:r>
          </w:p>
        </w:tc>
      </w:tr>
      <w:tr w:rsidRPr="006168C8" w:rsidR="00F736A1" w:rsidTr="5092C94C" w14:paraId="006CF27E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13EB1055" w14:textId="75BEFBE0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Reputação </w:t>
            </w: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Acadêmica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3BDE4E7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A741C6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14%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337306C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55%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ED77B7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32%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BA99F5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25,7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5537FA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29,1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6F555E2B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390A876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39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63F9C7A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133</w:t>
            </w:r>
          </w:p>
        </w:tc>
      </w:tr>
      <w:tr w:rsidRPr="006168C8" w:rsidR="00F736A1" w:rsidTr="5092C94C" w14:paraId="4775927D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6E9F6E50" w14:textId="459FC020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Reputação </w:t>
            </w: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entre Empregadores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7557E92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4898465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14D096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73%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11E639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27%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5DF5B8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4C6B19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13,2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5598CBFF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61D6C80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07C5B9C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133</w:t>
            </w:r>
          </w:p>
        </w:tc>
      </w:tr>
      <w:tr w:rsidRPr="006168C8" w:rsidR="00F736A1" w:rsidTr="5092C94C" w14:paraId="37590E2A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048194EA" w14:textId="724AB34B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Proporção </w:t>
            </w: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de Docentes por Estudante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7A3A7DC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30F7C1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9%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BBC1BF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64%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6A88D8E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27%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1EF5BC0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33,3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43C506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28E49DA3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Federal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65804E7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47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064F9D7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801-850</w:t>
            </w:r>
          </w:p>
        </w:tc>
      </w:tr>
      <w:tr w:rsidRPr="006168C8" w:rsidR="00F736A1" w:rsidTr="5092C94C" w14:paraId="0D04DBD4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6E81279D" w14:textId="67241433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Citações por </w:t>
            </w: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Docente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6BD9A16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1710DD1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7CFE362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64%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3F7194D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36%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3671D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30,9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5F3B43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12,6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11554E6B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10AE07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534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7F5C250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133</w:t>
            </w:r>
          </w:p>
        </w:tc>
      </w:tr>
      <w:tr w:rsidRPr="006168C8" w:rsidR="00F736A1" w:rsidTr="5092C94C" w14:paraId="5E9C405A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8C5260" w14:paraId="0E7211AF" w14:textId="27DA35D1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Proporção de Docentes Internacionais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491D2CD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7F4EB5E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9A66CA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95%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0A288B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664F7E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36,9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6A88388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5,6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06EE8A4A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Todas as entradas no ranking de indicadores abaixo de 801+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083BDF2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801+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7BED6DDA" w14:textId="6940E74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</w:p>
        </w:tc>
      </w:tr>
      <w:tr w:rsidRPr="006168C8" w:rsidR="00F736A1" w:rsidTr="5092C94C" w14:paraId="444099F7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8C5260" w14:paraId="2B5D95C9" w14:textId="53FE00F9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Proporção de Estudantes Internacionais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404818B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8E9C08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A8C124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95%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AA4E9D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0%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3AC50C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34,1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4A38A1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3,2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10F50C6B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Federal do Paraná - UFPR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23EA0E9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761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653F30D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1001-1200</w:t>
            </w:r>
          </w:p>
        </w:tc>
      </w:tr>
      <w:tr w:rsidRPr="006168C8" w:rsidR="00F736A1" w:rsidTr="5092C94C" w14:paraId="3782CC2D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7D5F82FA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Rede Internacional de Pesquisa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430A0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6885E1A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14%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732E04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45%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47783D9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41%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6ADFCAF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56,2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679F19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2F353C7E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285E681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48CB3A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133</w:t>
            </w:r>
          </w:p>
        </w:tc>
      </w:tr>
      <w:tr w:rsidRPr="006168C8" w:rsidR="00F736A1" w:rsidTr="5092C94C" w14:paraId="2D6AED18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2FDFA44E" w14:textId="77E80E3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 xml:space="preserve">Resultados de </w:t>
            </w:r>
            <w:r w:rsidRPr="5092C94C" w:rsidR="7104FE34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Emprego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31AF028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200C5B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14%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12AED58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36%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8435FA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50%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2BB99D4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31,2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0AD3803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30,3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6EE991A5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1185497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41607B6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133</w:t>
            </w:r>
          </w:p>
        </w:tc>
      </w:tr>
      <w:tr w:rsidRPr="006168C8" w:rsidR="00F736A1" w:rsidTr="5092C94C" w14:paraId="311436D2" w14:textId="77777777">
        <w:trPr>
          <w:gridAfter w:val="1"/>
          <w:wAfter w:w="11" w:type="dxa"/>
          <w:trHeight w:val="300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D08C8" w:rsidR="00F736A1" w:rsidP="5092C94C" w:rsidRDefault="00F736A1" w14:paraId="7A1680EA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Sustentabilidade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4C5C90F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1632F6A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27%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3C2E30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27%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530B51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45%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74310F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56,4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168C8" w:rsidR="00F736A1" w:rsidP="5092C94C" w:rsidRDefault="00F736A1" w14:paraId="1933434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53,8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CD08C8" w:rsidR="00F736A1" w:rsidP="5092C94C" w:rsidRDefault="00F736A1" w14:paraId="5EA8D621" w14:textId="77777777">
            <w:pPr>
              <w:spacing w:after="0" w:line="240" w:lineRule="auto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  <w:t>Universidade de São Paulo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0E2B99F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91=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6168C8" w:rsidR="00F736A1" w:rsidP="5092C94C" w:rsidRDefault="00F736A1" w14:paraId="39BD5FE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5092C94C" w:rsidR="749C3B93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133</w:t>
            </w:r>
          </w:p>
        </w:tc>
      </w:tr>
    </w:tbl>
    <w:p w:rsidRPr="006168C8" w:rsidR="00F736A1" w:rsidP="5092C94C" w:rsidRDefault="00F736A1" w14:paraId="1796B63C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</w:p>
    <w:p w:rsidRPr="006168C8" w:rsidR="008C5260" w:rsidP="5092C94C" w:rsidRDefault="008C5260" w14:paraId="5ADAD10F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</w:p>
    <w:p w:rsidRPr="006168C8" w:rsidR="008C5260" w:rsidP="5092C94C" w:rsidRDefault="008C5260" w14:paraId="01A6B10E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</w:p>
    <w:p w:rsidRPr="006168C8" w:rsidR="005A7EAF" w:rsidP="5092C94C" w:rsidRDefault="0D986411" w14:paraId="549D114A" w14:textId="2C868633">
      <w:pPr>
        <w:pStyle w:val="paragraph"/>
        <w:spacing w:before="0" w:beforeAutospacing="off" w:after="160" w:afterAutospacing="off" w:line="360" w:lineRule="auto"/>
        <w:textAlignment w:val="baseline"/>
        <w:rPr>
          <w:rFonts w:ascii="Calibri" w:hAnsi="Calibri" w:eastAsia="Calibri" w:cs="Calibri"/>
          <w:b w:val="1"/>
          <w:bCs w:val="1"/>
          <w:noProof/>
          <w:sz w:val="22"/>
          <w:szCs w:val="22"/>
          <w:u w:val="single"/>
          <w:lang w:val="pt-BR"/>
        </w:rPr>
      </w:pPr>
      <w:r w:rsidRPr="5092C94C" w:rsidR="72052F95">
        <w:rPr>
          <w:rFonts w:ascii="Calibri" w:hAnsi="Calibri" w:eastAsia="Calibri" w:cs="Calibri"/>
          <w:b w:val="1"/>
          <w:bCs w:val="1"/>
          <w:noProof/>
          <w:sz w:val="22"/>
          <w:szCs w:val="22"/>
          <w:u w:val="single"/>
          <w:lang w:val="pt-BR"/>
        </w:rPr>
        <w:t>Foco no Brasil</w:t>
      </w:r>
    </w:p>
    <w:p w:rsidRPr="006168C8" w:rsidR="70DC2C14" w:rsidP="5092C94C" w:rsidRDefault="70DC2C14" w14:paraId="39D13353" w14:textId="53B976EF">
      <w:pPr>
        <w:pStyle w:val="paragraph"/>
        <w:numPr>
          <w:ilvl w:val="0"/>
          <w:numId w:val="17"/>
        </w:numPr>
        <w:spacing w:before="0" w:beforeAutospacing="off" w:after="160" w:afterAutospacing="off" w:line="360" w:lineRule="auto"/>
        <w:rPr>
          <w:rFonts w:ascii="Calibri" w:hAnsi="Calibri" w:eastAsia="Calibri" w:cs="Calibri"/>
          <w:noProof/>
          <w:color w:val="1D1D1B"/>
          <w:sz w:val="22"/>
          <w:szCs w:val="22"/>
          <w:lang w:val="pt-BR"/>
        </w:rPr>
      </w:pPr>
      <w:r w:rsidRPr="5092C94C" w:rsidR="6DCA5345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 USP é líder na América Latina tanto em </w:t>
      </w:r>
      <w:r w:rsidRPr="5092C94C" w:rsidR="6DCA5345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Rede Internacional de Pesquisa</w:t>
      </w:r>
      <w:r w:rsidRPr="5092C94C" w:rsidR="6DCA5345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quanto em </w:t>
      </w:r>
      <w:r w:rsidRPr="5092C94C" w:rsidR="6DCA5345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Citações por Docente</w:t>
      </w:r>
      <w:r w:rsidRPr="5092C94C" w:rsidR="6DCA5345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No entanto, 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>a</w:t>
      </w:r>
      <w:r w:rsidRPr="5092C94C" w:rsidR="7104FE34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>534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>ª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 xml:space="preserve"> posi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>çã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 xml:space="preserve">o em </w:t>
      </w:r>
      <w:r w:rsidRPr="5092C94C" w:rsidR="6DCA5345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>Citações por Docente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 xml:space="preserve"> reflete um desafio sistêmico para as universidades latino-americanas. Ainda assim, o Brasil continua sendo o centro de pesquisa da região, com quatro das cinco universidades mais bem</w:t>
      </w:r>
      <w:r w:rsidRPr="5092C94C" w:rsidR="67E08C87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 xml:space="preserve">classificadas da América Latina no indicador de </w:t>
      </w:r>
      <w:r w:rsidRPr="5092C94C" w:rsidR="6DCA5345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>Citações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 xml:space="preserve"> localizadas no</w:t>
      </w:r>
      <w:r w:rsidRPr="5092C94C" w:rsidR="6DCA5345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país.</w:t>
      </w:r>
    </w:p>
    <w:p w:rsidRPr="006168C8" w:rsidR="70DC2C14" w:rsidP="5092C94C" w:rsidRDefault="70DC2C14" w14:paraId="369F4006" w14:textId="2BFC5E35">
      <w:pPr>
        <w:pStyle w:val="ListParagraph"/>
        <w:numPr>
          <w:ilvl w:val="0"/>
          <w:numId w:val="17"/>
        </w:numPr>
        <w:spacing/>
        <w:contextualSpacing w:val="0"/>
        <w:rPr>
          <w:rFonts w:ascii="Calibri" w:hAnsi="Calibri" w:eastAsia="Calibri" w:cs="Calibri"/>
          <w:noProof/>
          <w:color w:val="000000" w:themeColor="text1"/>
          <w:sz w:val="22"/>
          <w:szCs w:val="22"/>
          <w:lang w:val="pt-BR" w:eastAsia="en-GB"/>
        </w:rPr>
      </w:pPr>
      <w:r w:rsidRPr="5092C94C" w:rsidR="6DCA5345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Enquanto isso, uma queda acentuada na </w:t>
      </w:r>
      <w:r w:rsidRPr="5092C94C" w:rsidR="6DCA5345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Rede Internacional de Pesquisa</w:t>
      </w:r>
      <w:r w:rsidRPr="5092C94C" w:rsidR="6DCA5345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faz com que 41% das instituições brasileiras caiam 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>nessa área. A Universidade de São Paulo é uma das três instituições a subir nesse indicador, alcançando a 58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>ª</w:t>
      </w:r>
      <w:r w:rsidRPr="5092C94C" w:rsidR="67E08C87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/>
        </w:rPr>
        <w:t xml:space="preserve">posição. A universidade com a segunda melhor classificação, 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a Universidade Federal do Rio de Janeiro, ocupa a 320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ª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posição, enquanto a UNESP é a quinta no Brasil e sobe para a 427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ª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 xml:space="preserve"> posi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çã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o.</w:t>
      </w:r>
    </w:p>
    <w:p w:rsidRPr="006168C8" w:rsidR="70DC2C14" w:rsidP="5092C94C" w:rsidRDefault="70DC2C14" w14:paraId="66547E36" w14:textId="5951A0AD">
      <w:pPr>
        <w:pStyle w:val="ListParagraph"/>
        <w:numPr>
          <w:ilvl w:val="0"/>
          <w:numId w:val="17"/>
        </w:numPr>
        <w:spacing/>
        <w:contextualSpacing w:val="0"/>
        <w:rPr>
          <w:rFonts w:ascii="Calibri" w:hAnsi="Calibri" w:eastAsia="Calibri" w:cs="Calibri"/>
          <w:sz w:val="22"/>
          <w:szCs w:val="22"/>
          <w:lang w:val="pt-BR" w:eastAsia="en-GB"/>
        </w:rPr>
      </w:pPr>
      <w:r w:rsidRPr="5092C94C" w:rsidR="6DCA5345">
        <w:rPr>
          <w:rFonts w:ascii="Calibri" w:hAnsi="Calibri" w:eastAsia="Calibri" w:cs="Calibri"/>
          <w:noProof/>
          <w:color w:val="000000" w:themeColor="text1" w:themeTint="FF" w:themeShade="FF"/>
          <w:sz w:val="22"/>
          <w:szCs w:val="22"/>
          <w:lang w:val="pt-BR" w:eastAsia="en-GB"/>
        </w:rPr>
        <w:t xml:space="preserve">Apesar desses desafios de pesquisa, o indicador de maior sucesso do Brasil é a </w:t>
      </w:r>
      <w:r w:rsidRPr="5092C94C" w:rsidR="6DCA5345">
        <w:rPr>
          <w:rFonts w:ascii="Calibri" w:hAnsi="Calibri" w:eastAsia="Calibri" w:cs="Calibri"/>
          <w:i w:val="1"/>
          <w:iCs w:val="1"/>
          <w:noProof/>
          <w:color w:val="000000" w:themeColor="text1" w:themeTint="FF" w:themeShade="FF"/>
          <w:sz w:val="22"/>
          <w:szCs w:val="22"/>
          <w:lang w:val="pt-BR" w:eastAsia="en-GB"/>
        </w:rPr>
        <w:t>Reputação Acadêmica</w:t>
      </w:r>
      <w:r w:rsidRPr="5092C94C" w:rsidR="6DCA5345">
        <w:rPr>
          <w:rFonts w:ascii="Calibri" w:hAnsi="Calibri" w:eastAsia="Calibri" w:cs="Calibri"/>
          <w:noProof/>
          <w:color w:val="000000" w:themeColor="text1" w:themeTint="FF" w:themeShade="FF"/>
          <w:sz w:val="22"/>
          <w:szCs w:val="22"/>
          <w:lang w:val="pt-BR" w:eastAsia="en-GB"/>
        </w:rPr>
        <w:t xml:space="preserve">, que é o único indicador em que duas universidades brasileiras figuram entre as 100 melhores do mundo, com a Universidade de 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São Paulo em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39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º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 xml:space="preserve"> lugar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e a Universidade Estadual de Campinas (Unicamp) em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98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º</w:t>
      </w:r>
      <w:r w:rsidRPr="5092C94C" w:rsidR="6DCA5345">
        <w:rPr>
          <w:rFonts w:ascii="Calibri" w:hAnsi="Calibri" w:eastAsia="Calibri" w:cs="Calibri"/>
          <w:sz w:val="22"/>
          <w:szCs w:val="22"/>
          <w:lang w:val="pt-BR" w:eastAsia="en-GB"/>
        </w:rPr>
        <w:t>.</w:t>
      </w:r>
    </w:p>
    <w:p w:rsidRPr="006168C8" w:rsidR="00A539AD" w:rsidP="5092C94C" w:rsidRDefault="7D2AD9A6" w14:paraId="5E67A27C" w14:textId="7251E6E3">
      <w:pPr>
        <w:pStyle w:val="paragraph"/>
        <w:numPr>
          <w:ilvl w:val="0"/>
          <w:numId w:val="17"/>
        </w:numPr>
        <w:spacing w:before="0" w:beforeAutospacing="off" w:after="160" w:afterAutospacing="off" w:line="360" w:lineRule="auto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11A5AF0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A </w:t>
      </w:r>
      <w:r w:rsidRPr="5092C94C" w:rsidR="11A5AF09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 xml:space="preserve">Reputação </w:t>
      </w:r>
      <w:r w:rsidRPr="5092C94C" w:rsidR="67E08C87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entre</w:t>
      </w:r>
      <w:r w:rsidRPr="5092C94C" w:rsidR="11A5AF09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 xml:space="preserve"> Empregadores</w:t>
      </w:r>
      <w:r w:rsidRPr="5092C94C" w:rsidR="11A5AF0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representa um desafio para </w:t>
      </w:r>
      <w:r w:rsidRPr="5092C94C" w:rsidR="65C6AE8C">
        <w:rPr>
          <w:rFonts w:ascii="Calibri" w:hAnsi="Calibri" w:eastAsia="Calibri" w:cs="Calibri"/>
          <w:noProof/>
          <w:sz w:val="22"/>
          <w:szCs w:val="22"/>
          <w:lang w:val="pt-BR"/>
        </w:rPr>
        <w:t>as universidades</w:t>
      </w:r>
      <w:r w:rsidRPr="5092C94C" w:rsidR="11A5AF0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brasileiras, sugerindo que elas enfrentam dificuldades para formar graduados qualificados e prontos para o mercado de trabalho que causem impacto </w:t>
      </w:r>
      <w:r w:rsidRPr="5092C94C" w:rsidR="293DFC72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nas </w:t>
      </w:r>
      <w:r w:rsidRPr="5092C94C" w:rsidR="11A5AF09">
        <w:rPr>
          <w:rFonts w:ascii="Calibri" w:hAnsi="Calibri" w:eastAsia="Calibri" w:cs="Calibri"/>
          <w:noProof/>
          <w:sz w:val="22"/>
          <w:szCs w:val="22"/>
          <w:lang w:val="pt-BR"/>
        </w:rPr>
        <w:t>carreiras</w:t>
      </w:r>
      <w:r w:rsidRPr="5092C94C" w:rsidR="293DFC72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 escolhidas</w:t>
      </w:r>
      <w:r w:rsidRPr="5092C94C" w:rsidR="11A5AF0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  <w:r w:rsidRPr="5092C94C" w:rsidR="7F1ABF1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No entanto, no indicador </w:t>
      </w:r>
      <w:r w:rsidRPr="5092C94C" w:rsidR="7F1ABF14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Resultados de Emprego</w:t>
      </w:r>
      <w:r w:rsidRPr="5092C94C" w:rsidR="7F1ABF1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três universidades estão entre as 200 melhores, </w:t>
      </w:r>
      <w:r w:rsidRPr="5092C94C" w:rsidR="061231E3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tornando-o </w:t>
      </w:r>
      <w:r w:rsidRPr="5092C94C" w:rsidR="6D1E9D4E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o indicador de melhor desempenho </w:t>
      </w:r>
      <w:r w:rsidRPr="5092C94C" w:rsidR="061231E3">
        <w:rPr>
          <w:rFonts w:ascii="Calibri" w:hAnsi="Calibri" w:eastAsia="Calibri" w:cs="Calibri"/>
          <w:noProof/>
          <w:sz w:val="22"/>
          <w:szCs w:val="22"/>
          <w:lang w:val="pt-BR"/>
        </w:rPr>
        <w:t>do Brasil</w:t>
      </w:r>
      <w:r w:rsidRPr="5092C94C" w:rsidR="7F1ABF1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ao lado da </w:t>
      </w:r>
      <w:r w:rsidRPr="5092C94C" w:rsidR="7F1ABF14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Reputação Acadêmica</w:t>
      </w:r>
      <w:r w:rsidRPr="5092C94C" w:rsidR="56E6559F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Isso </w:t>
      </w:r>
      <w:r w:rsidRPr="5092C94C" w:rsidR="2F76ACD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sugere </w:t>
      </w:r>
      <w:r w:rsidRPr="5092C94C" w:rsidR="7F1ABF14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que os graduados seguem carreiras influentes e de alto nível </w:t>
      </w:r>
      <w:r w:rsidRPr="5092C94C" w:rsidR="71439E00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e </w:t>
      </w:r>
      <w:r w:rsidRPr="5092C94C" w:rsidR="7F1ABF14">
        <w:rPr>
          <w:rFonts w:ascii="Calibri" w:hAnsi="Calibri" w:eastAsia="Calibri" w:cs="Calibri"/>
          <w:noProof/>
          <w:sz w:val="22"/>
          <w:szCs w:val="22"/>
          <w:lang w:val="pt-BR"/>
        </w:rPr>
        <w:t>indica que as universidades podem estar formando graduados de qualidade e prontos para o mercado de trabalho</w:t>
      </w:r>
      <w:r w:rsidRPr="5092C94C" w:rsidR="44622143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No entanto, </w:t>
      </w:r>
      <w:r w:rsidRPr="5092C94C" w:rsidR="7F1ABF14">
        <w:rPr>
          <w:rFonts w:ascii="Calibri" w:hAnsi="Calibri" w:eastAsia="Calibri" w:cs="Calibri"/>
          <w:noProof/>
          <w:sz w:val="22"/>
          <w:szCs w:val="22"/>
          <w:lang w:val="pt-BR"/>
        </w:rPr>
        <w:t>isso ainda não se traduziu em renome internacional.</w:t>
      </w:r>
    </w:p>
    <w:p w:rsidRPr="006168C8" w:rsidR="00EA4475" w:rsidP="5092C94C" w:rsidRDefault="4252D240" w14:paraId="3C2D9AE0" w14:textId="72DB3167">
      <w:pPr>
        <w:pStyle w:val="paragraph"/>
        <w:numPr>
          <w:ilvl w:val="0"/>
          <w:numId w:val="17"/>
        </w:numPr>
        <w:spacing w:before="0" w:beforeAutospacing="off" w:after="160" w:afterAutospacing="off" w:line="360" w:lineRule="auto"/>
        <w:textAlignment w:val="baseline"/>
        <w:rPr>
          <w:rFonts w:ascii="Calibri" w:hAnsi="Calibri" w:eastAsia="Calibri" w:cs="Calibri"/>
          <w:noProof/>
          <w:sz w:val="22"/>
          <w:szCs w:val="22"/>
          <w:lang w:val="pt-BR"/>
        </w:rPr>
      </w:pPr>
      <w:r w:rsidRPr="5092C94C" w:rsidR="64F1269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Os indicadores de internacionalização representam um grande desafio para as universidades brasileiras. No ranking de </w:t>
      </w:r>
      <w:r w:rsidRPr="5092C94C" w:rsidR="67E08C87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 xml:space="preserve">Proporção </w:t>
      </w:r>
      <w:r w:rsidRPr="5092C94C" w:rsidR="64F12699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 xml:space="preserve">de </w:t>
      </w:r>
      <w:r w:rsidRPr="5092C94C" w:rsidR="67E08C87">
        <w:rPr>
          <w:rFonts w:ascii="Calibri" w:hAnsi="Calibri" w:eastAsia="Calibri" w:cs="Calibri"/>
          <w:i w:val="1"/>
          <w:iCs w:val="1"/>
          <w:noProof/>
          <w:sz w:val="22"/>
          <w:szCs w:val="22"/>
          <w:lang w:val="pt-BR"/>
        </w:rPr>
        <w:t>Estudantes Internacionais</w:t>
      </w:r>
      <w:r w:rsidRPr="5092C94C" w:rsidR="64F1269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, a universidade melhor classificada, </w:t>
      </w:r>
      <w:r w:rsidRPr="5092C94C" w:rsidR="1F7364BC">
        <w:rPr>
          <w:rFonts w:ascii="Calibri" w:hAnsi="Calibri" w:eastAsia="Calibri" w:cs="Calibri"/>
          <w:noProof/>
          <w:sz w:val="22"/>
          <w:szCs w:val="22"/>
          <w:lang w:val="pt-BR"/>
        </w:rPr>
        <w:t>a Universidade Federal do Paraná (UFPR</w:t>
      </w:r>
      <w:r w:rsidRPr="5092C94C" w:rsidR="18FA7DA8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), 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ocupa a 761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ª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 xml:space="preserve"> posi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çã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o,</w:t>
      </w:r>
      <w:r w:rsidRPr="5092C94C" w:rsidR="67E08C87">
        <w:rPr>
          <w:rFonts w:ascii="Calibri" w:hAnsi="Calibri" w:eastAsia="Calibri" w:cs="Calibri"/>
          <w:sz w:val="22"/>
          <w:szCs w:val="22"/>
          <w:lang w:val="pt-BR"/>
        </w:rPr>
        <w:t xml:space="preserve"> 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 xml:space="preserve">enquanto </w:t>
      </w:r>
      <w:r w:rsidRPr="5092C94C" w:rsidR="67E08C87">
        <w:rPr>
          <w:rFonts w:ascii="Calibri" w:hAnsi="Calibri" w:eastAsia="Calibri" w:cs="Calibri"/>
          <w:sz w:val="22"/>
          <w:szCs w:val="22"/>
          <w:lang w:val="pt-BR"/>
        </w:rPr>
        <w:t xml:space="preserve">que 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 xml:space="preserve">no ranking de </w:t>
      </w:r>
      <w:r w:rsidRPr="5092C94C" w:rsidR="67E08C87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 xml:space="preserve">Proporção </w:t>
      </w:r>
      <w:r w:rsidRPr="5092C94C" w:rsidR="64F12699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 xml:space="preserve">de </w:t>
      </w:r>
      <w:r w:rsidRPr="5092C94C" w:rsidR="67E08C87">
        <w:rPr>
          <w:rFonts w:ascii="Calibri" w:hAnsi="Calibri" w:eastAsia="Calibri" w:cs="Calibri"/>
          <w:i w:val="1"/>
          <w:iCs w:val="1"/>
          <w:sz w:val="22"/>
          <w:szCs w:val="22"/>
          <w:lang w:val="pt-BR"/>
        </w:rPr>
        <w:t>Docentes Internacionais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 xml:space="preserve">, nenhuma </w:t>
      </w:r>
      <w:r w:rsidRPr="5092C94C" w:rsidR="18FA7DA8">
        <w:rPr>
          <w:rFonts w:ascii="Calibri" w:hAnsi="Calibri" w:eastAsia="Calibri" w:cs="Calibri"/>
          <w:sz w:val="22"/>
          <w:szCs w:val="22"/>
          <w:lang w:val="pt-BR"/>
        </w:rPr>
        <w:t xml:space="preserve">universidade brasileira aparece 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acima da 800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ª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 xml:space="preserve"> posi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çã</w:t>
      </w:r>
      <w:r w:rsidRPr="5092C94C" w:rsidR="64F12699">
        <w:rPr>
          <w:rFonts w:ascii="Calibri" w:hAnsi="Calibri" w:eastAsia="Calibri" w:cs="Calibri"/>
          <w:sz w:val="22"/>
          <w:szCs w:val="22"/>
          <w:lang w:val="pt-BR"/>
        </w:rPr>
        <w:t>o. Isso sugere que o Brasil enfrenta dificuldades para promover suas universidades no exterior e atrair talentos internacionais</w:t>
      </w:r>
      <w:r w:rsidRPr="5092C94C" w:rsidR="64F12699">
        <w:rPr>
          <w:rFonts w:ascii="Calibri" w:hAnsi="Calibri" w:eastAsia="Calibri" w:cs="Calibri"/>
          <w:noProof/>
          <w:sz w:val="22"/>
          <w:szCs w:val="22"/>
          <w:lang w:val="pt-BR"/>
        </w:rPr>
        <w:t xml:space="preserve">. </w:t>
      </w:r>
    </w:p>
    <w:p w:rsidRPr="006168C8" w:rsidR="00062106" w:rsidP="5092C94C" w:rsidRDefault="00062106" w14:paraId="42442429" w14:textId="144899BC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u w:val="single"/>
          <w:lang w:val="pt-BR" w:eastAsia="en-GB"/>
          <w14:ligatures w14:val="none"/>
        </w:rPr>
        <w:t>Tendências globais</w:t>
      </w:r>
    </w:p>
    <w:p w:rsidRPr="006168C8" w:rsidR="00062106" w:rsidP="5092C94C" w:rsidRDefault="00062106" w14:paraId="4B2C2311" w14:textId="77777777">
      <w:pPr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Pelo décimo quinto ano consecutivo,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o Instituto de Tecnologia de Massachusetts (MIT)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mantém o primeiro lugar.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O Imperial College London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permanece em segundo lugar pelo terceiro ano consecutivo, agora dividindo a posição com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a Universidade de Stanford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, que subiu da terceira para a segunda posição, após ter ficado em sexto lugar no ano anterior. A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Universidade de Oxford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e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a Universidade de Harvard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permanecem em quarto e quinto lugares, respectivamente.  </w:t>
      </w:r>
    </w:p>
    <w:p w:rsidRPr="006168C8" w:rsidR="00062106" w:rsidP="5092C94C" w:rsidRDefault="00062106" w14:paraId="774A2BC6" w14:textId="0709BA64">
      <w:pPr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Ao lado dos EUA e do Reino Unido, a Suíça e </w:t>
      </w:r>
      <w:r w:rsidRPr="5092C94C" w:rsidR="67E08C87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S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ingapura são os únicos outros sistemas de ensino superior presentes no top 10, com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a ETH Zurich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em oitavo lugar, caindo da sétima posição, e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a Universidade Nacional de </w:t>
      </w:r>
      <w:r w:rsidRPr="5092C94C" w:rsidR="67E08C87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S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ingapura (NUS)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em décimo, caindo da oitava</w:t>
      </w:r>
      <w:r w:rsidRPr="5092C94C" w:rsidR="67E08C87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 posição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.  </w:t>
      </w:r>
    </w:p>
    <w:p w:rsidRPr="006168C8" w:rsidR="00062106" w:rsidP="5092C94C" w:rsidRDefault="00062106" w14:paraId="737E3AA5" w14:textId="661D3492">
      <w:pPr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Não há </w:t>
      </w:r>
      <w:r w:rsidRPr="5092C94C" w:rsidR="67E08C87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estreias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 entre as 10 melhores do mundo, enquanto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a Universidade de Yale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,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a Universidade Chinesa de Hong Kong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e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a Universidade </w:t>
      </w:r>
      <w:r w:rsidRPr="5092C94C" w:rsidR="02094F39">
        <w:rPr>
          <w:rFonts w:ascii="Calibri" w:hAnsi="Calibri" w:eastAsia="Calibri" w:cs="Calibri"/>
          <w:b w:val="1"/>
          <w:bCs w:val="1"/>
          <w:sz w:val="22"/>
          <w:szCs w:val="22"/>
          <w:lang w:val="pt-BR" w:eastAsia="en-GB"/>
        </w:rPr>
        <w:t>Johns Hopkins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 xml:space="preserve"> entram no top 20, ocupando a 16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ª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,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18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ª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e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20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ª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posições,</w:t>
      </w:r>
      <w:r w:rsidRPr="5092C94C" w:rsidR="67E08C87">
        <w:rPr>
          <w:rFonts w:ascii="Calibri" w:hAnsi="Calibri" w:eastAsia="Calibri" w:cs="Calibri"/>
          <w:sz w:val="22"/>
          <w:szCs w:val="22"/>
          <w:lang w:val="pt-BR" w:eastAsia="en-GB"/>
        </w:rPr>
        <w:t xml:space="preserve"> </w:t>
      </w:r>
      <w:r w:rsidRPr="5092C94C" w:rsidR="02094F39">
        <w:rPr>
          <w:rFonts w:ascii="Calibri" w:hAnsi="Calibri" w:eastAsia="Calibri" w:cs="Calibri"/>
          <w:sz w:val="22"/>
          <w:szCs w:val="22"/>
          <w:lang w:val="pt-BR" w:eastAsia="en-GB"/>
        </w:rPr>
        <w:t>respectivamente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.  </w:t>
      </w:r>
    </w:p>
    <w:p w:rsidRPr="006168C8" w:rsidR="00062106" w:rsidP="5092C94C" w:rsidRDefault="00062106" w14:paraId="4C9CC58D" w14:textId="01A835A8">
      <w:pPr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Os Estados Unidos são o sistema de ensino superior mais representado, com 184 universidades classificadas, seguidos pelo Reino Unido, com</w:t>
      </w:r>
      <w:r w:rsidRPr="5092C94C" w:rsidR="755D49DC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 93,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e pela China continental, com 85. A China continental é o país com o maior número de novas instituições classificadas, com 13, seguida pela Alemanha, com 11, e pela Espanha, com 10.  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1095"/>
        <w:gridCol w:w="3195"/>
        <w:gridCol w:w="1980"/>
      </w:tblGrid>
      <w:tr w:rsidRPr="008953EC" w:rsidR="00062106" w:rsidTr="5092C94C" w14:paraId="6011A06A" w14:textId="77777777">
        <w:trPr>
          <w:trHeight w:val="285"/>
          <w:jc w:val="center"/>
        </w:trPr>
        <w:tc>
          <w:tcPr>
            <w:tcW w:w="7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35538492" w14:textId="6124D836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  <w:t>Tabela</w:t>
            </w:r>
            <w:r w:rsidRPr="5092C94C" w:rsidR="081BDC00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4</w:t>
            </w: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20"/>
                <w:szCs w:val="20"/>
                <w:lang w:val="pt-BR" w:eastAsia="en-GB"/>
                <w14:ligatures w14:val="none"/>
              </w:rPr>
              <w:t>: Top 10 global  </w:t>
            </w:r>
          </w:p>
        </w:tc>
      </w:tr>
      <w:tr w:rsidRPr="008953EC" w:rsidR="00062106" w:rsidTr="5092C94C" w14:paraId="32FDA65D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953EC" w:rsidR="00062106" w:rsidP="5092C94C" w:rsidRDefault="00B07E7F" w14:paraId="1F43F85F" w14:textId="250E6B2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Classificação em 2027  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953EC" w:rsidR="00062106" w:rsidP="5092C94C" w:rsidRDefault="00062106" w14:paraId="0D9C23A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Classificação em 2026  </w:t>
            </w:r>
          </w:p>
        </w:tc>
        <w:tc>
          <w:tcPr>
            <w:tcW w:w="3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953EC" w:rsidR="00062106" w:rsidP="5092C94C" w:rsidRDefault="00062106" w14:paraId="3A0FF6DD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Instituição  </w:t>
            </w:r>
          </w:p>
        </w:tc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953EC" w:rsidR="00062106" w:rsidP="5092C94C" w:rsidRDefault="00062106" w14:paraId="117E3D2D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Local  </w:t>
            </w:r>
          </w:p>
        </w:tc>
      </w:tr>
      <w:tr w:rsidRPr="008953EC" w:rsidR="00062106" w:rsidTr="5092C94C" w14:paraId="2BC57E03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7E40E6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130996B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71E758F2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Instituto de Tecnologia de Massachusetts (MIT)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34C28C9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Estados Unidos da América  </w:t>
            </w:r>
          </w:p>
        </w:tc>
      </w:tr>
      <w:tr w:rsidRPr="008953EC" w:rsidR="00062106" w:rsidTr="5092C94C" w14:paraId="202FE23C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2800E8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15B96DC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3  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05B4B832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Universidade de Stanford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010B0E4A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Estados Unidos da América  </w:t>
            </w:r>
          </w:p>
        </w:tc>
      </w:tr>
      <w:tr w:rsidRPr="008953EC" w:rsidR="00062106" w:rsidTr="5092C94C" w14:paraId="4215A518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6806D7D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699403E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2  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6E658E93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Imperial College London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91B9450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Reino Unido  </w:t>
            </w:r>
          </w:p>
        </w:tc>
      </w:tr>
      <w:tr w:rsidRPr="008953EC" w:rsidR="00062106" w:rsidTr="5092C94C" w14:paraId="4F738C23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36B500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4  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6E8F86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28D55B0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Universidade de Oxford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31D2079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Reino Unido  </w:t>
            </w:r>
          </w:p>
        </w:tc>
      </w:tr>
      <w:tr w:rsidRPr="008953EC" w:rsidR="00062106" w:rsidTr="5092C94C" w14:paraId="66F86191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1ED3EDD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35708E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5  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7CFD2C34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Universidade de Harvard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1795C021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Estados Unidos da América  </w:t>
            </w:r>
          </w:p>
        </w:tc>
      </w:tr>
      <w:tr w:rsidRPr="008953EC" w:rsidR="00062106" w:rsidTr="5092C94C" w14:paraId="14F1B11E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61C3DEA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6  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32408FF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6  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71E0E461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Universidade de Cambridge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BA646A9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Reino Unido  </w:t>
            </w:r>
          </w:p>
        </w:tc>
      </w:tr>
      <w:tr w:rsidRPr="008953EC" w:rsidR="00062106" w:rsidTr="5092C94C" w14:paraId="02750C3C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172478B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7  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6D37830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10  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05AB9EF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Instituto de Tecnologia da Califórnia (Caltech)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23FED66E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Estados Unidos da América  </w:t>
            </w:r>
          </w:p>
        </w:tc>
      </w:tr>
      <w:tr w:rsidRPr="008953EC" w:rsidR="00062106" w:rsidTr="5092C94C" w14:paraId="4EBE2C7D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F631E3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8  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788AAAE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9  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7ACA3920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UCL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3AFE743D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Reino Unido  </w:t>
            </w:r>
          </w:p>
        </w:tc>
      </w:tr>
      <w:tr w:rsidRPr="008953EC" w:rsidR="00062106" w:rsidTr="5092C94C" w14:paraId="068C6FCD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70BD999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8  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34B9279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7  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3E2FC210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ETH Zurique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934B83A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Suíça  </w:t>
            </w:r>
          </w:p>
        </w:tc>
      </w:tr>
      <w:tr w:rsidRPr="008953EC" w:rsidR="00062106" w:rsidTr="5092C94C" w14:paraId="0E09969F" w14:textId="77777777">
        <w:trPr>
          <w:trHeight w:val="285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54A9C01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10  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0F3A600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8  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062106" w14:paraId="4D821507" w14:textId="799C8D68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 xml:space="preserve">Universidade Nacional de </w:t>
            </w:r>
            <w:r w:rsidRPr="5092C94C" w:rsidR="67E08C87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S</w:t>
            </w: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ingapura (NUS) 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8953EC" w:rsidR="00062106" w:rsidP="5092C94C" w:rsidRDefault="00B07E7F" w14:paraId="126D8164" w14:textId="2D0CB404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S</w:t>
            </w:r>
            <w:r w:rsidRPr="5092C94C" w:rsidR="02094F39">
              <w:rPr>
                <w:rFonts w:ascii="Calibri" w:hAnsi="Calibri" w:eastAsia="Calibri" w:cs="Calibri"/>
                <w:noProof/>
                <w:kern w:val="0"/>
                <w:sz w:val="16"/>
                <w:szCs w:val="16"/>
                <w:lang w:val="pt-BR" w:eastAsia="en-GB"/>
                <w14:ligatures w14:val="none"/>
              </w:rPr>
              <w:t>ingapura  </w:t>
            </w:r>
          </w:p>
        </w:tc>
      </w:tr>
    </w:tbl>
    <w:p w:rsidRPr="006168C8" w:rsidR="00062106" w:rsidP="5092C94C" w:rsidRDefault="00062106" w14:paraId="5988B47B" w14:textId="77777777">
      <w:pPr>
        <w:rPr>
          <w:rFonts w:ascii="Calibri" w:hAnsi="Calibri" w:eastAsia="Calibri" w:cs="Calibri"/>
          <w:noProof/>
          <w:color w:val="1D1D1B"/>
          <w:kern w:val="0"/>
          <w:sz w:val="20"/>
          <w:szCs w:val="20"/>
          <w:lang w:val="pt-BR" w:eastAsia="en-GB"/>
          <w14:ligatures w14:val="none"/>
        </w:rPr>
      </w:pPr>
    </w:p>
    <w:p w:rsidRPr="006168C8" w:rsidR="00062106" w:rsidP="5092C94C" w:rsidRDefault="7C7ADFD6" w14:paraId="17652A8A" w14:textId="77777777">
      <w:pPr>
        <w:textAlignment w:val="baseline"/>
        <w:rPr>
          <w:rFonts w:ascii="Calibri" w:hAnsi="Calibri" w:eastAsia="Calibri" w:cs="Calibri"/>
          <w:noProof/>
          <w:color w:val="000000" w:themeColor="text1"/>
          <w:kern w:val="0"/>
          <w:sz w:val="22"/>
          <w:szCs w:val="22"/>
          <w:lang w:val="pt-BR" w:eastAsia="en-GB"/>
          <w14:ligatures w14:val="none"/>
        </w:rPr>
      </w:pPr>
      <w:r w:rsidRPr="5092C94C" w:rsidR="02B03224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O vice-presidente sênior da QS, Ben Sowter, </w:t>
      </w:r>
      <w:r w:rsidRPr="5092C94C" w:rsidR="02B03224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afirmou</w:t>
      </w:r>
      <w:r w:rsidRPr="5092C94C" w:rsidR="02B03224">
        <w:rPr>
          <w:rFonts w:ascii="Calibri" w:hAnsi="Calibri" w:eastAsia="Calibri" w:cs="Calibri"/>
          <w:i w:val="1"/>
          <w:i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: “O QS World University Rankings continua a servir como uma importante referência para avaliar o desempenho do ensino superior, orientando as decisões de estudantes, acadêmicos, instituições e formuladores de políticas em todo o mundo.</w:t>
      </w:r>
    </w:p>
    <w:p w:rsidRPr="006168C8" w:rsidR="00062106" w:rsidP="5092C94C" w:rsidRDefault="7C7ADFD6" w14:paraId="1F1D9BF8" w14:textId="48925CD0">
      <w:pPr>
        <w:textAlignment w:val="baseline"/>
        <w:rPr>
          <w:rFonts w:ascii="Calibri" w:hAnsi="Calibri" w:eastAsia="Calibri" w:cs="Calibri"/>
          <w:noProof/>
          <w:color w:val="000000" w:themeColor="text1"/>
          <w:kern w:val="0"/>
          <w:sz w:val="22"/>
          <w:szCs w:val="22"/>
          <w:lang w:val="pt-BR" w:eastAsia="en-GB"/>
          <w14:ligatures w14:val="none"/>
        </w:rPr>
      </w:pPr>
      <w:r w:rsidRPr="5092C94C" w:rsidR="02B03224">
        <w:rPr>
          <w:rFonts w:ascii="Calibri" w:hAnsi="Calibri" w:eastAsia="Calibri" w:cs="Calibri"/>
          <w:i w:val="1"/>
          <w:i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“O ensino superior continua sendo um impulsionador fundamental da inovação, da colaboração internacional e do desenvolvimento social e econômico. À medida que alguns destinos de estudo já consolidados reconsideram políticas relacionadas à mobilidade e ao financiamento de estudantes internacionais, centros emergentes de ensino superior podem encontrar novas oportunidades para atrair talentos globais e fortalecer suas posições em pesquisa, criação de conhecimento e liderança acadêmica.”</w:t>
      </w:r>
    </w:p>
    <w:p w:rsidRPr="006168C8" w:rsidR="00062106" w:rsidP="5092C94C" w:rsidRDefault="7C7ADFD6" w14:paraId="5339FD82" w14:textId="044A480B">
      <w:pPr>
        <w:textAlignment w:val="baseline"/>
        <w:rPr>
          <w:rFonts w:ascii="Calibri" w:hAnsi="Calibri" w:eastAsia="Calibri" w:cs="Calibri"/>
          <w:i w:val="1"/>
          <w:i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</w:pPr>
      <w:r w:rsidRPr="5092C94C" w:rsidR="02B03224">
        <w:rPr>
          <w:rFonts w:ascii="Calibri" w:hAnsi="Calibri" w:eastAsia="Calibri" w:cs="Calibri"/>
          <w:i w:val="1"/>
          <w:i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“Os rankings mostram que os EUA continuam sendo líderes mundiais no ensino superior global, com instituições como o MIT, Harvard e Caltech estabelecendo o padrão de referência em termos de influência e reputação na pesquisa. Ao mesmo tempo, o panorama global do ensino superior está se tornando mais diversificado, à medida que instituições da Ásia e do Oriente Médio transformam investimentos sustentados em pesquisa e internacionalização em ganhos mensuráveis.</w:t>
      </w:r>
      <w:r w:rsidRPr="5092C94C" w:rsidR="45B7B314">
        <w:rPr>
          <w:rFonts w:ascii="Calibri" w:hAnsi="Calibri" w:eastAsia="Calibri" w:cs="Calibri"/>
          <w:i w:val="1"/>
          <w:i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 </w:t>
      </w:r>
      <w:r w:rsidRPr="5092C94C" w:rsidR="02094F39">
        <w:rPr>
          <w:rFonts w:ascii="Calibri" w:hAnsi="Calibri" w:eastAsia="Calibri" w:cs="Calibri"/>
          <w:i w:val="1"/>
          <w:i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>O quadro na Europa continua misto, com alguns sistemas fortalecendo constantemente sua posição global por meio de políticas de financiamento e inovação de longo prazo, enquanto outros mostram sinais de estagnação.”  </w:t>
      </w:r>
    </w:p>
    <w:p w:rsidRPr="006168C8" w:rsidR="00CD08C8" w:rsidP="5092C94C" w:rsidRDefault="00CD08C8" w14:paraId="7432727E" w14:textId="77777777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</w:p>
    <w:tbl>
      <w:tblPr>
        <w:tblW w:w="1000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938"/>
        <w:gridCol w:w="709"/>
        <w:gridCol w:w="630"/>
        <w:gridCol w:w="615"/>
        <w:gridCol w:w="540"/>
        <w:gridCol w:w="2130"/>
        <w:gridCol w:w="926"/>
        <w:gridCol w:w="495"/>
        <w:gridCol w:w="450"/>
        <w:gridCol w:w="480"/>
        <w:gridCol w:w="783"/>
      </w:tblGrid>
      <w:tr w:rsidRPr="006168C8" w:rsidR="00062106" w:rsidTr="5092C94C" w14:paraId="31C4D56C" w14:textId="77777777">
        <w:trPr>
          <w:trHeight w:val="285"/>
        </w:trPr>
        <w:tc>
          <w:tcPr>
            <w:tcW w:w="1000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6168C8" w:rsidR="00062106" w:rsidP="5092C94C" w:rsidRDefault="00062106" w14:paraId="72BF58F6" w14:textId="2E9DA26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20"/>
                <w:szCs w:val="20"/>
                <w:lang w:val="pt-BR" w:eastAsia="en-GB"/>
                <w14:ligatures w14:val="none"/>
              </w:rPr>
              <w:t>Tabela</w:t>
            </w:r>
            <w:r w:rsidRPr="5092C94C" w:rsidR="081BDC00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5</w:t>
            </w: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20"/>
                <w:szCs w:val="20"/>
                <w:lang w:val="pt-BR" w:eastAsia="en-GB"/>
                <w14:ligatures w14:val="none"/>
              </w:rPr>
              <w:t>: Principais sistemas de ensino superior por número total de universidades classificadas   </w:t>
            </w:r>
          </w:p>
        </w:tc>
      </w:tr>
      <w:tr w:rsidRPr="006168C8" w:rsidR="00B07E7F" w:rsidTr="5092C94C" w14:paraId="4D357DD2" w14:textId="77777777">
        <w:trPr>
          <w:trHeight w:val="285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673C540B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Sistema de Ensino Superior  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10711299" w14:textId="0930DDD2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Total de universidades classificadas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5CE340EF" w14:textId="2EFFF92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00B050"/>
                <w:kern w:val="0"/>
                <w:sz w:val="14"/>
                <w:szCs w:val="14"/>
                <w:lang w:val="pt-BR" w:eastAsia="en-GB"/>
                <w14:ligatures w14:val="none"/>
              </w:rPr>
              <w:t>Aumento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153F0A5C" w14:textId="0E64AAE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FFC000"/>
                <w:kern w:val="0"/>
                <w:sz w:val="14"/>
                <w:szCs w:val="14"/>
                <w:lang w:val="pt-BR" w:eastAsia="en-GB"/>
                <w14:ligatures w14:val="none"/>
              </w:rPr>
              <w:t>Igual</w:t>
            </w:r>
          </w:p>
        </w:tc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2E7D36BA" w14:textId="2784DF7C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C00000"/>
                <w:kern w:val="0"/>
                <w:sz w:val="14"/>
                <w:szCs w:val="14"/>
                <w:lang w:val="pt-BR" w:eastAsia="en-GB"/>
                <w14:ligatures w14:val="none"/>
              </w:rPr>
              <w:t>Queda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14A9461B" w14:textId="7D26F0D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0070C0"/>
                <w:kern w:val="0"/>
                <w:sz w:val="14"/>
                <w:szCs w:val="14"/>
                <w:lang w:val="pt-BR" w:eastAsia="en-GB"/>
                <w14:ligatures w14:val="none"/>
              </w:rPr>
              <w:t>Novo</w:t>
            </w:r>
          </w:p>
        </w:tc>
        <w:tc>
          <w:tcPr>
            <w:tcW w:w="3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3CF326B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Melhores universidades  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57202692" w14:textId="7E4C52A1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Top 50 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077499D1" w14:textId="510AF4C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Top 100 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1F3D942F" w14:textId="2C5E68A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Top 200 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D08C8" w:rsidR="00B07E7F" w:rsidP="5092C94C" w:rsidRDefault="00B07E7F" w14:paraId="186A9DD4" w14:textId="3CE215D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67E08C87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Top 500 </w:t>
            </w:r>
          </w:p>
        </w:tc>
      </w:tr>
      <w:tr w:rsidRPr="006168C8" w:rsidR="00062106" w:rsidTr="5092C94C" w14:paraId="6C17191B" w14:textId="77777777">
        <w:trPr>
          <w:trHeight w:val="285"/>
        </w:trPr>
        <w:tc>
          <w:tcPr>
            <w:tcW w:w="1305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1828B6C9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938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6CF8FA29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709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26A1D921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630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2A137F90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615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4911701C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540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3D06AFDF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CD08C8" w:rsidR="00062106" w:rsidP="5092C94C" w:rsidRDefault="00062106" w14:paraId="4495E5B6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Nome  </w:t>
            </w:r>
          </w:p>
        </w:tc>
        <w:tc>
          <w:tcPr>
            <w:tcW w:w="9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CD08C8" w:rsidR="00062106" w:rsidP="5092C94C" w:rsidRDefault="00062106" w14:paraId="459A5FF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sz w:val="14"/>
                <w:szCs w:val="14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b w:val="1"/>
                <w:bCs w:val="1"/>
                <w:noProof/>
                <w:color w:val="1D1D1B"/>
                <w:kern w:val="0"/>
                <w:sz w:val="14"/>
                <w:szCs w:val="14"/>
                <w:lang w:val="pt-BR" w:eastAsia="en-GB"/>
                <w14:ligatures w14:val="none"/>
              </w:rPr>
              <w:t>Classificação  </w:t>
            </w:r>
          </w:p>
        </w:tc>
        <w:tc>
          <w:tcPr>
            <w:tcW w:w="495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4E5F7ECF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450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4090B85F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480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0AFDE0F1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  <w:tc>
          <w:tcPr>
            <w:tcW w:w="783" w:type="dxa"/>
            <w:vMerge/>
            <w:tcBorders/>
            <w:tcMar/>
            <w:vAlign w:val="center"/>
            <w:hideMark/>
          </w:tcPr>
          <w:p w:rsidRPr="006168C8" w:rsidR="00062106" w:rsidP="00B07E7F" w:rsidRDefault="00062106" w14:paraId="48AB3B84" w14:textId="77777777">
            <w:pPr>
              <w:spacing w:after="0" w:line="240" w:lineRule="auto"/>
              <w:jc w:val="center"/>
              <w:rPr>
                <w:rFonts w:ascii="PP Telegraf" w:hAnsi="PP Telegraf" w:eastAsia="Times New Roman" w:cs="Times New Roman"/>
                <w:noProof/>
                <w:kern w:val="0"/>
                <w:lang w:val="pt-BR" w:eastAsia="en-GB"/>
                <w14:ligatures w14:val="none"/>
              </w:rPr>
            </w:pPr>
          </w:p>
        </w:tc>
      </w:tr>
      <w:tr w:rsidRPr="006168C8" w:rsidR="00062106" w:rsidTr="5092C94C" w14:paraId="45BF5132" w14:textId="77777777">
        <w:trPr>
          <w:trHeight w:val="285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D2B1F10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EUA  </w:t>
            </w:r>
          </w:p>
        </w:tc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A538534" w14:textId="0F1B15D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184 </w:t>
            </w:r>
          </w:p>
        </w:tc>
        <w:tc>
          <w:tcPr>
            <w:tcW w:w="7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129CDF1" w14:textId="1D2224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22 </w:t>
            </w:r>
          </w:p>
        </w:tc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BCE7D46" w14:textId="41DD9BA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38 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BA8E7C2" w14:textId="6DA95F3C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121 </w:t>
            </w:r>
          </w:p>
        </w:tc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9CFC4BB" w14:textId="15B76D8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12BB302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MIT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3233D39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1  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94905E6" w14:textId="486C3836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14 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1740B51" w14:textId="7AB5536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26 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BE2F631" w14:textId="194E2DF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38 </w:t>
            </w:r>
          </w:p>
        </w:tc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D0BB8D9" w14:textId="67469E4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68 </w:t>
            </w:r>
          </w:p>
        </w:tc>
      </w:tr>
      <w:tr w:rsidRPr="006168C8" w:rsidR="00062106" w:rsidTr="5092C94C" w14:paraId="35113245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79AC873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Reino Unido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808C316" w14:textId="38F1505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93 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330FEA1" w14:textId="1CA52A2D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31 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9A545F2" w14:textId="074FB5C6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20 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4793E7D" w14:textId="17FD33F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38 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A5F18B4" w14:textId="67BF45B2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4 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3D437C52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Imperial College London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610521D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CF01CF5" w14:textId="1B329DB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7 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293B367" w14:textId="7FD9A82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16 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7564C70" w14:textId="5C15F51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28 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4BF2C3F" w14:textId="5167F09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48 </w:t>
            </w:r>
          </w:p>
        </w:tc>
      </w:tr>
      <w:tr w:rsidRPr="006168C8" w:rsidR="00062106" w:rsidTr="5092C94C" w14:paraId="1B249DA2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FC2628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China continental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F4B7AC4" w14:textId="2FE1BBF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85 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DB165E0" w14:textId="01F5E28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52 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99E36CF" w14:textId="51012EE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10 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5A9ADBE" w14:textId="35718BD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10 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97B2652" w14:textId="600FB1B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13 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2479D887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Universidade de Pequim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71748A7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13  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EF18FEA" w14:textId="1B8568A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5 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42AC7F8" w14:textId="680DD24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6 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8464544" w14:textId="754892F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10 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ADC292D" w14:textId="7C3A9E7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38 </w:t>
            </w:r>
          </w:p>
        </w:tc>
      </w:tr>
      <w:tr w:rsidRPr="006168C8" w:rsidR="00062106" w:rsidTr="5092C94C" w14:paraId="700F933E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6C0141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Alemanha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1D06237" w14:textId="5521B32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60 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254D555" w14:textId="08E32B8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8 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B8919BC" w14:textId="0E088DC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5AD24CE" w14:textId="7934526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38 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E69AEB4" w14:textId="67491E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11 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17600E41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Universidade Técnica de Munique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5B0F857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25  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D7F11DE" w14:textId="6FDD1C01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EDD7F57" w14:textId="1088532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26AF2A9" w14:textId="58EB556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9 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BEC373A" w14:textId="57379CB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28 </w:t>
            </w:r>
          </w:p>
        </w:tc>
      </w:tr>
      <w:tr w:rsidRPr="006168C8" w:rsidR="00062106" w:rsidTr="5092C94C" w14:paraId="6E4A501E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090B64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Índia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AAE565A" w14:textId="7B22A32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52 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D33A53E" w14:textId="7ADA0CE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26 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157209B" w14:textId="1A2DA59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9 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68A8F10" w14:textId="6436DAE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15 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C9F077F" w14:textId="27781D6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2 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4BEF5854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Instituto Indiano de Tecnologia de Délhi (IITD)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381C6A2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118  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52081AE" w14:textId="0B840BF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 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B1BB632" w14:textId="63CB193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 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12968AB" w14:textId="0193CFD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CA12D0F" w14:textId="1E9A2C8D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11 </w:t>
            </w:r>
          </w:p>
        </w:tc>
      </w:tr>
      <w:tr w:rsidRPr="006168C8" w:rsidR="00062106" w:rsidTr="5092C94C" w14:paraId="7E07D100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3F08D87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Espanha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E724CFC" w14:textId="460D5B6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48 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2002A53" w14:textId="097752FC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2 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B6496A2" w14:textId="41B7509C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12 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CF38EA8" w14:textId="309C39F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24 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6B499A7" w14:textId="746811D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10 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29774E3F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Universidade de Barcelona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610191A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165  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43E0B3D" w14:textId="1BABD9D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 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B41ECE4" w14:textId="2AD0F06D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 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B29B67B" w14:textId="2CA4433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A4A4362" w14:textId="34B3DE0D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15 </w:t>
            </w:r>
          </w:p>
        </w:tc>
      </w:tr>
      <w:tr w:rsidRPr="006168C8" w:rsidR="00062106" w:rsidTr="5092C94C" w14:paraId="2167D7BB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CE9FB5E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Itália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75CFD20" w14:textId="57815AE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47 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5675C0A" w14:textId="1888CB5A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23 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942B3F0" w14:textId="52EDEC1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9 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EFDE2E4" w14:textId="0C8761F6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9 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CF62376" w14:textId="40C5DCE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6 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09BB4F85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Politecnico di Milano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71E6594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87  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CFC39A9" w14:textId="735A6FF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 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633CD0D9" w14:textId="6F86A472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F250779" w14:textId="1B5F8AC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A9C835A" w14:textId="3B5A996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15 </w:t>
            </w:r>
          </w:p>
        </w:tc>
      </w:tr>
      <w:tr w:rsidRPr="006168C8" w:rsidR="00062106" w:rsidTr="5092C94C" w14:paraId="04E71F09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7CBF814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Coreia do Sul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6F8D442" w14:textId="01B86F26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43 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2F3BC46" w14:textId="1B8CC77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21 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B8A8A2A" w14:textId="02CDF99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12 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CE36B11" w14:textId="32EC743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7 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B8F1DC2" w14:textId="3433267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0C753FE5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Universidade Nacional de Seul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0920F25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38  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FFC8A6E" w14:textId="1DBCD4D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6576D9D" w14:textId="703E520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314D6BD" w14:textId="21DE0ED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7 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17EB4B3" w14:textId="5EED2E31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17 </w:t>
            </w:r>
          </w:p>
        </w:tc>
      </w:tr>
      <w:tr w:rsidRPr="006168C8" w:rsidR="00062106" w:rsidTr="5092C94C" w14:paraId="47241283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19E44E2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Japão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FC556D0" w14:textId="295794D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41 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0A032B1" w14:textId="1FF5243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CC594EE" w14:textId="1A7B295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13 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2EF4633" w14:textId="01EE0D3C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24 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0650744" w14:textId="247E585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1 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7ED49564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Universidade de Tóquio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3C74076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39  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A4DC23B" w14:textId="4C11FBF2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4211EE9" w14:textId="68FB4D3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5ABA371" w14:textId="0BCD9903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8 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4A9F4E0" w14:textId="6973C8C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12 </w:t>
            </w:r>
          </w:p>
        </w:tc>
      </w:tr>
      <w:tr w:rsidRPr="006168C8" w:rsidR="00062106" w:rsidTr="5092C94C" w14:paraId="2125F9AE" w14:textId="77777777">
        <w:trPr>
          <w:trHeight w:val="285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DE6FCF6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França  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1834D3F" w14:textId="1E10D00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38 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15374899" w14:textId="0608E6F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B050"/>
                <w:kern w:val="0"/>
                <w:sz w:val="16"/>
                <w:szCs w:val="16"/>
                <w:lang w:val="pt-BR" w:eastAsia="en-GB"/>
                <w14:ligatures w14:val="none"/>
              </w:rPr>
              <w:t>5 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04E8DFD7" w14:textId="1E9196C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FFC000"/>
                <w:kern w:val="0"/>
                <w:sz w:val="16"/>
                <w:szCs w:val="16"/>
                <w:lang w:val="pt-BR" w:eastAsia="en-GB"/>
                <w14:ligatures w14:val="none"/>
              </w:rPr>
              <w:t>7 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74DFEECE" w14:textId="5253271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C00000"/>
                <w:kern w:val="0"/>
                <w:sz w:val="16"/>
                <w:szCs w:val="16"/>
                <w:lang w:val="pt-BR" w:eastAsia="en-GB"/>
                <w14:ligatures w14:val="none"/>
              </w:rPr>
              <w:t>19 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4DD93B6A" w14:textId="5B0F776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0070C0"/>
                <w:kern w:val="0"/>
                <w:sz w:val="16"/>
                <w:szCs w:val="16"/>
                <w:lang w:val="pt-BR" w:eastAsia="en-GB"/>
                <w14:ligatures w14:val="none"/>
              </w:rPr>
              <w:t>7 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21C91E9C" w14:textId="77777777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Universidade PSL 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9E9E7"/>
            <w:tcMar/>
            <w:vAlign w:val="center"/>
            <w:hideMark/>
          </w:tcPr>
          <w:p w:rsidRPr="006168C8" w:rsidR="00062106" w:rsidP="5092C94C" w:rsidRDefault="00062106" w14:paraId="3BA81CF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34  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3B6CF957" w14:textId="19E9649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2 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EA659DE" w14:textId="29C4AB7B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4 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2ED27CA1" w14:textId="78F3511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4 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168C8" w:rsidR="00062106" w:rsidP="5092C94C" w:rsidRDefault="00062106" w14:paraId="5C04044E" w14:textId="297BD806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/>
                <w:noProof/>
                <w:kern w:val="0"/>
                <w:lang w:val="pt-BR" w:eastAsia="en-GB"/>
                <w14:ligatures w14:val="none"/>
              </w:rPr>
            </w:pPr>
            <w:r w:rsidRPr="5092C94C" w:rsidR="02094F39">
              <w:rPr>
                <w:rFonts w:ascii="Calibri" w:hAnsi="Calibri" w:eastAsia="Calibri" w:cs="Calibri"/>
                <w:noProof/>
                <w:color w:val="1D1D1B"/>
                <w:kern w:val="0"/>
                <w:sz w:val="16"/>
                <w:szCs w:val="16"/>
                <w:lang w:val="pt-BR" w:eastAsia="en-GB"/>
                <w14:ligatures w14:val="none"/>
              </w:rPr>
              <w:t>13 </w:t>
            </w:r>
          </w:p>
        </w:tc>
      </w:tr>
    </w:tbl>
    <w:p w:rsidRPr="006168C8" w:rsidR="00062106" w:rsidP="5092C94C" w:rsidRDefault="00062106" w14:paraId="48E85DC7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  </w:t>
      </w:r>
    </w:p>
    <w:p w:rsidRPr="006168C8" w:rsidR="00062106" w:rsidP="5092C94C" w:rsidRDefault="00062106" w14:paraId="156285C5" w14:textId="5198380A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O QS World University Rankings deste ano inclui 1.500 universidades em 106 sistemas de ensino superio</w:t>
      </w:r>
      <w:r w:rsidRPr="5092C94C" w:rsidR="5FAB1786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r.</w:t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 A análise levou em consideração:  </w:t>
      </w:r>
    </w:p>
    <w:p w:rsidRPr="006168C8" w:rsidR="00062106" w:rsidP="5092C94C" w:rsidRDefault="00062106" w14:paraId="7FB28E4F" w14:textId="6E3CEDE6">
      <w:pPr>
        <w:numPr>
          <w:ilvl w:val="0"/>
          <w:numId w:val="18"/>
        </w:numPr>
        <w:ind w:left="1080" w:firstLine="0"/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21 milhões de artigos </w:t>
      </w:r>
      <w:r w:rsidRPr="5092C94C" w:rsidR="5FAB1786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acadêmicos</w:t>
      </w:r>
    </w:p>
    <w:p w:rsidRPr="006168C8" w:rsidR="00062106" w:rsidP="5092C94C" w:rsidRDefault="00062106" w14:paraId="000A724D" w14:textId="77777777">
      <w:pPr>
        <w:numPr>
          <w:ilvl w:val="0"/>
          <w:numId w:val="19"/>
        </w:numPr>
        <w:ind w:left="1080" w:firstLine="0"/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222 milhões de citações  </w:t>
      </w:r>
    </w:p>
    <w:p w:rsidRPr="006168C8" w:rsidR="00062106" w:rsidP="5092C94C" w:rsidRDefault="00062106" w14:paraId="2BCFA25B" w14:textId="1313AD90">
      <w:pPr>
        <w:numPr>
          <w:ilvl w:val="0"/>
          <w:numId w:val="20"/>
        </w:numPr>
        <w:ind w:left="1080" w:firstLine="0"/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1,6 milhão de respostas a </w:t>
      </w:r>
      <w:r w:rsidRPr="5092C94C" w:rsidR="5FAB1786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sondagem</w:t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 </w:t>
      </w:r>
      <w:r w:rsidRPr="5092C94C" w:rsidR="5FAB1786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entre acadêmicos</w:t>
      </w:r>
    </w:p>
    <w:p w:rsidRPr="006168C8" w:rsidR="00062106" w:rsidP="5092C94C" w:rsidRDefault="00062106" w14:paraId="5794413E" w14:textId="77777777">
      <w:pPr>
        <w:numPr>
          <w:ilvl w:val="0"/>
          <w:numId w:val="21"/>
        </w:numPr>
        <w:ind w:left="1080" w:firstLine="0"/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Dados de 8.808 instituições  </w:t>
      </w:r>
    </w:p>
    <w:p w:rsidRPr="006168C8" w:rsidR="00062106" w:rsidP="5092C94C" w:rsidRDefault="00062106" w14:paraId="6D97DA3C" w14:textId="77777777">
      <w:pPr>
        <w:numPr>
          <w:ilvl w:val="0"/>
          <w:numId w:val="22"/>
        </w:numPr>
        <w:ind w:left="1080" w:firstLine="0"/>
        <w:textAlignment w:val="baseline"/>
        <w:rPr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Opiniões de 121.024 acadêmicos e 69.432 empregadores </w:t>
      </w:r>
    </w:p>
    <w:p w:rsidRPr="006168C8" w:rsidR="00062106" w:rsidP="5092C94C" w:rsidRDefault="00062106" w14:paraId="759C3385" w14:textId="7B8B9C52">
      <w:pPr>
        <w:jc w:val="center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u w:val="single"/>
          <w:lang w:val="pt-BR" w:eastAsia="en-GB"/>
          <w14:ligatures w14:val="none"/>
        </w:rPr>
        <w:t>-Fim-</w:t>
      </w:r>
    </w:p>
    <w:p w:rsidRPr="006168C8" w:rsidR="00062106" w:rsidP="5092C94C" w:rsidRDefault="00062106" w14:paraId="04715BBF" w14:textId="41F0AE8E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Informações metodológicas detalhadas podem ser encontradas e</w:t>
      </w:r>
      <w:r w:rsidRPr="5092C94C" w:rsidR="5FAB1786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m </w:t>
      </w:r>
      <w:r>
        <w:fldChar w:fldCharType="begin"/>
      </w:r>
      <w:r>
        <w:instrText xml:space="preserve">HYPERLINK "https://www.topuniversities.com/world-university-rankings/methodology"</w:instrText>
      </w:r>
      <w:r>
        <w:fldChar w:fldCharType="separate"/>
      </w:r>
      <w:r w:rsidRPr="5092C94C" w:rsidR="5FAB1786">
        <w:rPr>
          <w:rStyle w:val="Hyperlink"/>
          <w:rFonts w:ascii="Calibri" w:hAnsi="Calibri" w:eastAsia="Calibri" w:cs="Calibri"/>
          <w:noProof/>
          <w:kern w:val="0"/>
          <w:sz w:val="22"/>
          <w:szCs w:val="22"/>
          <w:lang w:val="pt-BR" w:eastAsia="en-GB"/>
          <w14:ligatures w14:val="none"/>
        </w:rPr>
        <w:t>https://www.topuniversities.com/world-university-rankings/methodology</w:t>
      </w:r>
      <w:r>
        <w:fldChar w:fldCharType="end"/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u w:val="single"/>
          <w:lang w:val="pt-BR" w:eastAsia="en-GB"/>
          <w14:ligatures w14:val="none"/>
        </w:rPr>
        <w:t>.</w:t>
      </w:r>
    </w:p>
    <w:p w:rsidRPr="006168C8" w:rsidR="00062106" w:rsidP="5092C94C" w:rsidRDefault="00062106" w14:paraId="0BD96D8E" w14:textId="7ADBF774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O ranking completo 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QS World University Rankings </w:t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será publicado assim que o embargo for suspenso e estará disponível e</w:t>
      </w:r>
      <w:r w:rsidRPr="5092C94C" w:rsidR="5FAB1786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 xml:space="preserve">m </w:t>
      </w:r>
      <w:r>
        <w:fldChar w:fldCharType="begin"/>
      </w:r>
      <w:r>
        <w:instrText xml:space="preserve">HYPERLINK "https://www.topuniversities.com/world-university-rankings"</w:instrText>
      </w:r>
      <w:r>
        <w:fldChar w:fldCharType="separate"/>
      </w:r>
      <w:r w:rsidRPr="5092C94C" w:rsidR="02094F39">
        <w:rPr>
          <w:rFonts w:ascii="Calibri" w:hAnsi="Calibri" w:eastAsia="Calibri" w:cs="Calibri"/>
          <w:noProof/>
          <w:color w:val="467886"/>
          <w:kern w:val="0"/>
          <w:sz w:val="22"/>
          <w:szCs w:val="22"/>
          <w:u w:val="single"/>
          <w:lang w:val="pt-BR" w:eastAsia="en-GB"/>
          <w14:ligatures w14:val="none"/>
        </w:rPr>
        <w:t>https://www.topuniversities.com/world-university-rankings</w:t>
      </w:r>
      <w:r>
        <w:fldChar w:fldCharType="end"/>
      </w:r>
      <w:r w:rsidRPr="5092C94C" w:rsidR="02094F39">
        <w:rPr>
          <w:rFonts w:ascii="Calibri" w:hAnsi="Calibri" w:eastAsia="Calibri" w:cs="Calibri"/>
          <w:noProof/>
          <w:color w:val="000000"/>
          <w:kern w:val="0"/>
          <w:sz w:val="22"/>
          <w:szCs w:val="22"/>
          <w:lang w:val="pt-BR" w:eastAsia="en-GB"/>
          <w14:ligatures w14:val="none"/>
        </w:rPr>
        <w:t>  </w:t>
      </w:r>
    </w:p>
    <w:p w:rsidRPr="006168C8" w:rsidR="00CD08C8" w:rsidP="5092C94C" w:rsidRDefault="00CD08C8" w14:paraId="300B2691" w14:textId="77777777">
      <w:pPr>
        <w:textAlignment w:val="baseline"/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</w:pPr>
    </w:p>
    <w:p w:rsidRPr="006168C8" w:rsidR="00062106" w:rsidP="5092C94C" w:rsidRDefault="00062106" w14:paraId="2F4C98C9" w14:textId="7EFC8395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Para mais informações ou para solicitar entrevistas com analistas da QS, entre em contato com:                            </w:t>
      </w:r>
    </w:p>
    <w:p w:rsidRPr="006168C8" w:rsidR="00062106" w:rsidP="5092C94C" w:rsidRDefault="00062106" w14:paraId="288E1357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lang w:val="pt-BR" w:eastAsia="en-GB"/>
          <w14:ligatures w14:val="none"/>
        </w:rPr>
        <w:t>Simona Bizzozero</w:t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                 </w:t>
      </w:r>
      <w:r w:rsidRPr="006168C8">
        <w:rPr>
          <w:rFonts w:ascii="PP Telegraf" w:hAnsi="PP Telegraf" w:eastAsia="Times New Roman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br/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 Diretora de Comunicação, QS                 </w:t>
      </w:r>
      <w:r w:rsidRPr="006168C8">
        <w:rPr>
          <w:rFonts w:ascii="PP Telegraf" w:hAnsi="PP Telegraf" w:eastAsia="Times New Roman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br/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 simona@qs.com | +44 (0) 7880 620856 | </w:t>
      </w:r>
      <w:r>
        <w:fldChar w:fldCharType="begin"/>
      </w:r>
      <w:r>
        <w:instrText xml:space="preserve">HYPERLINK "https://www.linkedin.com/in/simona-bizzozero/"</w:instrText>
      </w:r>
      <w:r>
        <w:fldChar w:fldCharType="separate"/>
      </w:r>
      <w:r w:rsidRPr="5092C94C" w:rsidR="02094F39">
        <w:rPr>
          <w:rFonts w:ascii="Calibri" w:hAnsi="Calibri" w:eastAsia="Calibri" w:cs="Calibri"/>
          <w:noProof/>
          <w:color w:val="467886"/>
          <w:kern w:val="0"/>
          <w:sz w:val="22"/>
          <w:szCs w:val="22"/>
          <w:u w:val="single"/>
          <w:lang w:val="pt-BR" w:eastAsia="en-GB"/>
          <w14:ligatures w14:val="none"/>
        </w:rPr>
        <w:t>LinkedIn</w:t>
      </w:r>
      <w:r>
        <w:fldChar w:fldCharType="end"/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         </w:t>
      </w:r>
    </w:p>
    <w:p w:rsidRPr="006168C8" w:rsidR="00062106" w:rsidP="5092C94C" w:rsidRDefault="00062106" w14:paraId="6D88AC8C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   </w:t>
      </w:r>
    </w:p>
    <w:p w:rsidRPr="006168C8" w:rsidR="00062106" w:rsidP="5092C94C" w:rsidRDefault="00062106" w14:paraId="2F505CB0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lang w:val="pt-BR" w:eastAsia="en-GB"/>
          <w14:ligatures w14:val="none"/>
        </w:rPr>
        <w:t>Will Barbieri           </w:t>
      </w:r>
    </w:p>
    <w:p w:rsidRPr="006168C8" w:rsidR="00062106" w:rsidP="5092C94C" w:rsidRDefault="00062106" w14:paraId="3900A015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Gerente de Comunicação           </w:t>
      </w:r>
    </w:p>
    <w:p w:rsidRPr="006168C8" w:rsidR="00062106" w:rsidP="5092C94C" w:rsidRDefault="00062106" w14:paraId="680A1ECB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>
        <w:fldChar w:fldCharType="begin"/>
      </w:r>
      <w:r>
        <w:instrText xml:space="preserve">HYPERLINK "mailto:William.barbieri@qs.com"</w:instrText>
      </w:r>
      <w:r>
        <w:fldChar w:fldCharType="separate"/>
      </w:r>
      <w:r w:rsidRPr="5092C94C" w:rsidR="02094F39">
        <w:rPr>
          <w:rFonts w:ascii="Calibri" w:hAnsi="Calibri" w:eastAsia="Calibri" w:cs="Calibri"/>
          <w:noProof/>
          <w:color w:val="467886"/>
          <w:kern w:val="0"/>
          <w:sz w:val="22"/>
          <w:szCs w:val="22"/>
          <w:u w:val="single"/>
          <w:lang w:val="pt-BR" w:eastAsia="en-GB"/>
          <w14:ligatures w14:val="none"/>
        </w:rPr>
        <w:t>William.barbieri@qs.com</w:t>
      </w:r>
      <w:r>
        <w:fldChar w:fldCharType="end"/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      </w:t>
      </w:r>
    </w:p>
    <w:p w:rsidRPr="006168C8" w:rsidR="00062106" w:rsidP="5092C94C" w:rsidRDefault="00062106" w14:paraId="674C316D" w14:textId="77777777">
      <w:pPr>
        <w:spacing w:after="0" w:line="240" w:lineRule="auto"/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   </w:t>
      </w:r>
    </w:p>
    <w:p w:rsidRPr="006168C8" w:rsidR="001A50FC" w:rsidP="5092C94C" w:rsidRDefault="001A50FC" w14:paraId="0CF52D05" w14:textId="77777777">
      <w:pPr>
        <w:textAlignment w:val="baseline"/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u w:val="single"/>
          <w:lang w:val="pt-BR" w:eastAsia="en-GB"/>
          <w14:ligatures w14:val="none"/>
        </w:rPr>
      </w:pPr>
    </w:p>
    <w:p w:rsidRPr="006168C8" w:rsidR="00062106" w:rsidP="5092C94C" w:rsidRDefault="00062106" w14:paraId="71112113" w14:textId="1089AE6C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u w:val="single"/>
          <w:lang w:val="pt-BR" w:eastAsia="en-GB"/>
          <w14:ligatures w14:val="none"/>
        </w:rPr>
        <w:t>Notas para os editores</w:t>
      </w:r>
    </w:p>
    <w:p w:rsidRPr="006168C8" w:rsidR="00062106" w:rsidP="5092C94C" w:rsidRDefault="00062106" w14:paraId="392EC71F" w14:textId="77777777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A</w:t>
      </w:r>
      <w:r w:rsidRPr="5092C94C" w:rsidR="02094F39">
        <w:rPr>
          <w:rFonts w:ascii="Calibri" w:hAnsi="Calibri" w:eastAsia="Calibri" w:cs="Calibri"/>
          <w:b w:val="1"/>
          <w:bCs w:val="1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 QS Quacquarelli Symonds </w:t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é líder mundial no fornecimento de serviços, análises e insights para o setor global de ensino superior, cuja missão é capacitar pessoas motivadas em qualquer lugar do mundo a realizar seu potencial por meio de conquistas educacionais, mobilidade internacional e desenvolvimento profissional</w:t>
      </w:r>
      <w:r w:rsidRPr="5092C94C" w:rsidR="02094F39">
        <w:rPr>
          <w:rFonts w:ascii="Calibri" w:hAnsi="Calibri" w:eastAsia="Calibri" w:cs="Calibri"/>
          <w:i w:val="1"/>
          <w:iCs w:val="1"/>
          <w:noProof/>
          <w:color w:val="1D1D1B"/>
          <w:kern w:val="0"/>
          <w:sz w:val="22"/>
          <w:szCs w:val="22"/>
          <w:lang w:val="pt-BR" w:eastAsia="en-GB"/>
          <w14:ligatures w14:val="none"/>
        </w:rPr>
        <w:t>.         </w:t>
      </w:r>
    </w:p>
    <w:p w:rsidRPr="006168C8" w:rsidR="005A7EAF" w:rsidP="5092C94C" w:rsidRDefault="00062106" w14:paraId="0A9ABAE0" w14:textId="7642EC1A">
      <w:pPr>
        <w:textAlignment w:val="baseline"/>
        <w:rPr>
          <w:rFonts w:ascii="Calibri" w:hAnsi="Calibri" w:eastAsia="Calibri" w:cs="Calibri"/>
          <w:noProof/>
          <w:kern w:val="0"/>
          <w:sz w:val="18"/>
          <w:szCs w:val="18"/>
          <w:lang w:val="pt-BR" w:eastAsia="en-GB"/>
          <w14:ligatures w14:val="none"/>
        </w:rPr>
      </w:pP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>O portfólio do QS World University Rankings, inaugurado em 2004, é a fonte mais popular do mundo de dados comparativos sobre o desempenho das universidades. Seu site principal,</w:t>
      </w:r>
      <w:r>
        <w:fldChar w:fldCharType="begin"/>
      </w:r>
      <w:r>
        <w:instrText xml:space="preserve">HYPERLINK "http://www.topuniversities.com/"</w:instrText>
      </w:r>
      <w:r>
        <w:fldChar w:fldCharType="separate"/>
      </w:r>
      <w:r w:rsidRPr="5092C94C" w:rsidR="02094F39">
        <w:rPr>
          <w:rFonts w:ascii="Calibri" w:hAnsi="Calibri" w:eastAsia="Calibri" w:cs="Calibri"/>
          <w:noProof/>
          <w:color w:val="467886"/>
          <w:kern w:val="0"/>
          <w:sz w:val="22"/>
          <w:szCs w:val="22"/>
          <w:u w:val="single"/>
          <w:lang w:val="pt-BR" w:eastAsia="en-GB"/>
          <w14:ligatures w14:val="none"/>
        </w:rPr>
        <w:t xml:space="preserve"> www.TopUniversities.com</w:t>
      </w:r>
      <w:r>
        <w:fldChar w:fldCharType="end"/>
      </w:r>
      <w:r w:rsidRPr="5092C94C" w:rsidR="02094F39">
        <w:rPr>
          <w:rFonts w:ascii="Calibri" w:hAnsi="Calibri" w:eastAsia="Calibri" w:cs="Calibri"/>
          <w:noProof/>
          <w:color w:val="1D1D1B"/>
          <w:kern w:val="0"/>
          <w:sz w:val="22"/>
          <w:szCs w:val="22"/>
          <w:lang w:val="pt-BR" w:eastAsia="en-GB"/>
          <w14:ligatures w14:val="none"/>
        </w:rPr>
        <w:t xml:space="preserve"> – sede de seus rankings –, recebeu mais de 120 milhões de visitas em 2024, e mais de 135.000 recortes de mídia relacionados ou mencionando a QS foram publicados por veículos de comunicação em todo o mundo em 2025.</w:t>
      </w:r>
    </w:p>
    <w:sectPr w:rsidRPr="006168C8" w:rsidR="005A7EAF" w:rsidSect="006168C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P Telegraf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93C"/>
    <w:multiLevelType w:val="multilevel"/>
    <w:tmpl w:val="A300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4C0689"/>
    <w:multiLevelType w:val="multilevel"/>
    <w:tmpl w:val="F1F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6D2F1B"/>
    <w:multiLevelType w:val="multilevel"/>
    <w:tmpl w:val="BEB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424F3E"/>
    <w:multiLevelType w:val="multilevel"/>
    <w:tmpl w:val="6E4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9C404E"/>
    <w:multiLevelType w:val="multilevel"/>
    <w:tmpl w:val="4E62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7245191"/>
    <w:multiLevelType w:val="multilevel"/>
    <w:tmpl w:val="E6A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88D57AB"/>
    <w:multiLevelType w:val="multilevel"/>
    <w:tmpl w:val="2236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DA504C"/>
    <w:multiLevelType w:val="hybridMultilevel"/>
    <w:tmpl w:val="8BA00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2530E8"/>
    <w:multiLevelType w:val="multilevel"/>
    <w:tmpl w:val="FF82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8F07BE6"/>
    <w:multiLevelType w:val="multilevel"/>
    <w:tmpl w:val="E0F8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0A111D8"/>
    <w:multiLevelType w:val="multilevel"/>
    <w:tmpl w:val="8CD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537088B"/>
    <w:multiLevelType w:val="multilevel"/>
    <w:tmpl w:val="DD0A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7E27BAB"/>
    <w:multiLevelType w:val="multilevel"/>
    <w:tmpl w:val="476C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87B6DCB"/>
    <w:multiLevelType w:val="multilevel"/>
    <w:tmpl w:val="84D4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D406861"/>
    <w:multiLevelType w:val="hybridMultilevel"/>
    <w:tmpl w:val="F8349F72"/>
    <w:lvl w:ilvl="0" w:tplc="53208190">
      <w:numFmt w:val="bullet"/>
      <w:lvlText w:val="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8B420F"/>
    <w:multiLevelType w:val="multilevel"/>
    <w:tmpl w:val="10EE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7FC2639"/>
    <w:multiLevelType w:val="multilevel"/>
    <w:tmpl w:val="0266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EB04F83"/>
    <w:multiLevelType w:val="hybridMultilevel"/>
    <w:tmpl w:val="40929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52234C"/>
    <w:multiLevelType w:val="multilevel"/>
    <w:tmpl w:val="895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62F5342"/>
    <w:multiLevelType w:val="hybridMultilevel"/>
    <w:tmpl w:val="0C78961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E12F46"/>
    <w:multiLevelType w:val="multilevel"/>
    <w:tmpl w:val="7E6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E3653B8"/>
    <w:multiLevelType w:val="multilevel"/>
    <w:tmpl w:val="E7E0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16159DE"/>
    <w:multiLevelType w:val="multilevel"/>
    <w:tmpl w:val="C56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3FA14A9"/>
    <w:multiLevelType w:val="multilevel"/>
    <w:tmpl w:val="974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502193D"/>
    <w:multiLevelType w:val="multilevel"/>
    <w:tmpl w:val="F06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44778049">
    <w:abstractNumId w:val="18"/>
  </w:num>
  <w:num w:numId="2" w16cid:durableId="717776525">
    <w:abstractNumId w:val="6"/>
  </w:num>
  <w:num w:numId="3" w16cid:durableId="510686389">
    <w:abstractNumId w:val="2"/>
  </w:num>
  <w:num w:numId="4" w16cid:durableId="673410582">
    <w:abstractNumId w:val="4"/>
  </w:num>
  <w:num w:numId="5" w16cid:durableId="1667128692">
    <w:abstractNumId w:val="3"/>
  </w:num>
  <w:num w:numId="6" w16cid:durableId="1827623470">
    <w:abstractNumId w:val="23"/>
  </w:num>
  <w:num w:numId="7" w16cid:durableId="1134102366">
    <w:abstractNumId w:val="24"/>
  </w:num>
  <w:num w:numId="8" w16cid:durableId="2058505235">
    <w:abstractNumId w:val="16"/>
  </w:num>
  <w:num w:numId="9" w16cid:durableId="1538346417">
    <w:abstractNumId w:val="13"/>
  </w:num>
  <w:num w:numId="10" w16cid:durableId="1017199255">
    <w:abstractNumId w:val="8"/>
  </w:num>
  <w:num w:numId="11" w16cid:durableId="1997874406">
    <w:abstractNumId w:val="20"/>
  </w:num>
  <w:num w:numId="12" w16cid:durableId="495347274">
    <w:abstractNumId w:val="9"/>
  </w:num>
  <w:num w:numId="13" w16cid:durableId="1187250805">
    <w:abstractNumId w:val="21"/>
  </w:num>
  <w:num w:numId="14" w16cid:durableId="546717764">
    <w:abstractNumId w:val="1"/>
  </w:num>
  <w:num w:numId="15" w16cid:durableId="1503885364">
    <w:abstractNumId w:val="11"/>
  </w:num>
  <w:num w:numId="16" w16cid:durableId="601181911">
    <w:abstractNumId w:val="12"/>
  </w:num>
  <w:num w:numId="17" w16cid:durableId="1983919885">
    <w:abstractNumId w:val="7"/>
  </w:num>
  <w:num w:numId="18" w16cid:durableId="1785467500">
    <w:abstractNumId w:val="15"/>
  </w:num>
  <w:num w:numId="19" w16cid:durableId="1219899508">
    <w:abstractNumId w:val="22"/>
  </w:num>
  <w:num w:numId="20" w16cid:durableId="1173757735">
    <w:abstractNumId w:val="0"/>
  </w:num>
  <w:num w:numId="21" w16cid:durableId="1416367085">
    <w:abstractNumId w:val="10"/>
  </w:num>
  <w:num w:numId="22" w16cid:durableId="127674006">
    <w:abstractNumId w:val="5"/>
  </w:num>
  <w:num w:numId="23" w16cid:durableId="257061047">
    <w:abstractNumId w:val="17"/>
  </w:num>
  <w:num w:numId="24" w16cid:durableId="777600912">
    <w:abstractNumId w:val="14"/>
  </w:num>
  <w:num w:numId="25" w16cid:durableId="1218127997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BF"/>
    <w:rsid w:val="000552B5"/>
    <w:rsid w:val="00062106"/>
    <w:rsid w:val="000750EB"/>
    <w:rsid w:val="001930BF"/>
    <w:rsid w:val="001A50FC"/>
    <w:rsid w:val="001D17F2"/>
    <w:rsid w:val="004125CF"/>
    <w:rsid w:val="005A7EAF"/>
    <w:rsid w:val="006168C8"/>
    <w:rsid w:val="00654BFC"/>
    <w:rsid w:val="006D4E89"/>
    <w:rsid w:val="00727A1E"/>
    <w:rsid w:val="00776096"/>
    <w:rsid w:val="007E080B"/>
    <w:rsid w:val="00884144"/>
    <w:rsid w:val="008953EC"/>
    <w:rsid w:val="008C5260"/>
    <w:rsid w:val="00A539AD"/>
    <w:rsid w:val="00A7244A"/>
    <w:rsid w:val="00AD17FB"/>
    <w:rsid w:val="00AE7474"/>
    <w:rsid w:val="00B07E7F"/>
    <w:rsid w:val="00CB506D"/>
    <w:rsid w:val="00CD08C8"/>
    <w:rsid w:val="00DB5AC6"/>
    <w:rsid w:val="00DD4A46"/>
    <w:rsid w:val="00E05EEF"/>
    <w:rsid w:val="00E0FC93"/>
    <w:rsid w:val="00EA4475"/>
    <w:rsid w:val="00F736A1"/>
    <w:rsid w:val="02094F39"/>
    <w:rsid w:val="021F218C"/>
    <w:rsid w:val="028379E2"/>
    <w:rsid w:val="02B03224"/>
    <w:rsid w:val="02DE13F6"/>
    <w:rsid w:val="061231E3"/>
    <w:rsid w:val="0651F81D"/>
    <w:rsid w:val="081BDC00"/>
    <w:rsid w:val="0980C2DC"/>
    <w:rsid w:val="0D986411"/>
    <w:rsid w:val="0E40374F"/>
    <w:rsid w:val="0F9FB446"/>
    <w:rsid w:val="104ACD56"/>
    <w:rsid w:val="105F284D"/>
    <w:rsid w:val="10BB437E"/>
    <w:rsid w:val="11A5AF09"/>
    <w:rsid w:val="123E9ACE"/>
    <w:rsid w:val="13955EDF"/>
    <w:rsid w:val="13C726D3"/>
    <w:rsid w:val="14FF4760"/>
    <w:rsid w:val="15B2D1E0"/>
    <w:rsid w:val="1611E918"/>
    <w:rsid w:val="17A445C8"/>
    <w:rsid w:val="17B35EC8"/>
    <w:rsid w:val="18FA7DA8"/>
    <w:rsid w:val="1AAEEDFD"/>
    <w:rsid w:val="1D6E656E"/>
    <w:rsid w:val="1D94858D"/>
    <w:rsid w:val="1F7364BC"/>
    <w:rsid w:val="1FB5E26D"/>
    <w:rsid w:val="20A05BC7"/>
    <w:rsid w:val="20BD62CA"/>
    <w:rsid w:val="2202CF0B"/>
    <w:rsid w:val="228C895E"/>
    <w:rsid w:val="22915410"/>
    <w:rsid w:val="22B80111"/>
    <w:rsid w:val="232CEFED"/>
    <w:rsid w:val="243FE260"/>
    <w:rsid w:val="24F43098"/>
    <w:rsid w:val="24F55489"/>
    <w:rsid w:val="2558CB11"/>
    <w:rsid w:val="25D78D35"/>
    <w:rsid w:val="27AE65FD"/>
    <w:rsid w:val="27B59499"/>
    <w:rsid w:val="290C4E64"/>
    <w:rsid w:val="293DFC72"/>
    <w:rsid w:val="2A45234B"/>
    <w:rsid w:val="2CA8EB30"/>
    <w:rsid w:val="2CB12ABA"/>
    <w:rsid w:val="2D345BF2"/>
    <w:rsid w:val="2F25DC4C"/>
    <w:rsid w:val="2F76ACD4"/>
    <w:rsid w:val="3016FCE3"/>
    <w:rsid w:val="304066AF"/>
    <w:rsid w:val="319587D1"/>
    <w:rsid w:val="31DFC48F"/>
    <w:rsid w:val="32B1BAE7"/>
    <w:rsid w:val="32F506C4"/>
    <w:rsid w:val="33111254"/>
    <w:rsid w:val="331E2B03"/>
    <w:rsid w:val="332A1C80"/>
    <w:rsid w:val="33B29191"/>
    <w:rsid w:val="33BF2355"/>
    <w:rsid w:val="3423A007"/>
    <w:rsid w:val="34ACB74A"/>
    <w:rsid w:val="35F87923"/>
    <w:rsid w:val="36B8E292"/>
    <w:rsid w:val="3742140B"/>
    <w:rsid w:val="3979161B"/>
    <w:rsid w:val="39AEB2D8"/>
    <w:rsid w:val="3A161781"/>
    <w:rsid w:val="3B6DB312"/>
    <w:rsid w:val="3C426D34"/>
    <w:rsid w:val="3D52C498"/>
    <w:rsid w:val="3DD2875E"/>
    <w:rsid w:val="3E43FC58"/>
    <w:rsid w:val="3F0001EF"/>
    <w:rsid w:val="401946E2"/>
    <w:rsid w:val="4043EFD1"/>
    <w:rsid w:val="404C0837"/>
    <w:rsid w:val="4149F078"/>
    <w:rsid w:val="4252D240"/>
    <w:rsid w:val="42A12051"/>
    <w:rsid w:val="432FC467"/>
    <w:rsid w:val="435CB97B"/>
    <w:rsid w:val="44622143"/>
    <w:rsid w:val="45B7B314"/>
    <w:rsid w:val="48FFE6A6"/>
    <w:rsid w:val="4A17F89F"/>
    <w:rsid w:val="4B40E444"/>
    <w:rsid w:val="4CFE572B"/>
    <w:rsid w:val="5092C94C"/>
    <w:rsid w:val="50E351DC"/>
    <w:rsid w:val="52287AAF"/>
    <w:rsid w:val="52A01233"/>
    <w:rsid w:val="53303819"/>
    <w:rsid w:val="53CFC16B"/>
    <w:rsid w:val="55965CFA"/>
    <w:rsid w:val="56E6559F"/>
    <w:rsid w:val="5715C212"/>
    <w:rsid w:val="571CC4FD"/>
    <w:rsid w:val="5745A166"/>
    <w:rsid w:val="57EE2594"/>
    <w:rsid w:val="59BD7988"/>
    <w:rsid w:val="5A80114A"/>
    <w:rsid w:val="5AB1143A"/>
    <w:rsid w:val="5C36355B"/>
    <w:rsid w:val="5CC4B4B9"/>
    <w:rsid w:val="5CF20D11"/>
    <w:rsid w:val="5DC11AED"/>
    <w:rsid w:val="5DE83FDA"/>
    <w:rsid w:val="5E1F6C41"/>
    <w:rsid w:val="5EE7F8F7"/>
    <w:rsid w:val="5FAB1786"/>
    <w:rsid w:val="60683680"/>
    <w:rsid w:val="61E53AA1"/>
    <w:rsid w:val="61ED853F"/>
    <w:rsid w:val="64F12699"/>
    <w:rsid w:val="65C6AE8C"/>
    <w:rsid w:val="665CB449"/>
    <w:rsid w:val="67E08C87"/>
    <w:rsid w:val="6A07AFA3"/>
    <w:rsid w:val="6C20DEE8"/>
    <w:rsid w:val="6D1E9D4E"/>
    <w:rsid w:val="6D78BF8B"/>
    <w:rsid w:val="6D9529BC"/>
    <w:rsid w:val="6DCA5345"/>
    <w:rsid w:val="6FE3F798"/>
    <w:rsid w:val="7076406F"/>
    <w:rsid w:val="70DC2C14"/>
    <w:rsid w:val="7104FE34"/>
    <w:rsid w:val="711EA292"/>
    <w:rsid w:val="71439E00"/>
    <w:rsid w:val="72052F95"/>
    <w:rsid w:val="72194FE0"/>
    <w:rsid w:val="72248191"/>
    <w:rsid w:val="7446AB79"/>
    <w:rsid w:val="749C3B93"/>
    <w:rsid w:val="755D49DC"/>
    <w:rsid w:val="75E55437"/>
    <w:rsid w:val="770D39F8"/>
    <w:rsid w:val="798EBF7B"/>
    <w:rsid w:val="7B911C8B"/>
    <w:rsid w:val="7C5E1735"/>
    <w:rsid w:val="7C7ADFD6"/>
    <w:rsid w:val="7D2AD9A6"/>
    <w:rsid w:val="7D5B3FCD"/>
    <w:rsid w:val="7D6A37A9"/>
    <w:rsid w:val="7EEBBC89"/>
    <w:rsid w:val="7F1AB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99C6"/>
  <w15:chartTrackingRefBased/>
  <w15:docId w15:val="{AB033047-33AE-4D54-B231-7215B2897E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0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0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30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30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30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30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30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30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30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30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3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0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30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0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3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0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3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0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0B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930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930BF"/>
  </w:style>
  <w:style w:type="character" w:styleId="eop" w:customStyle="1">
    <w:name w:val="eop"/>
    <w:basedOn w:val="DefaultParagraphFont"/>
    <w:rsid w:val="001930BF"/>
  </w:style>
  <w:style w:type="character" w:styleId="scxw43652328" w:customStyle="1">
    <w:name w:val="scxw43652328"/>
    <w:basedOn w:val="DefaultParagraphFont"/>
    <w:rsid w:val="001930BF"/>
  </w:style>
  <w:style w:type="character" w:styleId="CommentReference">
    <w:name w:val="Comment Reference"/>
    <w:basedOn w:val="DefaultParagraphFont"/>
    <w:uiPriority w:val="99"/>
    <w:semiHidden/>
    <w:unhideWhenUsed/>
    <w:rsid w:val="001930B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1930B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930BF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930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30B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17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image" Target="/media/image.jpg" Id="rId2065925860" /><Relationship Type="http://schemas.openxmlformats.org/officeDocument/2006/relationships/hyperlink" Target="https://www.topuniversities.com/world-university-rankings" TargetMode="External" Id="R6024a61252ad4a8d" /><Relationship Type="http://schemas.openxmlformats.org/officeDocument/2006/relationships/hyperlink" Target="https://www.gov.br/capes/pt-br/assuntos/noticias/conselho-superior-aprova-vii-plano-nacional-de-pos-graduacao" TargetMode="External" Id="R9655a59996c64d36" /><Relationship Type="http://schemas.openxmlformats.org/officeDocument/2006/relationships/hyperlink" Target="https://www.gov.br/capes/pt-br/assuntos/noticias/capes-global-edu-tem-54-propostas-de-rede-inscritas-de-todo-o-pais" TargetMode="External" Id="R7d3927c9d55447db" /><Relationship Type="http://schemas.openxmlformats.org/officeDocument/2006/relationships/hyperlink" Target="https://www.topuniversities.com/world-university-rankings/methodology" TargetMode="External" Id="R41006e85cb4d45b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D80358B05498AAD86436FFF3841" ma:contentTypeVersion="18" ma:contentTypeDescription="Create a new document." ma:contentTypeScope="" ma:versionID="aeb23b0220247b39bb13556bfa61ed08">
  <xsd:schema xmlns:xsd="http://www.w3.org/2001/XMLSchema" xmlns:xs="http://www.w3.org/2001/XMLSchema" xmlns:p="http://schemas.microsoft.com/office/2006/metadata/properties" xmlns:ns2="0bfbcbea-6f95-4c61-b234-a6bbe804a9e6" xmlns:ns3="d1395174-bdeb-4ce1-892c-65ecf02aaaf8" targetNamespace="http://schemas.microsoft.com/office/2006/metadata/properties" ma:root="true" ma:fieldsID="443d749eda87b5f1d4b61f95be378174" ns2:_="" ns3:_="">
    <xsd:import namespace="0bfbcbea-6f95-4c61-b234-a6bbe804a9e6"/>
    <xsd:import namespace="d1395174-bdeb-4ce1-892c-65ecf02aaa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cbea-6f95-4c61-b234-a6bbe804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89a7e-35a0-4c85-9e66-9ece76e32d86}" ma:internalName="TaxCatchAll" ma:showField="CatchAllData" ma:web="0bfbcbea-6f95-4c61-b234-a6bbe804a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95174-bdeb-4ce1-892c-65ecf02aa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0a45ee-8771-4b9b-8262-76eb4a5fd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cbea-6f95-4c61-b234-a6bbe804a9e6" xsi:nil="true"/>
    <lcf76f155ced4ddcb4097134ff3c332f xmlns="d1395174-bdeb-4ce1-892c-65ecf02aaa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C1B5F-2247-4CEC-B867-B2BEBBCF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cbea-6f95-4c61-b234-a6bbe804a9e6"/>
    <ds:schemaRef ds:uri="d1395174-bdeb-4ce1-892c-65ecf02a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8DD81-66D1-47BC-A849-3E4B3B21E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F3C3E-B6EA-4C30-9A54-D4E6CADC2E42}">
  <ds:schemaRefs>
    <ds:schemaRef ds:uri="http://schemas.microsoft.com/office/2006/metadata/properties"/>
    <ds:schemaRef ds:uri="http://schemas.microsoft.com/office/infopath/2007/PartnerControls"/>
    <ds:schemaRef ds:uri="0bfbcbea-6f95-4c61-b234-a6bbe804a9e6"/>
    <ds:schemaRef ds:uri="d1395174-bdeb-4ce1-892c-65ecf02aaaf8"/>
  </ds:schemaRefs>
</ds:datastoreItem>
</file>

<file path=customXml/itemProps4.xml><?xml version="1.0" encoding="utf-8"?>
<ds:datastoreItem xmlns:ds="http://schemas.openxmlformats.org/officeDocument/2006/customXml" ds:itemID="{7832D703-B076-42C9-BF84-984EEFCEF7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Quacquarelli-Symonds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Barbieri</dc:creator>
  <keywords>, docId:F45480592E658E148091C19B98986107</keywords>
  <dc:description/>
  <lastModifiedBy>William Barbieri</lastModifiedBy>
  <revision>16</revision>
  <dcterms:created xsi:type="dcterms:W3CDTF">2026-05-20T08:32:00.0000000Z</dcterms:created>
  <dcterms:modified xsi:type="dcterms:W3CDTF">2026-06-16T14:02:32.2108981Z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0x0101003E0E7D80358B05498AAD86436FFF3841</vt:lpwstr>
  </property>
  <property fmtid="{D5CDD505-2E9C-101B-9397-08002B2CF9AE}" pid="3" name="MediaServiceImageTags">
    <vt:lpwstr/>
  </property>
</Properties>
</file>