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C169E" w:rsidR="00CC25AD" w:rsidP="12AA12DD" w:rsidRDefault="00CC25AD" w14:paraId="7556BEDE" w14:textId="24FAD1D1">
      <w:pPr>
        <w:pStyle w:val="paragraph"/>
        <w:spacing w:before="0" w:beforeAutospacing="off" w:after="160" w:afterAutospacing="off" w:line="360" w:lineRule="auto"/>
        <w:jc w:val="center"/>
        <w:textAlignment w:val="baseline"/>
        <w:rPr>
          <w:rFonts w:ascii="Calibri" w:hAnsi="Calibri" w:eastAsia="Calibri" w:cs="Calibri"/>
          <w:lang w:val="en-US"/>
        </w:rPr>
      </w:pPr>
      <w:r w:rsidRPr="12AA12DD" w:rsidR="00CC25AD">
        <w:rPr>
          <w:rStyle w:val="normaltextrun"/>
          <w:rFonts w:ascii="Calibri" w:hAnsi="Calibri" w:eastAsia="Calibri" w:cs="Calibri"/>
          <w:b w:val="1"/>
          <w:bCs w:val="1"/>
          <w:color w:val="FF0000"/>
          <w:lang w:val="en-US"/>
        </w:rPr>
        <w:t>UNDER STRICT EMBARGO UNTIL THURSDAY 18</w:t>
      </w:r>
      <w:r w:rsidRPr="12AA12DD" w:rsidR="00CC25AD">
        <w:rPr>
          <w:rStyle w:val="normaltextrun"/>
          <w:rFonts w:ascii="Calibri" w:hAnsi="Calibri" w:eastAsia="Calibri" w:cs="Calibri"/>
          <w:b w:val="1"/>
          <w:bCs w:val="1"/>
          <w:color w:val="FF0000"/>
          <w:vertAlign w:val="superscript"/>
          <w:lang w:val="en-US"/>
        </w:rPr>
        <w:t>th </w:t>
      </w:r>
      <w:r w:rsidRPr="12AA12DD" w:rsidR="00CC25AD">
        <w:rPr>
          <w:rStyle w:val="normaltextrun"/>
          <w:rFonts w:ascii="Calibri" w:hAnsi="Calibri" w:eastAsia="Calibri" w:cs="Calibri"/>
          <w:b w:val="1"/>
          <w:bCs w:val="1"/>
          <w:color w:val="FF0000"/>
          <w:lang w:val="en-US"/>
        </w:rPr>
        <w:t>JUNE AT 00:01 AM BST</w:t>
      </w:r>
    </w:p>
    <w:p w:rsidRPr="005C169E" w:rsidR="00CB506D" w:rsidP="12AA12DD" w:rsidRDefault="00CC25AD" w14:paraId="774D4C42" w14:textId="537DE21B">
      <w:pPr>
        <w:pStyle w:val="paragraph"/>
        <w:spacing w:before="0" w:beforeAutospacing="off" w:after="160" w:afterAutospacing="off" w:line="360" w:lineRule="auto"/>
        <w:jc w:val="center"/>
        <w:textAlignment w:val="baseline"/>
        <w:rPr>
          <w:rStyle w:val="normaltextrun"/>
          <w:rFonts w:ascii="Calibri" w:hAnsi="Calibri" w:eastAsia="Calibri" w:cs="Calibri"/>
          <w:b w:val="1"/>
          <w:bCs w:val="1"/>
          <w:lang w:val="en-US"/>
        </w:rPr>
      </w:pPr>
      <w:r w:rsidRPr="12AA12DD" w:rsidR="00CC25AD">
        <w:rPr>
          <w:rStyle w:val="normaltextrun"/>
          <w:rFonts w:ascii="Calibri" w:hAnsi="Calibri" w:eastAsia="Calibri" w:cs="Calibri"/>
          <w:b w:val="1"/>
          <w:bCs w:val="1"/>
          <w:lang w:val="en-US"/>
        </w:rPr>
        <w:t>QS World University Rankings 2027</w:t>
      </w:r>
    </w:p>
    <w:p w:rsidRPr="005C169E" w:rsidR="00CC25AD" w:rsidP="12AA12DD" w:rsidRDefault="0055176B" w14:paraId="2971AFCE" w14:textId="55F9C828">
      <w:pPr>
        <w:pStyle w:val="paragraph"/>
        <w:suppressLineNumbers w:val="0"/>
        <w:bidi w:val="0"/>
        <w:spacing w:before="0" w:beforeAutospacing="off" w:after="160" w:afterAutospacing="off" w:line="360" w:lineRule="auto"/>
        <w:ind w:left="0" w:right="0"/>
        <w:jc w:val="center"/>
        <w:rPr>
          <w:rStyle w:val="normaltextrun"/>
          <w:rFonts w:ascii="Calibri" w:hAnsi="Calibri" w:eastAsia="Calibri" w:cs="Calibri"/>
          <w:b w:val="1"/>
          <w:bCs w:val="1"/>
          <w:lang w:val="en-US"/>
        </w:rPr>
      </w:pPr>
      <w:r w:rsidRPr="12AA12DD" w:rsidR="5F538BB6">
        <w:rPr>
          <w:rStyle w:val="normaltextrun"/>
          <w:rFonts w:ascii="Calibri" w:hAnsi="Calibri" w:eastAsia="Calibri" w:cs="Calibri"/>
          <w:b w:val="1"/>
          <w:bCs w:val="1"/>
          <w:lang w:val="en-US"/>
        </w:rPr>
        <w:t xml:space="preserve">US </w:t>
      </w:r>
      <w:r w:rsidRPr="12AA12DD" w:rsidR="26D37C94">
        <w:rPr>
          <w:rStyle w:val="normaltextrun"/>
          <w:rFonts w:ascii="Calibri" w:hAnsi="Calibri" w:eastAsia="Calibri" w:cs="Calibri"/>
          <w:b w:val="1"/>
          <w:bCs w:val="1"/>
          <w:lang w:val="en-US"/>
        </w:rPr>
        <w:t xml:space="preserve">and European leadership challenged </w:t>
      </w:r>
      <w:r w:rsidRPr="12AA12DD" w:rsidR="38664630">
        <w:rPr>
          <w:rStyle w:val="normaltextrun"/>
          <w:rFonts w:ascii="Calibri" w:hAnsi="Calibri" w:eastAsia="Calibri" w:cs="Calibri"/>
          <w:b w:val="1"/>
          <w:bCs w:val="1"/>
          <w:lang w:val="en-US"/>
        </w:rPr>
        <w:t>amid</w:t>
      </w:r>
      <w:r w:rsidRPr="12AA12DD" w:rsidR="5F538BB6">
        <w:rPr>
          <w:rStyle w:val="normaltextrun"/>
          <w:rFonts w:ascii="Calibri" w:hAnsi="Calibri" w:eastAsia="Calibri" w:cs="Calibri"/>
          <w:b w:val="1"/>
          <w:bCs w:val="1"/>
          <w:lang w:val="en-US"/>
        </w:rPr>
        <w:t xml:space="preserve"> competition from Asia and Middle East</w:t>
      </w:r>
    </w:p>
    <w:p w:rsidRPr="005C169E" w:rsidR="00CC25AD" w:rsidP="12AA12DD" w:rsidRDefault="00CC25AD" w14:paraId="7CE88A64" w14:textId="612BC887">
      <w:pPr>
        <w:pStyle w:val="paragraph"/>
        <w:spacing w:before="0" w:beforeAutospacing="off" w:after="160" w:afterAutospacing="off" w:line="360" w:lineRule="auto"/>
        <w:jc w:val="center"/>
        <w:textAlignment w:val="baseline"/>
        <w:rPr>
          <w:rFonts w:ascii="Calibri" w:hAnsi="Calibri" w:eastAsia="Calibri" w:cs="Calibri"/>
          <w:b w:val="1"/>
          <w:bCs w:val="1"/>
          <w:lang w:val="en-US"/>
        </w:rPr>
      </w:pPr>
      <w:r w:rsidRPr="12AA12DD" w:rsidR="00CC25AD">
        <w:rPr>
          <w:rFonts w:ascii="Calibri" w:hAnsi="Calibri" w:eastAsia="Calibri" w:cs="Calibri"/>
          <w:b w:val="1"/>
          <w:bCs w:val="1"/>
          <w:lang w:val="en-US"/>
        </w:rPr>
        <w:t>#QSWUR</w:t>
      </w:r>
    </w:p>
    <w:p w:rsidRPr="005C169E" w:rsidR="00CC25AD" w:rsidP="12AA12DD" w:rsidRDefault="00CC25AD" w14:paraId="5B3FCAB0" w14:textId="201F8CBD">
      <w:pPr>
        <w:pStyle w:val="paragraph"/>
        <w:spacing w:before="0" w:beforeAutospacing="off" w:after="160" w:afterAutospacing="off" w:line="360" w:lineRule="auto"/>
        <w:textAlignment w:val="baseline"/>
        <w:rPr>
          <w:rFonts w:ascii="Calibri" w:hAnsi="Calibri" w:eastAsia="Calibri" w:cs="Calibri"/>
          <w:color w:val="EE0000"/>
          <w:sz w:val="16"/>
          <w:szCs w:val="16"/>
        </w:rPr>
      </w:pPr>
      <w:r w:rsidRPr="12AA12DD" w:rsidR="00CC25AD">
        <w:rPr>
          <w:rFonts w:ascii="Calibri" w:hAnsi="Calibri" w:eastAsia="Calibri" w:cs="Calibri"/>
          <w:b w:val="1"/>
          <w:bCs w:val="1"/>
          <w:i w:val="1"/>
          <w:iCs w:val="1"/>
          <w:sz w:val="22"/>
          <w:szCs w:val="22"/>
        </w:rPr>
        <w:t>London, 18</w:t>
      </w:r>
      <w:r w:rsidRPr="12AA12DD" w:rsidR="00CC25AD">
        <w:rPr>
          <w:rFonts w:ascii="Calibri" w:hAnsi="Calibri" w:eastAsia="Calibri" w:cs="Calibri"/>
          <w:b w:val="1"/>
          <w:bCs w:val="1"/>
          <w:i w:val="1"/>
          <w:iCs w:val="1"/>
          <w:sz w:val="22"/>
          <w:szCs w:val="22"/>
          <w:vertAlign w:val="superscript"/>
        </w:rPr>
        <w:t>th</w:t>
      </w:r>
      <w:r w:rsidRPr="12AA12DD" w:rsidR="00CC25AD">
        <w:rPr>
          <w:rFonts w:ascii="Calibri" w:hAnsi="Calibri" w:eastAsia="Calibri" w:cs="Calibri"/>
          <w:b w:val="1"/>
          <w:bCs w:val="1"/>
          <w:i w:val="1"/>
          <w:iCs w:val="1"/>
          <w:sz w:val="22"/>
          <w:szCs w:val="22"/>
        </w:rPr>
        <w:t> June 2026: </w:t>
      </w:r>
      <w:r w:rsidRPr="12AA12DD" w:rsidR="00CC25AD">
        <w:rPr>
          <w:rFonts w:ascii="Calibri" w:hAnsi="Calibri" w:eastAsia="Calibri" w:cs="Calibri"/>
          <w:sz w:val="22"/>
          <w:szCs w:val="22"/>
        </w:rPr>
        <w:t>International higher education experts QS Quacquarelli Symonds has today released the 2</w:t>
      </w:r>
      <w:r w:rsidRPr="12AA12DD" w:rsidR="009B01A1">
        <w:rPr>
          <w:rFonts w:ascii="Calibri" w:hAnsi="Calibri" w:eastAsia="Calibri" w:cs="Calibri"/>
          <w:sz w:val="22"/>
          <w:szCs w:val="22"/>
        </w:rPr>
        <w:t>3</w:t>
      </w:r>
      <w:r w:rsidRPr="12AA12DD" w:rsidR="009B01A1">
        <w:rPr>
          <w:rFonts w:ascii="Calibri" w:hAnsi="Calibri" w:eastAsia="Calibri" w:cs="Calibri"/>
          <w:sz w:val="22"/>
          <w:szCs w:val="22"/>
          <w:vertAlign w:val="superscript"/>
        </w:rPr>
        <w:t>rd</w:t>
      </w:r>
      <w:r w:rsidRPr="12AA12DD" w:rsidR="009B01A1">
        <w:rPr>
          <w:rFonts w:ascii="Calibri" w:hAnsi="Calibri" w:eastAsia="Calibri" w:cs="Calibri"/>
          <w:sz w:val="22"/>
          <w:szCs w:val="22"/>
        </w:rPr>
        <w:t xml:space="preserve"> </w:t>
      </w:r>
      <w:r w:rsidRPr="12AA12DD" w:rsidR="00CC25AD">
        <w:rPr>
          <w:rFonts w:ascii="Calibri" w:hAnsi="Calibri" w:eastAsia="Calibri" w:cs="Calibri"/>
          <w:sz w:val="22"/>
          <w:szCs w:val="22"/>
        </w:rPr>
        <w:t>annual edition of the </w:t>
      </w:r>
      <w:hyperlink r:id="R423d0508dda14b6b">
        <w:r w:rsidRPr="12AA12DD" w:rsidR="00CC25AD">
          <w:rPr>
            <w:rStyle w:val="Hyperlink"/>
            <w:rFonts w:ascii="Calibri" w:hAnsi="Calibri" w:eastAsia="Calibri" w:cs="Calibri"/>
            <w:sz w:val="22"/>
            <w:szCs w:val="22"/>
          </w:rPr>
          <w:t>QS World University Rankings</w:t>
        </w:r>
      </w:hyperlink>
      <w:r w:rsidRPr="12AA12DD" w:rsidR="00CC25AD">
        <w:rPr>
          <w:rFonts w:ascii="Calibri" w:hAnsi="Calibri" w:eastAsia="Calibri" w:cs="Calibri"/>
          <w:color w:val="EE0000"/>
          <w:sz w:val="22"/>
          <w:szCs w:val="22"/>
        </w:rPr>
        <w:t>*</w:t>
      </w:r>
      <w:r w:rsidRPr="12AA12DD" w:rsidR="00CC25AD">
        <w:rPr>
          <w:rFonts w:ascii="Calibri" w:hAnsi="Calibri" w:eastAsia="Calibri" w:cs="Calibri"/>
          <w:sz w:val="22"/>
          <w:szCs w:val="22"/>
        </w:rPr>
        <w:t>. </w:t>
      </w:r>
      <w:r w:rsidRPr="12AA12DD" w:rsidR="00CC25AD">
        <w:rPr>
          <w:rFonts w:ascii="Calibri" w:hAnsi="Calibri" w:eastAsia="Calibri" w:cs="Calibri"/>
          <w:color w:val="EE0000"/>
          <w:sz w:val="16"/>
          <w:szCs w:val="16"/>
        </w:rPr>
        <w:t>*The link will be updated with the latest results when the embargo lifts.</w:t>
      </w:r>
    </w:p>
    <w:p w:rsidRPr="005C169E" w:rsidR="00CC25AD" w:rsidP="12AA12DD" w:rsidRDefault="00CC25AD" w14:paraId="3725EE02" w14:textId="6141DD68">
      <w:pPr>
        <w:pStyle w:val="paragraph"/>
        <w:spacing w:before="0" w:beforeAutospacing="off" w:after="160" w:afterAutospacing="off" w:line="360" w:lineRule="auto"/>
        <w:textAlignment w:val="baseline"/>
        <w:rPr>
          <w:rFonts w:ascii="Calibri" w:hAnsi="Calibri" w:eastAsia="Calibri" w:cs="Calibri"/>
          <w:sz w:val="22"/>
          <w:szCs w:val="22"/>
        </w:rPr>
      </w:pPr>
      <w:r w:rsidRPr="12AA12DD" w:rsidR="00CC25AD">
        <w:rPr>
          <w:rFonts w:ascii="Calibri" w:hAnsi="Calibri" w:eastAsia="Calibri" w:cs="Calibri"/>
          <w:sz w:val="22"/>
          <w:szCs w:val="22"/>
        </w:rPr>
        <w:t xml:space="preserve">For the fifteenth consecutive year, </w:t>
      </w:r>
      <w:r w:rsidRPr="12AA12DD" w:rsidR="00CC25AD">
        <w:rPr>
          <w:rFonts w:ascii="Calibri" w:hAnsi="Calibri" w:eastAsia="Calibri" w:cs="Calibri"/>
          <w:b w:val="1"/>
          <w:bCs w:val="1"/>
          <w:sz w:val="22"/>
          <w:szCs w:val="22"/>
        </w:rPr>
        <w:t>Massachusetts Institute of Technology (MIT) </w:t>
      </w:r>
      <w:r w:rsidRPr="12AA12DD" w:rsidR="00CC25AD">
        <w:rPr>
          <w:rFonts w:ascii="Calibri" w:hAnsi="Calibri" w:eastAsia="Calibri" w:cs="Calibri"/>
          <w:sz w:val="22"/>
          <w:szCs w:val="22"/>
        </w:rPr>
        <w:t>retains</w:t>
      </w:r>
      <w:r w:rsidRPr="12AA12DD" w:rsidR="00CC25AD">
        <w:rPr>
          <w:rFonts w:ascii="Calibri" w:hAnsi="Calibri" w:eastAsia="Calibri" w:cs="Calibri"/>
          <w:sz w:val="22"/>
          <w:szCs w:val="22"/>
        </w:rPr>
        <w:t xml:space="preserve"> the top spot. </w:t>
      </w:r>
      <w:r w:rsidRPr="12AA12DD" w:rsidR="00CC25AD">
        <w:rPr>
          <w:rFonts w:ascii="Calibri" w:hAnsi="Calibri" w:eastAsia="Calibri" w:cs="Calibri"/>
          <w:b w:val="1"/>
          <w:bCs w:val="1"/>
          <w:sz w:val="22"/>
          <w:szCs w:val="22"/>
        </w:rPr>
        <w:t>Imperial College London</w:t>
      </w:r>
      <w:r w:rsidRPr="12AA12DD" w:rsidR="00CC25AD">
        <w:rPr>
          <w:rFonts w:ascii="Calibri" w:hAnsi="Calibri" w:eastAsia="Calibri" w:cs="Calibri"/>
          <w:sz w:val="22"/>
          <w:szCs w:val="22"/>
        </w:rPr>
        <w:t> </w:t>
      </w:r>
      <w:r w:rsidRPr="12AA12DD" w:rsidR="00CC25AD">
        <w:rPr>
          <w:rFonts w:ascii="Calibri" w:hAnsi="Calibri" w:eastAsia="Calibri" w:cs="Calibri"/>
          <w:sz w:val="22"/>
          <w:szCs w:val="22"/>
        </w:rPr>
        <w:t>remains</w:t>
      </w:r>
      <w:r w:rsidRPr="12AA12DD" w:rsidR="00CC25AD">
        <w:rPr>
          <w:rFonts w:ascii="Calibri" w:hAnsi="Calibri" w:eastAsia="Calibri" w:cs="Calibri"/>
          <w:sz w:val="22"/>
          <w:szCs w:val="22"/>
        </w:rPr>
        <w:t xml:space="preserve"> second for the third year in a row, now sharing the position with </w:t>
      </w:r>
      <w:r w:rsidRPr="12AA12DD" w:rsidR="00CC25AD">
        <w:rPr>
          <w:rFonts w:ascii="Calibri" w:hAnsi="Calibri" w:eastAsia="Calibri" w:cs="Calibri"/>
          <w:b w:val="1"/>
          <w:bCs w:val="1"/>
          <w:sz w:val="22"/>
          <w:szCs w:val="22"/>
        </w:rPr>
        <w:t>Stanford University</w:t>
      </w:r>
      <w:r w:rsidRPr="12AA12DD" w:rsidR="00CC25AD">
        <w:rPr>
          <w:rFonts w:ascii="Calibri" w:hAnsi="Calibri" w:eastAsia="Calibri" w:cs="Calibri"/>
          <w:sz w:val="22"/>
          <w:szCs w:val="22"/>
        </w:rPr>
        <w:t> which climbs from third after placing sixth t</w:t>
      </w:r>
      <w:r w:rsidRPr="12AA12DD" w:rsidR="22F105ED">
        <w:rPr>
          <w:rFonts w:ascii="Calibri" w:hAnsi="Calibri" w:eastAsia="Calibri" w:cs="Calibri"/>
          <w:sz w:val="22"/>
          <w:szCs w:val="22"/>
        </w:rPr>
        <w:t>he year before</w:t>
      </w:r>
      <w:r w:rsidRPr="12AA12DD" w:rsidR="0018035E">
        <w:rPr>
          <w:rFonts w:ascii="Calibri" w:hAnsi="Calibri" w:eastAsia="Calibri" w:cs="Calibri"/>
          <w:sz w:val="22"/>
          <w:szCs w:val="22"/>
        </w:rPr>
        <w:t xml:space="preserve">. The </w:t>
      </w:r>
      <w:r w:rsidRPr="12AA12DD" w:rsidR="0018035E">
        <w:rPr>
          <w:rFonts w:ascii="Calibri" w:hAnsi="Calibri" w:eastAsia="Calibri" w:cs="Calibri"/>
          <w:b w:val="1"/>
          <w:bCs w:val="1"/>
          <w:sz w:val="22"/>
          <w:szCs w:val="22"/>
        </w:rPr>
        <w:t>University of Oxford</w:t>
      </w:r>
      <w:r w:rsidRPr="12AA12DD" w:rsidR="0018035E">
        <w:rPr>
          <w:rFonts w:ascii="Calibri" w:hAnsi="Calibri" w:eastAsia="Calibri" w:cs="Calibri"/>
          <w:sz w:val="22"/>
          <w:szCs w:val="22"/>
        </w:rPr>
        <w:t xml:space="preserve"> </w:t>
      </w:r>
      <w:r w:rsidRPr="12AA12DD" w:rsidR="00CC25AD">
        <w:rPr>
          <w:rFonts w:ascii="Calibri" w:hAnsi="Calibri" w:eastAsia="Calibri" w:cs="Calibri"/>
          <w:sz w:val="22"/>
          <w:szCs w:val="22"/>
        </w:rPr>
        <w:t>and </w:t>
      </w:r>
      <w:r w:rsidRPr="12AA12DD" w:rsidR="00CC25AD">
        <w:rPr>
          <w:rFonts w:ascii="Calibri" w:hAnsi="Calibri" w:eastAsia="Calibri" w:cs="Calibri"/>
          <w:b w:val="1"/>
          <w:bCs w:val="1"/>
          <w:sz w:val="22"/>
          <w:szCs w:val="22"/>
        </w:rPr>
        <w:t>Harvard University</w:t>
      </w:r>
      <w:r w:rsidRPr="12AA12DD" w:rsidR="00CC25AD">
        <w:rPr>
          <w:rFonts w:ascii="Calibri" w:hAnsi="Calibri" w:eastAsia="Calibri" w:cs="Calibri"/>
          <w:sz w:val="22"/>
          <w:szCs w:val="22"/>
        </w:rPr>
        <w:t xml:space="preserve"> both </w:t>
      </w:r>
      <w:r w:rsidRPr="12AA12DD" w:rsidR="00CC25AD">
        <w:rPr>
          <w:rFonts w:ascii="Calibri" w:hAnsi="Calibri" w:eastAsia="Calibri" w:cs="Calibri"/>
          <w:sz w:val="22"/>
          <w:szCs w:val="22"/>
        </w:rPr>
        <w:t>remain</w:t>
      </w:r>
      <w:r w:rsidRPr="12AA12DD" w:rsidR="00CC25AD">
        <w:rPr>
          <w:rFonts w:ascii="Calibri" w:hAnsi="Calibri" w:eastAsia="Calibri" w:cs="Calibri"/>
          <w:sz w:val="22"/>
          <w:szCs w:val="22"/>
        </w:rPr>
        <w:t xml:space="preserve"> fourth and </w:t>
      </w:r>
      <w:r w:rsidRPr="12AA12DD" w:rsidR="00CC25AD">
        <w:rPr>
          <w:rFonts w:ascii="Calibri" w:hAnsi="Calibri" w:eastAsia="Calibri" w:cs="Calibri"/>
          <w:sz w:val="22"/>
          <w:szCs w:val="22"/>
        </w:rPr>
        <w:t>fifth</w:t>
      </w:r>
      <w:r w:rsidRPr="12AA12DD" w:rsidR="00CC25AD">
        <w:rPr>
          <w:rFonts w:ascii="Calibri" w:hAnsi="Calibri" w:eastAsia="Calibri" w:cs="Calibri"/>
          <w:sz w:val="22"/>
          <w:szCs w:val="22"/>
        </w:rPr>
        <w:t> respectively.</w:t>
      </w:r>
    </w:p>
    <w:p w:rsidRPr="005C169E" w:rsidR="00031A0E" w:rsidP="12AA12DD" w:rsidRDefault="0018035E" w14:paraId="6E693146" w14:textId="38D0FBE1">
      <w:pPr>
        <w:pStyle w:val="paragraph"/>
        <w:suppressLineNumbers w:val="0"/>
        <w:bidi w:val="0"/>
        <w:spacing w:before="0" w:beforeAutospacing="off" w:after="160" w:afterAutospacing="off" w:line="360" w:lineRule="auto"/>
        <w:ind w:left="0" w:right="0"/>
        <w:jc w:val="left"/>
        <w:rPr>
          <w:rFonts w:ascii="Calibri" w:hAnsi="Calibri" w:eastAsia="Calibri" w:cs="Calibri"/>
          <w:sz w:val="22"/>
          <w:szCs w:val="22"/>
        </w:rPr>
      </w:pPr>
      <w:r w:rsidRPr="12AA12DD" w:rsidR="0018035E">
        <w:rPr>
          <w:rFonts w:ascii="Calibri" w:hAnsi="Calibri" w:eastAsia="Calibri" w:cs="Calibri"/>
          <w:sz w:val="22"/>
          <w:szCs w:val="22"/>
        </w:rPr>
        <w:t xml:space="preserve">Alongside the US and the UK, Switzerland and Singapore are the only other higher education systems </w:t>
      </w:r>
      <w:r w:rsidRPr="12AA12DD" w:rsidR="4C6CDF0D">
        <w:rPr>
          <w:rFonts w:ascii="Calibri" w:hAnsi="Calibri" w:eastAsia="Calibri" w:cs="Calibri"/>
          <w:sz w:val="22"/>
          <w:szCs w:val="22"/>
        </w:rPr>
        <w:t xml:space="preserve">represented </w:t>
      </w:r>
      <w:r w:rsidRPr="12AA12DD" w:rsidR="0018035E">
        <w:rPr>
          <w:rFonts w:ascii="Calibri" w:hAnsi="Calibri" w:eastAsia="Calibri" w:cs="Calibri"/>
          <w:sz w:val="22"/>
          <w:szCs w:val="22"/>
        </w:rPr>
        <w:t>in the top 10</w:t>
      </w:r>
      <w:r w:rsidRPr="12AA12DD" w:rsidR="3A3FD78D">
        <w:rPr>
          <w:rFonts w:ascii="Calibri" w:hAnsi="Calibri" w:eastAsia="Calibri" w:cs="Calibri"/>
          <w:sz w:val="22"/>
          <w:szCs w:val="22"/>
        </w:rPr>
        <w:t>.</w:t>
      </w:r>
      <w:r w:rsidRPr="12AA12DD" w:rsidR="0018035E">
        <w:rPr>
          <w:rFonts w:ascii="Calibri" w:hAnsi="Calibri" w:eastAsia="Calibri" w:cs="Calibri"/>
          <w:sz w:val="22"/>
          <w:szCs w:val="22"/>
        </w:rPr>
        <w:t xml:space="preserve"> </w:t>
      </w:r>
      <w:r w:rsidRPr="12AA12DD" w:rsidR="0018035E">
        <w:rPr>
          <w:rFonts w:ascii="Calibri" w:hAnsi="Calibri" w:eastAsia="Calibri" w:cs="Calibri"/>
          <w:b w:val="1"/>
          <w:bCs w:val="1"/>
          <w:sz w:val="22"/>
          <w:szCs w:val="22"/>
        </w:rPr>
        <w:t>ETH Zurich</w:t>
      </w:r>
      <w:r w:rsidRPr="12AA12DD" w:rsidR="0018035E">
        <w:rPr>
          <w:rFonts w:ascii="Calibri" w:hAnsi="Calibri" w:eastAsia="Calibri" w:cs="Calibri"/>
          <w:sz w:val="22"/>
          <w:szCs w:val="22"/>
        </w:rPr>
        <w:t xml:space="preserve"> plac</w:t>
      </w:r>
      <w:r w:rsidRPr="12AA12DD" w:rsidR="389BEEFB">
        <w:rPr>
          <w:rFonts w:ascii="Calibri" w:hAnsi="Calibri" w:eastAsia="Calibri" w:cs="Calibri"/>
          <w:sz w:val="22"/>
          <w:szCs w:val="22"/>
        </w:rPr>
        <w:t>es</w:t>
      </w:r>
      <w:r w:rsidRPr="12AA12DD" w:rsidR="0018035E">
        <w:rPr>
          <w:rFonts w:ascii="Calibri" w:hAnsi="Calibri" w:eastAsia="Calibri" w:cs="Calibri"/>
          <w:sz w:val="22"/>
          <w:szCs w:val="22"/>
        </w:rPr>
        <w:t xml:space="preserve"> eighth, down from seventh, and </w:t>
      </w:r>
      <w:r w:rsidRPr="12AA12DD" w:rsidR="0018035E">
        <w:rPr>
          <w:rFonts w:ascii="Calibri" w:hAnsi="Calibri" w:eastAsia="Calibri" w:cs="Calibri"/>
          <w:b w:val="1"/>
          <w:bCs w:val="1"/>
          <w:sz w:val="22"/>
          <w:szCs w:val="22"/>
        </w:rPr>
        <w:t>National University of Singapore (NUS)</w:t>
      </w:r>
      <w:r w:rsidRPr="12AA12DD" w:rsidR="0018035E">
        <w:rPr>
          <w:rFonts w:ascii="Calibri" w:hAnsi="Calibri" w:eastAsia="Calibri" w:cs="Calibri"/>
          <w:sz w:val="22"/>
          <w:szCs w:val="22"/>
        </w:rPr>
        <w:t xml:space="preserve"> plac</w:t>
      </w:r>
      <w:r w:rsidRPr="12AA12DD" w:rsidR="3B6A3901">
        <w:rPr>
          <w:rFonts w:ascii="Calibri" w:hAnsi="Calibri" w:eastAsia="Calibri" w:cs="Calibri"/>
          <w:sz w:val="22"/>
          <w:szCs w:val="22"/>
        </w:rPr>
        <w:t>es</w:t>
      </w:r>
      <w:r w:rsidRPr="12AA12DD" w:rsidR="0018035E">
        <w:rPr>
          <w:rFonts w:ascii="Calibri" w:hAnsi="Calibri" w:eastAsia="Calibri" w:cs="Calibri"/>
          <w:sz w:val="22"/>
          <w:szCs w:val="22"/>
        </w:rPr>
        <w:t xml:space="preserve"> tenth, down from eighth.</w:t>
      </w:r>
    </w:p>
    <w:p w:rsidRPr="005C169E" w:rsidR="0018035E" w:rsidP="12AA12DD" w:rsidRDefault="0018035E" w14:paraId="0900163B" w14:textId="79CA4B9F">
      <w:pPr>
        <w:pStyle w:val="paragraph"/>
        <w:spacing w:before="0" w:beforeAutospacing="off" w:after="160" w:afterAutospacing="off" w:line="360" w:lineRule="auto"/>
        <w:textAlignment w:val="baseline"/>
        <w:rPr>
          <w:rFonts w:ascii="Calibri" w:hAnsi="Calibri" w:eastAsia="Calibri" w:cs="Calibri"/>
          <w:sz w:val="22"/>
          <w:szCs w:val="22"/>
        </w:rPr>
      </w:pPr>
      <w:r w:rsidRPr="12AA12DD" w:rsidR="0018035E">
        <w:rPr>
          <w:rFonts w:ascii="Calibri" w:hAnsi="Calibri" w:eastAsia="Calibri" w:cs="Calibri"/>
          <w:sz w:val="22"/>
          <w:szCs w:val="22"/>
        </w:rPr>
        <w:t>There are no new entries among the global top 10</w:t>
      </w:r>
      <w:r w:rsidRPr="12AA12DD" w:rsidR="00031A0E">
        <w:rPr>
          <w:rFonts w:ascii="Calibri" w:hAnsi="Calibri" w:eastAsia="Calibri" w:cs="Calibri"/>
          <w:sz w:val="22"/>
          <w:szCs w:val="22"/>
        </w:rPr>
        <w:t xml:space="preserve"> while </w:t>
      </w:r>
      <w:r w:rsidRPr="12AA12DD" w:rsidR="00031A0E">
        <w:rPr>
          <w:rFonts w:ascii="Calibri" w:hAnsi="Calibri" w:eastAsia="Calibri" w:cs="Calibri"/>
          <w:b w:val="1"/>
          <w:bCs w:val="1"/>
          <w:sz w:val="22"/>
          <w:szCs w:val="22"/>
        </w:rPr>
        <w:t>Yale University</w:t>
      </w:r>
      <w:r w:rsidRPr="12AA12DD" w:rsidR="00031A0E">
        <w:rPr>
          <w:rFonts w:ascii="Calibri" w:hAnsi="Calibri" w:eastAsia="Calibri" w:cs="Calibri"/>
          <w:sz w:val="22"/>
          <w:szCs w:val="22"/>
        </w:rPr>
        <w:t xml:space="preserve">, </w:t>
      </w:r>
      <w:r w:rsidRPr="12AA12DD" w:rsidR="00031A0E">
        <w:rPr>
          <w:rFonts w:ascii="Calibri" w:hAnsi="Calibri" w:eastAsia="Calibri" w:cs="Calibri"/>
          <w:b w:val="1"/>
          <w:bCs w:val="1"/>
          <w:sz w:val="22"/>
          <w:szCs w:val="22"/>
        </w:rPr>
        <w:t xml:space="preserve">The Chinese University of </w:t>
      </w:r>
      <w:r w:rsidRPr="12AA12DD" w:rsidR="00031A0E">
        <w:rPr>
          <w:rFonts w:ascii="Calibri" w:hAnsi="Calibri" w:eastAsia="Calibri" w:cs="Calibri"/>
          <w:b w:val="1"/>
          <w:bCs w:val="1"/>
          <w:sz w:val="22"/>
          <w:szCs w:val="22"/>
        </w:rPr>
        <w:t>Hong Kong</w:t>
      </w:r>
      <w:r w:rsidRPr="12AA12DD" w:rsidR="00031A0E">
        <w:rPr>
          <w:rFonts w:ascii="Calibri" w:hAnsi="Calibri" w:eastAsia="Calibri" w:cs="Calibri"/>
          <w:b w:val="1"/>
          <w:bCs w:val="1"/>
          <w:sz w:val="22"/>
          <w:szCs w:val="22"/>
        </w:rPr>
        <w:t xml:space="preserve"> </w:t>
      </w:r>
      <w:r w:rsidRPr="12AA12DD" w:rsidR="00031A0E">
        <w:rPr>
          <w:rFonts w:ascii="Calibri" w:hAnsi="Calibri" w:eastAsia="Calibri" w:cs="Calibri"/>
          <w:sz w:val="22"/>
          <w:szCs w:val="22"/>
        </w:rPr>
        <w:t xml:space="preserve">and </w:t>
      </w:r>
      <w:r w:rsidRPr="12AA12DD" w:rsidR="00031A0E">
        <w:rPr>
          <w:rFonts w:ascii="Calibri" w:hAnsi="Calibri" w:eastAsia="Calibri" w:cs="Calibri"/>
          <w:b w:val="1"/>
          <w:bCs w:val="1"/>
          <w:sz w:val="22"/>
          <w:szCs w:val="22"/>
        </w:rPr>
        <w:t>Johns Hopkins University</w:t>
      </w:r>
      <w:r w:rsidRPr="12AA12DD" w:rsidR="00031A0E">
        <w:rPr>
          <w:rFonts w:ascii="Calibri" w:hAnsi="Calibri" w:eastAsia="Calibri" w:cs="Calibri"/>
          <w:sz w:val="22"/>
          <w:szCs w:val="22"/>
        </w:rPr>
        <w:t xml:space="preserve"> break into the top 20, ranking 16</w:t>
      </w:r>
      <w:r w:rsidRPr="12AA12DD" w:rsidR="00031A0E">
        <w:rPr>
          <w:rFonts w:ascii="Calibri" w:hAnsi="Calibri" w:eastAsia="Calibri" w:cs="Calibri"/>
          <w:sz w:val="22"/>
          <w:szCs w:val="22"/>
          <w:vertAlign w:val="superscript"/>
        </w:rPr>
        <w:t>th</w:t>
      </w:r>
      <w:r w:rsidRPr="12AA12DD" w:rsidR="00031A0E">
        <w:rPr>
          <w:rFonts w:ascii="Calibri" w:hAnsi="Calibri" w:eastAsia="Calibri" w:cs="Calibri"/>
          <w:sz w:val="22"/>
          <w:szCs w:val="22"/>
        </w:rPr>
        <w:t>, 18</w:t>
      </w:r>
      <w:r w:rsidRPr="12AA12DD" w:rsidR="00031A0E">
        <w:rPr>
          <w:rFonts w:ascii="Calibri" w:hAnsi="Calibri" w:eastAsia="Calibri" w:cs="Calibri"/>
          <w:sz w:val="22"/>
          <w:szCs w:val="22"/>
          <w:vertAlign w:val="superscript"/>
        </w:rPr>
        <w:t>th</w:t>
      </w:r>
      <w:r w:rsidRPr="12AA12DD" w:rsidR="00031A0E">
        <w:rPr>
          <w:rFonts w:ascii="Calibri" w:hAnsi="Calibri" w:eastAsia="Calibri" w:cs="Calibri"/>
          <w:sz w:val="22"/>
          <w:szCs w:val="22"/>
        </w:rPr>
        <w:t xml:space="preserve"> and </w:t>
      </w:r>
      <w:r w:rsidRPr="12AA12DD" w:rsidR="0D258329">
        <w:rPr>
          <w:rFonts w:ascii="Calibri" w:hAnsi="Calibri" w:eastAsia="Calibri" w:cs="Calibri"/>
          <w:sz w:val="22"/>
          <w:szCs w:val="22"/>
        </w:rPr>
        <w:t>joint-</w:t>
      </w:r>
      <w:r w:rsidRPr="12AA12DD" w:rsidR="00031A0E">
        <w:rPr>
          <w:rFonts w:ascii="Calibri" w:hAnsi="Calibri" w:eastAsia="Calibri" w:cs="Calibri"/>
          <w:sz w:val="22"/>
          <w:szCs w:val="22"/>
        </w:rPr>
        <w:t>20</w:t>
      </w:r>
      <w:r w:rsidRPr="12AA12DD" w:rsidR="00031A0E">
        <w:rPr>
          <w:rFonts w:ascii="Calibri" w:hAnsi="Calibri" w:eastAsia="Calibri" w:cs="Calibri"/>
          <w:sz w:val="22"/>
          <w:szCs w:val="22"/>
          <w:vertAlign w:val="superscript"/>
        </w:rPr>
        <w:t>th</w:t>
      </w:r>
      <w:r w:rsidRPr="12AA12DD" w:rsidR="00031A0E">
        <w:rPr>
          <w:rFonts w:ascii="Calibri" w:hAnsi="Calibri" w:eastAsia="Calibri" w:cs="Calibri"/>
          <w:sz w:val="22"/>
          <w:szCs w:val="22"/>
        </w:rPr>
        <w:t xml:space="preserve"> respectively.</w:t>
      </w:r>
    </w:p>
    <w:tbl>
      <w:tblPr>
        <w:tblW w:w="9067" w:type="dxa"/>
        <w:tblLook w:val="04A0" w:firstRow="1" w:lastRow="0" w:firstColumn="1" w:lastColumn="0" w:noHBand="0" w:noVBand="1"/>
      </w:tblPr>
      <w:tblGrid>
        <w:gridCol w:w="1271"/>
        <w:gridCol w:w="1134"/>
        <w:gridCol w:w="4394"/>
        <w:gridCol w:w="2268"/>
      </w:tblGrid>
      <w:tr w:rsidRPr="005C169E" w:rsidR="00031A0E" w:rsidTr="12AA12DD" w14:paraId="5B696F78" w14:textId="77777777">
        <w:trPr>
          <w:trHeight w:val="300"/>
        </w:trPr>
        <w:tc>
          <w:tcPr>
            <w:tcW w:w="9067" w:type="dxa"/>
            <w:gridSpan w:val="4"/>
            <w:tcBorders>
              <w:top w:val="single" w:color="auto" w:sz="4" w:space="0"/>
              <w:left w:val="single" w:color="auto" w:sz="4" w:space="0"/>
              <w:bottom w:val="single" w:color="auto" w:sz="4" w:space="0"/>
              <w:right w:val="single" w:color="auto" w:sz="4" w:space="0"/>
            </w:tcBorders>
            <w:noWrap/>
            <w:tcMar/>
            <w:vAlign w:val="bottom"/>
            <w:hideMark/>
          </w:tcPr>
          <w:p w:rsidRPr="005C169E" w:rsidR="00031A0E" w:rsidP="12AA12DD" w:rsidRDefault="004849B9" w14:paraId="5CE86B4E" w14:textId="63D48D9F">
            <w:pPr>
              <w:spacing w:after="0" w:line="240" w:lineRule="auto"/>
              <w:jc w:val="center"/>
              <w:rPr>
                <w:rFonts w:ascii="Calibri" w:hAnsi="Calibri" w:eastAsia="Calibri" w:cs="Calibri"/>
                <w:b w:val="1"/>
                <w:bCs w:val="1"/>
                <w:kern w:val="0"/>
                <w:sz w:val="20"/>
                <w:szCs w:val="20"/>
                <w:lang w:eastAsia="en-GB"/>
                <w14:ligatures w14:val="none"/>
              </w:rPr>
            </w:pPr>
            <w:r w:rsidRPr="12AA12DD" w:rsidR="004849B9">
              <w:rPr>
                <w:rFonts w:ascii="Calibri" w:hAnsi="Calibri" w:eastAsia="Calibri" w:cs="Calibri"/>
                <w:b w:val="1"/>
                <w:bCs w:val="1"/>
                <w:kern w:val="0"/>
                <w:sz w:val="20"/>
                <w:szCs w:val="20"/>
                <w:lang w:eastAsia="en-GB"/>
                <w14:ligatures w14:val="none"/>
              </w:rPr>
              <w:t>Table 1: Global</w:t>
            </w:r>
            <w:r w:rsidRPr="12AA12DD" w:rsidR="00031A0E">
              <w:rPr>
                <w:rFonts w:ascii="Calibri" w:hAnsi="Calibri" w:eastAsia="Calibri" w:cs="Calibri"/>
                <w:b w:val="1"/>
                <w:bCs w:val="1"/>
                <w:kern w:val="0"/>
                <w:sz w:val="20"/>
                <w:szCs w:val="20"/>
                <w:lang w:eastAsia="en-GB"/>
                <w14:ligatures w14:val="none"/>
              </w:rPr>
              <w:t xml:space="preserve"> </w:t>
            </w:r>
            <w:r w:rsidRPr="12AA12DD" w:rsidR="004849B9">
              <w:rPr>
                <w:rFonts w:ascii="Calibri" w:hAnsi="Calibri" w:eastAsia="Calibri" w:cs="Calibri"/>
                <w:b w:val="1"/>
                <w:bCs w:val="1"/>
                <w:kern w:val="0"/>
                <w:sz w:val="20"/>
                <w:szCs w:val="20"/>
                <w:lang w:eastAsia="en-GB"/>
                <w14:ligatures w14:val="none"/>
              </w:rPr>
              <w:t>t</w:t>
            </w:r>
            <w:r w:rsidRPr="12AA12DD" w:rsidR="00031A0E">
              <w:rPr>
                <w:rFonts w:ascii="Calibri" w:hAnsi="Calibri" w:eastAsia="Calibri" w:cs="Calibri"/>
                <w:b w:val="1"/>
                <w:bCs w:val="1"/>
                <w:kern w:val="0"/>
                <w:sz w:val="20"/>
                <w:szCs w:val="20"/>
                <w:lang w:eastAsia="en-GB"/>
                <w14:ligatures w14:val="none"/>
              </w:rPr>
              <w:t>op 20</w:t>
            </w:r>
          </w:p>
        </w:tc>
      </w:tr>
      <w:tr w:rsidRPr="005C169E" w:rsidR="00031A0E" w:rsidTr="12AA12DD" w14:paraId="009C9D92" w14:textId="77777777">
        <w:trPr>
          <w:trHeight w:val="300"/>
        </w:trPr>
        <w:tc>
          <w:tcPr>
            <w:tcW w:w="1271" w:type="dxa"/>
            <w:tcBorders>
              <w:top w:val="nil"/>
              <w:left w:val="single" w:color="auto" w:sz="4" w:space="0"/>
              <w:bottom w:val="single" w:color="auto" w:sz="4" w:space="0"/>
              <w:right w:val="single" w:color="auto" w:sz="4" w:space="0"/>
            </w:tcBorders>
            <w:tcMar/>
            <w:vAlign w:val="center"/>
            <w:hideMark/>
          </w:tcPr>
          <w:p w:rsidRPr="005C169E" w:rsidR="00031A0E" w:rsidP="12AA12DD" w:rsidRDefault="00031A0E" w14:paraId="76E62A27" w14:textId="1ACA0AD3">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202</w:t>
            </w:r>
            <w:r w:rsidRPr="12AA12DD" w:rsidR="00B24B78">
              <w:rPr>
                <w:rFonts w:ascii="Calibri" w:hAnsi="Calibri" w:eastAsia="Calibri" w:cs="Calibri"/>
                <w:b w:val="1"/>
                <w:bCs w:val="1"/>
                <w:kern w:val="0"/>
                <w:sz w:val="16"/>
                <w:szCs w:val="16"/>
                <w:lang w:eastAsia="en-GB"/>
                <w14:ligatures w14:val="none"/>
              </w:rPr>
              <w:t>7</w:t>
            </w:r>
            <w:r w:rsidRPr="12AA12DD" w:rsidR="00031A0E">
              <w:rPr>
                <w:rFonts w:ascii="Calibri" w:hAnsi="Calibri" w:eastAsia="Calibri" w:cs="Calibri"/>
                <w:b w:val="1"/>
                <w:bCs w:val="1"/>
                <w:kern w:val="0"/>
                <w:sz w:val="16"/>
                <w:szCs w:val="16"/>
                <w:lang w:eastAsia="en-GB"/>
                <w14:ligatures w14:val="none"/>
              </w:rPr>
              <w:t xml:space="preserve"> Rank</w:t>
            </w:r>
          </w:p>
        </w:tc>
        <w:tc>
          <w:tcPr>
            <w:tcW w:w="1134" w:type="dxa"/>
            <w:tcBorders>
              <w:top w:val="nil"/>
              <w:left w:val="nil"/>
              <w:bottom w:val="single" w:color="auto" w:sz="4" w:space="0"/>
              <w:right w:val="single" w:color="auto" w:sz="4" w:space="0"/>
            </w:tcBorders>
            <w:tcMar/>
            <w:vAlign w:val="center"/>
            <w:hideMark/>
          </w:tcPr>
          <w:p w:rsidRPr="005C169E" w:rsidR="00031A0E" w:rsidP="12AA12DD" w:rsidRDefault="00031A0E" w14:paraId="76EC1905" w14:textId="3A241C14">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202</w:t>
            </w:r>
            <w:r w:rsidRPr="12AA12DD" w:rsidR="00B24B78">
              <w:rPr>
                <w:rFonts w:ascii="Calibri" w:hAnsi="Calibri" w:eastAsia="Calibri" w:cs="Calibri"/>
                <w:b w:val="1"/>
                <w:bCs w:val="1"/>
                <w:kern w:val="0"/>
                <w:sz w:val="16"/>
                <w:szCs w:val="16"/>
                <w:lang w:eastAsia="en-GB"/>
                <w14:ligatures w14:val="none"/>
              </w:rPr>
              <w:t>6</w:t>
            </w:r>
            <w:r w:rsidRPr="12AA12DD" w:rsidR="00031A0E">
              <w:rPr>
                <w:rFonts w:ascii="Calibri" w:hAnsi="Calibri" w:eastAsia="Calibri" w:cs="Calibri"/>
                <w:b w:val="1"/>
                <w:bCs w:val="1"/>
                <w:kern w:val="0"/>
                <w:sz w:val="16"/>
                <w:szCs w:val="16"/>
                <w:lang w:eastAsia="en-GB"/>
                <w14:ligatures w14:val="none"/>
              </w:rPr>
              <w:t xml:space="preserve"> Rank</w:t>
            </w:r>
          </w:p>
        </w:tc>
        <w:tc>
          <w:tcPr>
            <w:tcW w:w="4394" w:type="dxa"/>
            <w:tcBorders>
              <w:top w:val="nil"/>
              <w:left w:val="nil"/>
              <w:bottom w:val="single" w:color="auto" w:sz="4" w:space="0"/>
              <w:right w:val="single" w:color="auto" w:sz="4" w:space="0"/>
            </w:tcBorders>
            <w:tcMar/>
            <w:vAlign w:val="center"/>
            <w:hideMark/>
          </w:tcPr>
          <w:p w:rsidRPr="005C169E" w:rsidR="00031A0E" w:rsidP="12AA12DD" w:rsidRDefault="00031A0E" w14:paraId="5A88C296" w14:textId="77777777">
            <w:pPr>
              <w:spacing w:after="0" w:line="240" w:lineRule="auto"/>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Institution</w:t>
            </w:r>
          </w:p>
        </w:tc>
        <w:tc>
          <w:tcPr>
            <w:tcW w:w="2268" w:type="dxa"/>
            <w:tcBorders>
              <w:top w:val="nil"/>
              <w:left w:val="nil"/>
              <w:bottom w:val="single" w:color="auto" w:sz="4" w:space="0"/>
              <w:right w:val="single" w:color="auto" w:sz="4" w:space="0"/>
            </w:tcBorders>
            <w:tcMar/>
            <w:vAlign w:val="center"/>
            <w:hideMark/>
          </w:tcPr>
          <w:p w:rsidRPr="005C169E" w:rsidR="00031A0E" w:rsidP="12AA12DD" w:rsidRDefault="00031A0E" w14:paraId="4B9DD261" w14:textId="77777777">
            <w:pPr>
              <w:spacing w:after="0" w:line="240" w:lineRule="auto"/>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Location</w:t>
            </w:r>
          </w:p>
        </w:tc>
      </w:tr>
      <w:tr w:rsidRPr="005C169E" w:rsidR="00031A0E" w:rsidTr="12AA12DD" w14:paraId="49A4B50A"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1355A4B6"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579C9636"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2D3B6E85"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Massachusetts Institute of Technology (MIT)</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5C0BBED4"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31FBDB8B"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EC21B4C"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2</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079E0436"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3</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541437AD"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Stanford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26A8BA32"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5C01E2FC"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262232FF"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2</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090B2FC4"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2</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0D341E7D"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Imperial College London</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2382624D" w14:textId="77777777">
            <w:pPr>
              <w:spacing w:after="0" w:line="240" w:lineRule="auto"/>
              <w:rPr>
                <w:rFonts w:ascii="Calibri" w:hAnsi="Calibri" w:eastAsia="Calibri" w:cs="Calibri"/>
                <w:kern w:val="0"/>
                <w:sz w:val="16"/>
                <w:szCs w:val="16"/>
                <w:lang w:eastAsia="en-GB"/>
                <w14:ligatures w14:val="none"/>
              </w:rPr>
            </w:pPr>
            <w:r w:rsidRPr="12AA12DD" w:rsidR="7DA09CC8">
              <w:rPr>
                <w:rFonts w:ascii="Calibri" w:hAnsi="Calibri" w:eastAsia="Calibri" w:cs="Calibri"/>
                <w:kern w:val="0"/>
                <w:sz w:val="16"/>
                <w:szCs w:val="16"/>
                <w:lang w:eastAsia="en-GB"/>
                <w14:ligatures w14:val="none"/>
              </w:rPr>
              <w:t>UK</w:t>
            </w:r>
          </w:p>
        </w:tc>
      </w:tr>
      <w:tr w:rsidRPr="005C169E" w:rsidR="00031A0E" w:rsidTr="12AA12DD" w14:paraId="15F71E10"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F6DD488"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4</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437F5054"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4</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06398813"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University of Oxford</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68260768" w14:textId="77777777">
            <w:pPr>
              <w:spacing w:after="0" w:line="240" w:lineRule="auto"/>
              <w:rPr>
                <w:rFonts w:ascii="Calibri" w:hAnsi="Calibri" w:eastAsia="Calibri" w:cs="Calibri"/>
                <w:kern w:val="0"/>
                <w:sz w:val="16"/>
                <w:szCs w:val="16"/>
                <w:lang w:eastAsia="en-GB"/>
                <w14:ligatures w14:val="none"/>
              </w:rPr>
            </w:pPr>
            <w:r w:rsidRPr="12AA12DD" w:rsidR="7DA09CC8">
              <w:rPr>
                <w:rFonts w:ascii="Calibri" w:hAnsi="Calibri" w:eastAsia="Calibri" w:cs="Calibri"/>
                <w:kern w:val="0"/>
                <w:sz w:val="16"/>
                <w:szCs w:val="16"/>
                <w:lang w:eastAsia="en-GB"/>
                <w14:ligatures w14:val="none"/>
              </w:rPr>
              <w:t>UK</w:t>
            </w:r>
          </w:p>
        </w:tc>
      </w:tr>
      <w:tr w:rsidRPr="005C169E" w:rsidR="00031A0E" w:rsidTr="12AA12DD" w14:paraId="0F125CF4"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4491A43"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5</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43815CFF"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5</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54D9889D"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Harvard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385AD10B"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341C76F5"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E84BAD5"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6</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55004E13"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6</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07C020CC"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University of Cambridge</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70B6E92E" w14:textId="77777777">
            <w:pPr>
              <w:spacing w:after="0" w:line="240" w:lineRule="auto"/>
              <w:rPr>
                <w:rFonts w:ascii="Calibri" w:hAnsi="Calibri" w:eastAsia="Calibri" w:cs="Calibri"/>
                <w:kern w:val="0"/>
                <w:sz w:val="16"/>
                <w:szCs w:val="16"/>
                <w:lang w:eastAsia="en-GB"/>
                <w14:ligatures w14:val="none"/>
              </w:rPr>
            </w:pPr>
            <w:r w:rsidRPr="12AA12DD" w:rsidR="7DA09CC8">
              <w:rPr>
                <w:rFonts w:ascii="Calibri" w:hAnsi="Calibri" w:eastAsia="Calibri" w:cs="Calibri"/>
                <w:kern w:val="0"/>
                <w:sz w:val="16"/>
                <w:szCs w:val="16"/>
                <w:lang w:eastAsia="en-GB"/>
                <w14:ligatures w14:val="none"/>
              </w:rPr>
              <w:t>UK</w:t>
            </w:r>
          </w:p>
        </w:tc>
      </w:tr>
      <w:tr w:rsidRPr="005C169E" w:rsidR="00031A0E" w:rsidTr="12AA12DD" w14:paraId="384D0A0C"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30C688D"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7</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4E13B101"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10</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647A4DA6"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California Institute of Technology (Caltech)</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4301D4C9"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74700619"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7E873ED4"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8</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25824E5E"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9</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13052FA9"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UCL</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4902331F" w14:textId="77777777">
            <w:pPr>
              <w:spacing w:after="0" w:line="240" w:lineRule="auto"/>
              <w:rPr>
                <w:rFonts w:ascii="Calibri" w:hAnsi="Calibri" w:eastAsia="Calibri" w:cs="Calibri"/>
                <w:kern w:val="0"/>
                <w:sz w:val="16"/>
                <w:szCs w:val="16"/>
                <w:lang w:eastAsia="en-GB"/>
                <w14:ligatures w14:val="none"/>
              </w:rPr>
            </w:pPr>
            <w:r w:rsidRPr="12AA12DD" w:rsidR="7DA09CC8">
              <w:rPr>
                <w:rFonts w:ascii="Calibri" w:hAnsi="Calibri" w:eastAsia="Calibri" w:cs="Calibri"/>
                <w:kern w:val="0"/>
                <w:sz w:val="16"/>
                <w:szCs w:val="16"/>
                <w:lang w:eastAsia="en-GB"/>
                <w14:ligatures w14:val="none"/>
              </w:rPr>
              <w:t>UK</w:t>
            </w:r>
          </w:p>
        </w:tc>
      </w:tr>
      <w:tr w:rsidRPr="005C169E" w:rsidR="00031A0E" w:rsidTr="12AA12DD" w14:paraId="33D1537B"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08A6E51F"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8</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05B08971"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7</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609569D9"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ETH Zurich</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5F0A93B4"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Switzerland</w:t>
            </w:r>
          </w:p>
        </w:tc>
      </w:tr>
      <w:tr w:rsidRPr="005C169E" w:rsidR="00031A0E" w:rsidTr="12AA12DD" w14:paraId="5C42114F"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007C6F87"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10</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40CF395A"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8</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68D80B15"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National University of Singapore (NUS)</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432E24AE"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Singapore</w:t>
            </w:r>
          </w:p>
        </w:tc>
      </w:tr>
      <w:tr w:rsidRPr="005C169E" w:rsidR="00031A0E" w:rsidTr="12AA12DD" w14:paraId="7E4E04AA"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6D9EE554"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11</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03D0BB5C"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11</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79B06500"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The University of Hong Kong</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7F1FB41F"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Hong Kong SAR, China</w:t>
            </w:r>
          </w:p>
        </w:tc>
      </w:tr>
      <w:tr w:rsidRPr="005C169E" w:rsidR="00031A0E" w:rsidTr="12AA12DD" w14:paraId="30D2497A"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1215F442"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12</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6F483D3F"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12</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41629FB5" w14:textId="7EFCE4D6">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Nanyang Technological University (NTU Singapore)</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7F95CC79"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Singapore</w:t>
            </w:r>
          </w:p>
        </w:tc>
      </w:tr>
      <w:tr w:rsidRPr="005C169E" w:rsidR="00031A0E" w:rsidTr="12AA12DD" w14:paraId="6016C292"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0E598931"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lastRenderedPageBreak/>
              <w:t>13</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1BF0D54D"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14</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01339CCE"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Peking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3413364C"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China (Mainland)</w:t>
            </w:r>
          </w:p>
        </w:tc>
      </w:tr>
      <w:tr w:rsidRPr="005C169E" w:rsidR="00031A0E" w:rsidTr="12AA12DD" w14:paraId="4A03C892"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643352E3"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14</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1FFFA994"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17</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2E1967D0"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Tsinghua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1FB05042"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China (Mainland)</w:t>
            </w:r>
          </w:p>
        </w:tc>
      </w:tr>
      <w:tr w:rsidRPr="005C169E" w:rsidR="00031A0E" w:rsidTr="12AA12DD" w14:paraId="571EB00A"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0E3265A7"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15</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3E727EA0"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15</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49709A7D"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University of Pennsylvania</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7FE3897E"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37A0A200"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F5466D8"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16</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73FA45EE"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21</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6359B704"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Yale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03CF0287"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0D81C739"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2873B33E"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16</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79B011CF"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16</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72A82C8E"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Cornell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38C23541"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40842BBB"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46C4898F"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18</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7CDE0119"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32</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6BDD073A"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The Chinese University of Hong Kong (CUHK)</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196B32AF"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Hong Kong SAR, China</w:t>
            </w:r>
          </w:p>
        </w:tc>
      </w:tr>
      <w:tr w:rsidRPr="005C169E" w:rsidR="00031A0E" w:rsidTr="12AA12DD" w14:paraId="1EA8FA4B"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298E7BB4"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19</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5A2C68E7"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20</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74C14ED1"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The University of New South Wales (UNSW Sydney)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36F98D28"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Australia</w:t>
            </w:r>
          </w:p>
        </w:tc>
      </w:tr>
      <w:tr w:rsidRPr="005C169E" w:rsidR="00031A0E" w:rsidTr="12AA12DD" w14:paraId="3B2C4EC5"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5396E304"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20</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5E8FED23"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24</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52894C01"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Johns Hopkins University</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7835989A"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r w:rsidRPr="005C169E" w:rsidR="00031A0E" w:rsidTr="12AA12DD" w14:paraId="085B30A7" w14:textId="77777777">
        <w:trPr>
          <w:trHeight w:val="300"/>
        </w:trPr>
        <w:tc>
          <w:tcPr>
            <w:tcW w:w="1271" w:type="dxa"/>
            <w:tcBorders>
              <w:top w:val="nil"/>
              <w:left w:val="single" w:color="auto" w:sz="4" w:space="0"/>
              <w:bottom w:val="single" w:color="auto" w:sz="4" w:space="0"/>
              <w:right w:val="single" w:color="auto" w:sz="4" w:space="0"/>
            </w:tcBorders>
            <w:noWrap/>
            <w:tcMar/>
            <w:vAlign w:val="bottom"/>
            <w:hideMark/>
          </w:tcPr>
          <w:p w:rsidRPr="005C169E" w:rsidR="00031A0E" w:rsidP="12AA12DD" w:rsidRDefault="00031A0E" w14:paraId="2DD6BB1A" w14:textId="77777777">
            <w:pPr>
              <w:spacing w:after="0" w:line="240" w:lineRule="auto"/>
              <w:jc w:val="center"/>
              <w:rPr>
                <w:rFonts w:ascii="Calibri" w:hAnsi="Calibri" w:eastAsia="Calibri" w:cs="Calibri"/>
                <w:b w:val="1"/>
                <w:bCs w:val="1"/>
                <w:kern w:val="0"/>
                <w:sz w:val="16"/>
                <w:szCs w:val="16"/>
                <w:lang w:eastAsia="en-GB"/>
                <w14:ligatures w14:val="none"/>
              </w:rPr>
            </w:pPr>
            <w:r w:rsidRPr="12AA12DD" w:rsidR="00031A0E">
              <w:rPr>
                <w:rFonts w:ascii="Calibri" w:hAnsi="Calibri" w:eastAsia="Calibri" w:cs="Calibri"/>
                <w:b w:val="1"/>
                <w:bCs w:val="1"/>
                <w:kern w:val="0"/>
                <w:sz w:val="16"/>
                <w:szCs w:val="16"/>
                <w:lang w:eastAsia="en-GB"/>
                <w14:ligatures w14:val="none"/>
              </w:rPr>
              <w:t>20</w:t>
            </w:r>
          </w:p>
        </w:tc>
        <w:tc>
          <w:tcPr>
            <w:tcW w:w="1134" w:type="dxa"/>
            <w:tcBorders>
              <w:top w:val="nil"/>
              <w:left w:val="nil"/>
              <w:bottom w:val="single" w:color="auto" w:sz="4" w:space="0"/>
              <w:right w:val="single" w:color="auto" w:sz="4" w:space="0"/>
            </w:tcBorders>
            <w:noWrap/>
            <w:tcMar/>
            <w:vAlign w:val="bottom"/>
            <w:hideMark/>
          </w:tcPr>
          <w:p w:rsidRPr="005C169E" w:rsidR="00031A0E" w:rsidP="12AA12DD" w:rsidRDefault="00031A0E" w14:paraId="21D49EA0" w14:textId="77777777">
            <w:pPr>
              <w:spacing w:after="0" w:line="240" w:lineRule="auto"/>
              <w:jc w:val="center"/>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17</w:t>
            </w:r>
          </w:p>
        </w:tc>
        <w:tc>
          <w:tcPr>
            <w:tcW w:w="4394" w:type="dxa"/>
            <w:tcBorders>
              <w:top w:val="nil"/>
              <w:left w:val="nil"/>
              <w:bottom w:val="single" w:color="auto" w:sz="4" w:space="0"/>
              <w:right w:val="single" w:color="auto" w:sz="4" w:space="0"/>
            </w:tcBorders>
            <w:noWrap/>
            <w:tcMar/>
            <w:vAlign w:val="bottom"/>
            <w:hideMark/>
          </w:tcPr>
          <w:p w:rsidRPr="005C169E" w:rsidR="00031A0E" w:rsidP="12AA12DD" w:rsidRDefault="00031A0E" w14:paraId="74D63338" w14:textId="77777777">
            <w:pPr>
              <w:spacing w:after="0" w:line="240" w:lineRule="auto"/>
              <w:rPr>
                <w:rFonts w:ascii="Calibri" w:hAnsi="Calibri" w:eastAsia="Calibri" w:cs="Calibri"/>
                <w:kern w:val="0"/>
                <w:sz w:val="16"/>
                <w:szCs w:val="16"/>
                <w:lang w:eastAsia="en-GB"/>
                <w14:ligatures w14:val="none"/>
              </w:rPr>
            </w:pPr>
            <w:r w:rsidRPr="12AA12DD" w:rsidR="00031A0E">
              <w:rPr>
                <w:rFonts w:ascii="Calibri" w:hAnsi="Calibri" w:eastAsia="Calibri" w:cs="Calibri"/>
                <w:kern w:val="0"/>
                <w:sz w:val="16"/>
                <w:szCs w:val="16"/>
                <w:lang w:eastAsia="en-GB"/>
                <w14:ligatures w14:val="none"/>
              </w:rPr>
              <w:t>University of California, Berkeley (UCB)</w:t>
            </w:r>
          </w:p>
        </w:tc>
        <w:tc>
          <w:tcPr>
            <w:tcW w:w="2268" w:type="dxa"/>
            <w:tcBorders>
              <w:top w:val="nil"/>
              <w:left w:val="nil"/>
              <w:bottom w:val="single" w:color="auto" w:sz="4" w:space="0"/>
              <w:right w:val="single" w:color="auto" w:sz="4" w:space="0"/>
            </w:tcBorders>
            <w:noWrap/>
            <w:tcMar/>
            <w:vAlign w:val="bottom"/>
            <w:hideMark/>
          </w:tcPr>
          <w:p w:rsidRPr="005C169E" w:rsidR="00031A0E" w:rsidP="12AA12DD" w:rsidRDefault="00031A0E" w14:paraId="5877D60A" w14:textId="77777777">
            <w:pPr>
              <w:spacing w:after="0" w:line="240" w:lineRule="auto"/>
              <w:rPr>
                <w:rFonts w:ascii="Calibri" w:hAnsi="Calibri" w:eastAsia="Calibri" w:cs="Calibri"/>
                <w:kern w:val="0"/>
                <w:sz w:val="16"/>
                <w:szCs w:val="16"/>
                <w:lang w:eastAsia="en-GB"/>
                <w14:ligatures w14:val="none"/>
              </w:rPr>
            </w:pPr>
            <w:r w:rsidRPr="12AA12DD" w:rsidR="0434C47E">
              <w:rPr>
                <w:rFonts w:ascii="Calibri" w:hAnsi="Calibri" w:eastAsia="Calibri" w:cs="Calibri"/>
                <w:kern w:val="0"/>
                <w:sz w:val="16"/>
                <w:szCs w:val="16"/>
                <w:lang w:eastAsia="en-GB"/>
                <w14:ligatures w14:val="none"/>
              </w:rPr>
              <w:t>US</w:t>
            </w:r>
          </w:p>
        </w:tc>
      </w:tr>
    </w:tbl>
    <w:p w:rsidRPr="005C169E" w:rsidR="00031A0E" w:rsidP="12AA12DD" w:rsidRDefault="00031A0E" w14:paraId="53236FCB" w14:textId="77777777">
      <w:pPr>
        <w:pStyle w:val="paragraph"/>
        <w:spacing w:before="0" w:beforeAutospacing="off" w:after="0" w:afterAutospacing="off"/>
        <w:textAlignment w:val="baseline"/>
        <w:rPr>
          <w:rFonts w:ascii="Calibri" w:hAnsi="Calibri" w:eastAsia="Calibri" w:cs="Calibri"/>
          <w:sz w:val="22"/>
          <w:szCs w:val="22"/>
        </w:rPr>
      </w:pPr>
    </w:p>
    <w:p w:rsidR="00664D1E" w:rsidP="12AA12DD" w:rsidRDefault="00664D1E" w14:paraId="47AB64CE" w14:textId="77777777">
      <w:pPr>
        <w:pStyle w:val="paragraph"/>
        <w:spacing w:before="0" w:beforeAutospacing="off" w:after="160" w:afterAutospacing="off" w:line="360" w:lineRule="auto"/>
        <w:textAlignment w:val="baseline"/>
        <w:rPr>
          <w:rFonts w:ascii="Calibri" w:hAnsi="Calibri" w:eastAsia="Calibri" w:cs="Calibri"/>
          <w:b w:val="1"/>
          <w:bCs w:val="1"/>
          <w:sz w:val="22"/>
          <w:szCs w:val="22"/>
          <w:u w:val="single"/>
        </w:rPr>
      </w:pPr>
      <w:r w:rsidRPr="12AA12DD" w:rsidR="00664D1E">
        <w:rPr>
          <w:rFonts w:ascii="Calibri" w:hAnsi="Calibri" w:eastAsia="Calibri" w:cs="Calibri"/>
          <w:b w:val="1"/>
          <w:bCs w:val="1"/>
          <w:sz w:val="22"/>
          <w:szCs w:val="22"/>
          <w:u w:val="single"/>
        </w:rPr>
        <w:t>Executive summary</w:t>
      </w:r>
    </w:p>
    <w:p w:rsidRPr="00D929FD" w:rsidR="00EA2832" w:rsidP="12AA12DD" w:rsidRDefault="00EA2832" w14:paraId="0486BA70" w14:textId="1511B5CF">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The US retains unmatched scale and quality. MIT extends 15-year global leadership while Harvard tops four performance indicators. </w:t>
      </w:r>
    </w:p>
    <w:p w:rsidRPr="00D929FD" w:rsidR="00EA2832" w:rsidP="12AA12DD" w:rsidRDefault="00EA2832" w14:paraId="3FAB0F5D" w14:textId="31685D6C">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The UK </w:t>
      </w:r>
      <w:r w:rsidRPr="12AA12DD" w:rsidR="4F78EBB1">
        <w:rPr>
          <w:rFonts w:ascii="Calibri" w:hAnsi="Calibri" w:eastAsia="Calibri" w:cs="Calibri"/>
          <w:sz w:val="22"/>
          <w:szCs w:val="22"/>
        </w:rPr>
        <w:t>maintain</w:t>
      </w:r>
      <w:r w:rsidRPr="12AA12DD" w:rsidR="00EA2832">
        <w:rPr>
          <w:rFonts w:ascii="Calibri" w:hAnsi="Calibri" w:eastAsia="Calibri" w:cs="Calibri"/>
          <w:sz w:val="22"/>
          <w:szCs w:val="22"/>
        </w:rPr>
        <w:t>s</w:t>
      </w:r>
      <w:r w:rsidRPr="12AA12DD" w:rsidR="00EA2832">
        <w:rPr>
          <w:rFonts w:ascii="Calibri" w:hAnsi="Calibri" w:eastAsia="Calibri" w:cs="Calibri"/>
          <w:sz w:val="22"/>
          <w:szCs w:val="22"/>
        </w:rPr>
        <w:t xml:space="preserve"> global influence, led by Imperial College London</w:t>
      </w:r>
      <w:r w:rsidRPr="12AA12DD" w:rsidR="00EA2832">
        <w:rPr>
          <w:rFonts w:ascii="Calibri" w:hAnsi="Calibri" w:eastAsia="Calibri" w:cs="Calibri"/>
          <w:sz w:val="22"/>
          <w:szCs w:val="22"/>
        </w:rPr>
        <w:t xml:space="preserve">, </w:t>
      </w:r>
      <w:r w:rsidRPr="12AA12DD" w:rsidR="00EA2832">
        <w:rPr>
          <w:rFonts w:ascii="Calibri" w:hAnsi="Calibri" w:eastAsia="Calibri" w:cs="Calibri"/>
          <w:sz w:val="22"/>
          <w:szCs w:val="22"/>
        </w:rPr>
        <w:t xml:space="preserve">four universities </w:t>
      </w:r>
      <w:r w:rsidRPr="12AA12DD" w:rsidR="11C0D72D">
        <w:rPr>
          <w:rFonts w:ascii="Calibri" w:hAnsi="Calibri" w:eastAsia="Calibri" w:cs="Calibri"/>
          <w:sz w:val="22"/>
          <w:szCs w:val="22"/>
        </w:rPr>
        <w:t>place in</w:t>
      </w:r>
      <w:r w:rsidRPr="12AA12DD" w:rsidR="00EA2832">
        <w:rPr>
          <w:rFonts w:ascii="Calibri" w:hAnsi="Calibri" w:eastAsia="Calibri" w:cs="Calibri"/>
          <w:sz w:val="22"/>
          <w:szCs w:val="22"/>
        </w:rPr>
        <w:t xml:space="preserve"> the global </w:t>
      </w:r>
      <w:r w:rsidRPr="12AA12DD" w:rsidR="00EA2832">
        <w:rPr>
          <w:rFonts w:ascii="Calibri" w:hAnsi="Calibri" w:eastAsia="Calibri" w:cs="Calibri"/>
          <w:sz w:val="22"/>
          <w:szCs w:val="22"/>
        </w:rPr>
        <w:t>top</w:t>
      </w:r>
      <w:r w:rsidRPr="12AA12DD" w:rsidR="00EA2832">
        <w:rPr>
          <w:rFonts w:ascii="Calibri" w:hAnsi="Calibri" w:eastAsia="Calibri" w:cs="Calibri"/>
          <w:sz w:val="22"/>
          <w:szCs w:val="22"/>
        </w:rPr>
        <w:t xml:space="preserve"> 10</w:t>
      </w:r>
      <w:r w:rsidRPr="12AA12DD" w:rsidR="00EA2832">
        <w:rPr>
          <w:rFonts w:ascii="Calibri" w:hAnsi="Calibri" w:eastAsia="Calibri" w:cs="Calibri"/>
          <w:sz w:val="22"/>
          <w:szCs w:val="22"/>
        </w:rPr>
        <w:t xml:space="preserve"> and five achieve record results</w:t>
      </w:r>
    </w:p>
    <w:p w:rsidRPr="00D929FD" w:rsidR="00EA2832" w:rsidP="12AA12DD" w:rsidRDefault="00EA2832" w14:paraId="20793C5C" w14:textId="712DBE35">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Mainland China </w:t>
      </w:r>
      <w:r w:rsidRPr="12AA12DD" w:rsidR="008F0070">
        <w:rPr>
          <w:rFonts w:ascii="Calibri" w:hAnsi="Calibri" w:eastAsia="Calibri" w:cs="Calibri"/>
          <w:sz w:val="22"/>
          <w:szCs w:val="22"/>
        </w:rPr>
        <w:t>sees</w:t>
      </w:r>
      <w:r w:rsidRPr="12AA12DD" w:rsidR="00EA2832">
        <w:rPr>
          <w:rFonts w:ascii="Calibri" w:hAnsi="Calibri" w:eastAsia="Calibri" w:cs="Calibri"/>
          <w:sz w:val="22"/>
          <w:szCs w:val="22"/>
        </w:rPr>
        <w:t xml:space="preserve"> the </w:t>
      </w:r>
      <w:r w:rsidRPr="12AA12DD" w:rsidR="008F0070">
        <w:rPr>
          <w:rFonts w:ascii="Calibri" w:hAnsi="Calibri" w:eastAsia="Calibri" w:cs="Calibri"/>
          <w:sz w:val="22"/>
          <w:szCs w:val="22"/>
        </w:rPr>
        <w:t>largest growth</w:t>
      </w:r>
      <w:r w:rsidRPr="12AA12DD" w:rsidR="00EA2832">
        <w:rPr>
          <w:rFonts w:ascii="Calibri" w:hAnsi="Calibri" w:eastAsia="Calibri" w:cs="Calibri"/>
          <w:sz w:val="22"/>
          <w:szCs w:val="22"/>
        </w:rPr>
        <w:t xml:space="preserve">, </w:t>
      </w:r>
      <w:r w:rsidRPr="12AA12DD" w:rsidR="008F0070">
        <w:rPr>
          <w:rFonts w:ascii="Calibri" w:hAnsi="Calibri" w:eastAsia="Calibri" w:cs="Calibri"/>
          <w:sz w:val="22"/>
          <w:szCs w:val="22"/>
        </w:rPr>
        <w:t>adding 13 universities while Peking University leads</w:t>
      </w:r>
      <w:r w:rsidRPr="12AA12DD" w:rsidR="0E1CE12B">
        <w:rPr>
          <w:rFonts w:ascii="Calibri" w:hAnsi="Calibri" w:eastAsia="Calibri" w:cs="Calibri"/>
          <w:sz w:val="22"/>
          <w:szCs w:val="22"/>
        </w:rPr>
        <w:t xml:space="preserve"> nationally</w:t>
      </w:r>
      <w:r w:rsidRPr="12AA12DD" w:rsidR="008F0070">
        <w:rPr>
          <w:rFonts w:ascii="Calibri" w:hAnsi="Calibri" w:eastAsia="Calibri" w:cs="Calibri"/>
          <w:sz w:val="22"/>
          <w:szCs w:val="22"/>
        </w:rPr>
        <w:t xml:space="preserve"> </w:t>
      </w:r>
      <w:r w:rsidRPr="12AA12DD" w:rsidR="00EA2832">
        <w:rPr>
          <w:rFonts w:ascii="Calibri" w:hAnsi="Calibri" w:eastAsia="Calibri" w:cs="Calibri"/>
          <w:sz w:val="22"/>
          <w:szCs w:val="22"/>
        </w:rPr>
        <w:t>and 26</w:t>
      </w:r>
      <w:r w:rsidRPr="12AA12DD" w:rsidR="008F0070">
        <w:rPr>
          <w:rFonts w:ascii="Calibri" w:hAnsi="Calibri" w:eastAsia="Calibri" w:cs="Calibri"/>
          <w:sz w:val="22"/>
          <w:szCs w:val="22"/>
        </w:rPr>
        <w:t xml:space="preserve"> </w:t>
      </w:r>
      <w:r w:rsidRPr="12AA12DD" w:rsidR="40BD07B0">
        <w:rPr>
          <w:rFonts w:ascii="Calibri" w:hAnsi="Calibri" w:eastAsia="Calibri" w:cs="Calibri"/>
          <w:noProof w:val="0"/>
          <w:sz w:val="22"/>
          <w:szCs w:val="22"/>
          <w:lang w:val="en-GB"/>
        </w:rPr>
        <w:t>institutions</w:t>
      </w:r>
      <w:r w:rsidRPr="12AA12DD" w:rsidR="008F0070">
        <w:rPr>
          <w:rFonts w:ascii="Calibri" w:hAnsi="Calibri" w:eastAsia="Calibri" w:cs="Calibri"/>
          <w:sz w:val="22"/>
          <w:szCs w:val="22"/>
        </w:rPr>
        <w:t xml:space="preserve"> achieve</w:t>
      </w:r>
      <w:r w:rsidRPr="12AA12DD" w:rsidR="00EA2832">
        <w:rPr>
          <w:rFonts w:ascii="Calibri" w:hAnsi="Calibri" w:eastAsia="Calibri" w:cs="Calibri"/>
          <w:sz w:val="22"/>
          <w:szCs w:val="22"/>
        </w:rPr>
        <w:t xml:space="preserve"> record-hig</w:t>
      </w:r>
      <w:r w:rsidRPr="12AA12DD" w:rsidR="008F0070">
        <w:rPr>
          <w:rFonts w:ascii="Calibri" w:hAnsi="Calibri" w:eastAsia="Calibri" w:cs="Calibri"/>
          <w:sz w:val="22"/>
          <w:szCs w:val="22"/>
        </w:rPr>
        <w:t>hs</w:t>
      </w:r>
      <w:r w:rsidRPr="12AA12DD" w:rsidR="00EA2832">
        <w:rPr>
          <w:rFonts w:ascii="Calibri" w:hAnsi="Calibri" w:eastAsia="Calibri" w:cs="Calibri"/>
          <w:sz w:val="22"/>
          <w:szCs w:val="22"/>
        </w:rPr>
        <w:t xml:space="preserve">. </w:t>
      </w:r>
    </w:p>
    <w:p w:rsidRPr="00D929FD" w:rsidR="00EA2832" w:rsidP="12AA12DD" w:rsidRDefault="00EA2832" w14:paraId="660D5A47" w14:textId="22FA93BE">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Hong Kong SAR </w:t>
      </w:r>
      <w:r w:rsidRPr="12AA12DD" w:rsidR="005A0024">
        <w:rPr>
          <w:rFonts w:ascii="Calibri" w:hAnsi="Calibri" w:eastAsia="Calibri" w:cs="Calibri"/>
          <w:sz w:val="22"/>
          <w:szCs w:val="22"/>
        </w:rPr>
        <w:t>is</w:t>
      </w:r>
      <w:r w:rsidRPr="12AA12DD" w:rsidR="00EA2832">
        <w:rPr>
          <w:rFonts w:ascii="Calibri" w:hAnsi="Calibri" w:eastAsia="Calibri" w:cs="Calibri"/>
          <w:sz w:val="22"/>
          <w:szCs w:val="22"/>
        </w:rPr>
        <w:t xml:space="preserve"> Asia’s </w:t>
      </w:r>
      <w:r w:rsidRPr="12AA12DD" w:rsidR="005A0024">
        <w:rPr>
          <w:rFonts w:ascii="Calibri" w:hAnsi="Calibri" w:eastAsia="Calibri" w:cs="Calibri"/>
          <w:sz w:val="22"/>
          <w:szCs w:val="22"/>
        </w:rPr>
        <w:t>most improved</w:t>
      </w:r>
      <w:r w:rsidRPr="12AA12DD" w:rsidR="00EA2832">
        <w:rPr>
          <w:rFonts w:ascii="Calibri" w:hAnsi="Calibri" w:eastAsia="Calibri" w:cs="Calibri"/>
          <w:sz w:val="22"/>
          <w:szCs w:val="22"/>
        </w:rPr>
        <w:t xml:space="preserve"> system,</w:t>
      </w:r>
      <w:r w:rsidRPr="12AA12DD" w:rsidR="42D25C02">
        <w:rPr>
          <w:rFonts w:ascii="Calibri" w:hAnsi="Calibri" w:eastAsia="Calibri" w:cs="Calibri"/>
          <w:sz w:val="22"/>
          <w:szCs w:val="22"/>
        </w:rPr>
        <w:t xml:space="preserve"> with seven out of 10 climbing;</w:t>
      </w:r>
      <w:r w:rsidRPr="12AA12DD" w:rsidR="00EA2832">
        <w:rPr>
          <w:rFonts w:ascii="Calibri" w:hAnsi="Calibri" w:eastAsia="Calibri" w:cs="Calibri"/>
          <w:sz w:val="22"/>
          <w:szCs w:val="22"/>
        </w:rPr>
        <w:t xml:space="preserve"> </w:t>
      </w:r>
      <w:r w:rsidRPr="12AA12DD" w:rsidR="4901D227">
        <w:rPr>
          <w:rFonts w:ascii="Calibri" w:hAnsi="Calibri" w:eastAsia="Calibri" w:cs="Calibri"/>
          <w:sz w:val="22"/>
          <w:szCs w:val="22"/>
        </w:rPr>
        <w:t>HKU and</w:t>
      </w:r>
      <w:r w:rsidRPr="12AA12DD" w:rsidR="00EA2832">
        <w:rPr>
          <w:rFonts w:ascii="Calibri" w:hAnsi="Calibri" w:eastAsia="Calibri" w:cs="Calibri"/>
          <w:sz w:val="22"/>
          <w:szCs w:val="22"/>
        </w:rPr>
        <w:t xml:space="preserve"> CUHK</w:t>
      </w:r>
      <w:r w:rsidRPr="12AA12DD" w:rsidR="00EA2832">
        <w:rPr>
          <w:rFonts w:ascii="Calibri" w:hAnsi="Calibri" w:eastAsia="Calibri" w:cs="Calibri"/>
          <w:sz w:val="22"/>
          <w:szCs w:val="22"/>
        </w:rPr>
        <w:t xml:space="preserve"> both </w:t>
      </w:r>
      <w:r w:rsidRPr="12AA12DD" w:rsidR="2DC3CC66">
        <w:rPr>
          <w:rFonts w:ascii="Calibri" w:hAnsi="Calibri" w:eastAsia="Calibri" w:cs="Calibri"/>
          <w:sz w:val="22"/>
          <w:szCs w:val="22"/>
        </w:rPr>
        <w:t xml:space="preserve">place among global </w:t>
      </w:r>
      <w:r w:rsidRPr="12AA12DD" w:rsidR="00EA2832">
        <w:rPr>
          <w:rFonts w:ascii="Calibri" w:hAnsi="Calibri" w:eastAsia="Calibri" w:cs="Calibri"/>
          <w:sz w:val="22"/>
          <w:szCs w:val="22"/>
        </w:rPr>
        <w:t xml:space="preserve">top 20. </w:t>
      </w:r>
    </w:p>
    <w:p w:rsidRPr="00D929FD" w:rsidR="00EA2832" w:rsidP="12AA12DD" w:rsidRDefault="00EA2832" w14:paraId="294D533A" w14:textId="43992F03">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Australia strengthens global standing, with UNSW becoming national leader as institutional reputation metrics continue improving. </w:t>
      </w:r>
    </w:p>
    <w:p w:rsidRPr="00D929FD" w:rsidR="006B3E7E" w:rsidP="12AA12DD" w:rsidRDefault="006B3E7E" w14:paraId="0E37EE42" w14:textId="66AD5C08">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6B3E7E">
        <w:rPr>
          <w:rFonts w:ascii="Calibri" w:hAnsi="Calibri" w:eastAsia="Calibri" w:cs="Calibri"/>
          <w:sz w:val="22"/>
          <w:szCs w:val="22"/>
        </w:rPr>
        <w:t xml:space="preserve">Italy ranks among Europe’s fastest-improving systems, with </w:t>
      </w:r>
      <w:r w:rsidRPr="12AA12DD" w:rsidR="006B3E7E">
        <w:rPr>
          <w:rFonts w:ascii="Calibri" w:hAnsi="Calibri" w:eastAsia="Calibri" w:cs="Calibri"/>
          <w:sz w:val="22"/>
          <w:szCs w:val="22"/>
        </w:rPr>
        <w:t>Politecnico</w:t>
      </w:r>
      <w:r w:rsidRPr="12AA12DD" w:rsidR="006B3E7E">
        <w:rPr>
          <w:rFonts w:ascii="Calibri" w:hAnsi="Calibri" w:eastAsia="Calibri" w:cs="Calibri"/>
          <w:sz w:val="22"/>
          <w:szCs w:val="22"/>
        </w:rPr>
        <w:t xml:space="preserve"> di Milano consolidating its position inside the global top 100. </w:t>
      </w:r>
    </w:p>
    <w:p w:rsidRPr="00D929FD" w:rsidR="00B94A65" w:rsidP="12AA12DD" w:rsidRDefault="006B3E7E" w14:paraId="091BD2F1" w14:textId="43E970DC">
      <w:pPr>
        <w:pStyle w:val="paragraph"/>
        <w:numPr>
          <w:ilvl w:val="0"/>
          <w:numId w:val="10"/>
        </w:numPr>
        <w:spacing w:after="160" w:afterAutospacing="off" w:line="360" w:lineRule="auto"/>
        <w:textAlignment w:val="baseline"/>
        <w:rPr>
          <w:rFonts w:ascii="Calibri" w:hAnsi="Calibri" w:eastAsia="Calibri" w:cs="Calibri"/>
          <w:sz w:val="22"/>
          <w:szCs w:val="22"/>
        </w:rPr>
      </w:pPr>
      <w:r w:rsidRPr="4064C659" w:rsidR="24B1FB64">
        <w:rPr>
          <w:rFonts w:ascii="Calibri" w:hAnsi="Calibri" w:eastAsia="Calibri" w:cs="Calibri"/>
          <w:sz w:val="22"/>
          <w:szCs w:val="22"/>
        </w:rPr>
        <w:t>Germany</w:t>
      </w:r>
      <w:r w:rsidRPr="4064C659" w:rsidR="4A395850">
        <w:rPr>
          <w:rFonts w:ascii="Calibri" w:hAnsi="Calibri" w:eastAsia="Calibri" w:cs="Calibri"/>
          <w:sz w:val="22"/>
          <w:szCs w:val="22"/>
        </w:rPr>
        <w:t xml:space="preserve"> and Spain</w:t>
      </w:r>
      <w:r w:rsidRPr="4064C659" w:rsidR="24B1FB64">
        <w:rPr>
          <w:rFonts w:ascii="Calibri" w:hAnsi="Calibri" w:eastAsia="Calibri" w:cs="Calibri"/>
          <w:sz w:val="22"/>
          <w:szCs w:val="22"/>
        </w:rPr>
        <w:t xml:space="preserve"> expand representation significantly, </w:t>
      </w:r>
      <w:r w:rsidRPr="4064C659" w:rsidR="583A8F44">
        <w:rPr>
          <w:rFonts w:ascii="Calibri" w:hAnsi="Calibri" w:eastAsia="Calibri" w:cs="Calibri"/>
          <w:sz w:val="22"/>
          <w:szCs w:val="22"/>
        </w:rPr>
        <w:t>while</w:t>
      </w:r>
      <w:r w:rsidRPr="4064C659" w:rsidR="24B1FB64">
        <w:rPr>
          <w:rFonts w:ascii="Calibri" w:hAnsi="Calibri" w:eastAsia="Calibri" w:cs="Calibri"/>
          <w:sz w:val="22"/>
          <w:szCs w:val="22"/>
        </w:rPr>
        <w:t xml:space="preserve"> Technical University of Munich and Université PSL </w:t>
      </w:r>
      <w:r w:rsidRPr="4064C659" w:rsidR="583A8F44">
        <w:rPr>
          <w:rFonts w:ascii="Calibri" w:hAnsi="Calibri" w:eastAsia="Calibri" w:cs="Calibri"/>
          <w:sz w:val="22"/>
          <w:szCs w:val="22"/>
        </w:rPr>
        <w:t>are</w:t>
      </w:r>
      <w:r w:rsidRPr="4064C659" w:rsidR="24B1FB64">
        <w:rPr>
          <w:rFonts w:ascii="Calibri" w:hAnsi="Calibri" w:eastAsia="Calibri" w:cs="Calibri"/>
          <w:sz w:val="22"/>
          <w:szCs w:val="22"/>
        </w:rPr>
        <w:t xml:space="preserve"> the EU’s top-ranked institutions.</w:t>
      </w:r>
    </w:p>
    <w:p w:rsidRPr="00D929FD" w:rsidR="00EA2832" w:rsidP="12AA12DD" w:rsidRDefault="00EA2832" w14:paraId="6B048A13" w14:textId="460C126D">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Gulf universities achieve record performances, led by King Fahd University of Petroleum and Minerals reaching a historic high. </w:t>
      </w:r>
    </w:p>
    <w:p w:rsidRPr="00D929FD" w:rsidR="00EA2832" w:rsidP="12AA12DD" w:rsidRDefault="00EA2832" w14:paraId="2831FC3B" w14:textId="582BC0B4">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Latin America’s </w:t>
      </w:r>
      <w:r w:rsidRPr="12AA12DD" w:rsidR="00B94A65">
        <w:rPr>
          <w:rFonts w:ascii="Calibri" w:hAnsi="Calibri" w:eastAsia="Calibri" w:cs="Calibri"/>
          <w:sz w:val="22"/>
          <w:szCs w:val="22"/>
        </w:rPr>
        <w:t>downw</w:t>
      </w:r>
      <w:r w:rsidRPr="12AA12DD" w:rsidR="00181A17">
        <w:rPr>
          <w:rFonts w:ascii="Calibri" w:hAnsi="Calibri" w:eastAsia="Calibri" w:cs="Calibri"/>
          <w:sz w:val="22"/>
          <w:szCs w:val="22"/>
        </w:rPr>
        <w:t>ard trend</w:t>
      </w:r>
      <w:r w:rsidRPr="12AA12DD" w:rsidR="00EA2832">
        <w:rPr>
          <w:rFonts w:ascii="Calibri" w:hAnsi="Calibri" w:eastAsia="Calibri" w:cs="Calibri"/>
          <w:sz w:val="22"/>
          <w:szCs w:val="22"/>
        </w:rPr>
        <w:t xml:space="preserve"> continues, with Universidad de Buenos Aires remaining the region’s only global top-100 university. </w:t>
      </w:r>
    </w:p>
    <w:p w:rsidRPr="00D929FD" w:rsidR="00EA2832" w:rsidP="12AA12DD" w:rsidRDefault="00EA2832" w14:paraId="20A62AB1" w14:textId="218CA2D1">
      <w:pPr>
        <w:pStyle w:val="paragraph"/>
        <w:numPr>
          <w:ilvl w:val="0"/>
          <w:numId w:val="10"/>
        </w:numPr>
        <w:spacing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Canada faces growing competitive pressure </w:t>
      </w:r>
      <w:r w:rsidRPr="12AA12DD" w:rsidR="00181A17">
        <w:rPr>
          <w:rFonts w:ascii="Calibri" w:hAnsi="Calibri" w:eastAsia="Calibri" w:cs="Calibri"/>
          <w:sz w:val="22"/>
          <w:szCs w:val="22"/>
        </w:rPr>
        <w:t>while</w:t>
      </w:r>
      <w:r w:rsidRPr="12AA12DD" w:rsidR="00EA2832">
        <w:rPr>
          <w:rFonts w:ascii="Calibri" w:hAnsi="Calibri" w:eastAsia="Calibri" w:cs="Calibri"/>
          <w:sz w:val="22"/>
          <w:szCs w:val="22"/>
        </w:rPr>
        <w:t xml:space="preserve"> McGill University retai</w:t>
      </w:r>
      <w:r w:rsidRPr="12AA12DD" w:rsidR="00181A17">
        <w:rPr>
          <w:rFonts w:ascii="Calibri" w:hAnsi="Calibri" w:eastAsia="Calibri" w:cs="Calibri"/>
          <w:sz w:val="22"/>
          <w:szCs w:val="22"/>
        </w:rPr>
        <w:t>ns</w:t>
      </w:r>
      <w:r w:rsidRPr="12AA12DD" w:rsidR="00EA2832">
        <w:rPr>
          <w:rFonts w:ascii="Calibri" w:hAnsi="Calibri" w:eastAsia="Calibri" w:cs="Calibri"/>
          <w:sz w:val="22"/>
          <w:szCs w:val="22"/>
        </w:rPr>
        <w:t xml:space="preserve"> its position as the country’s leading institution. </w:t>
      </w:r>
    </w:p>
    <w:p w:rsidR="00530E9D" w:rsidP="12AA12DD" w:rsidRDefault="00EA2832" w14:paraId="0667B739" w14:textId="3FD89C4C">
      <w:pPr>
        <w:pStyle w:val="paragraph"/>
        <w:numPr>
          <w:ilvl w:val="0"/>
          <w:numId w:val="10"/>
        </w:numPr>
        <w:spacing w:before="0" w:beforeAutospacing="off" w:after="160" w:afterAutospacing="off" w:line="360" w:lineRule="auto"/>
        <w:textAlignment w:val="baseline"/>
        <w:rPr>
          <w:rFonts w:ascii="Calibri" w:hAnsi="Calibri" w:eastAsia="Calibri" w:cs="Calibri"/>
          <w:sz w:val="22"/>
          <w:szCs w:val="22"/>
        </w:rPr>
      </w:pPr>
      <w:r w:rsidRPr="12AA12DD" w:rsidR="00EA2832">
        <w:rPr>
          <w:rFonts w:ascii="Calibri" w:hAnsi="Calibri" w:eastAsia="Calibri" w:cs="Calibri"/>
          <w:sz w:val="22"/>
          <w:szCs w:val="22"/>
        </w:rPr>
        <w:t xml:space="preserve">South Africa </w:t>
      </w:r>
      <w:r w:rsidRPr="12AA12DD" w:rsidR="00D929FD">
        <w:rPr>
          <w:rFonts w:ascii="Calibri" w:hAnsi="Calibri" w:eastAsia="Calibri" w:cs="Calibri"/>
          <w:sz w:val="22"/>
          <w:szCs w:val="22"/>
        </w:rPr>
        <w:t>leads in Africa</w:t>
      </w:r>
      <w:r w:rsidRPr="12AA12DD" w:rsidR="00EA2832">
        <w:rPr>
          <w:rFonts w:ascii="Calibri" w:hAnsi="Calibri" w:eastAsia="Calibri" w:cs="Calibri"/>
          <w:sz w:val="22"/>
          <w:szCs w:val="22"/>
        </w:rPr>
        <w:t xml:space="preserve">, with University of Cape Town remaining </w:t>
      </w:r>
      <w:r w:rsidRPr="12AA12DD" w:rsidR="00D929FD">
        <w:rPr>
          <w:rFonts w:ascii="Calibri" w:hAnsi="Calibri" w:eastAsia="Calibri" w:cs="Calibri"/>
          <w:sz w:val="22"/>
          <w:szCs w:val="22"/>
        </w:rPr>
        <w:t>the region’s</w:t>
      </w:r>
      <w:r w:rsidRPr="12AA12DD" w:rsidR="00EA2832">
        <w:rPr>
          <w:rFonts w:ascii="Calibri" w:hAnsi="Calibri" w:eastAsia="Calibri" w:cs="Calibri"/>
          <w:sz w:val="22"/>
          <w:szCs w:val="22"/>
        </w:rPr>
        <w:t xml:space="preserve"> top-ranked university despite </w:t>
      </w:r>
      <w:r w:rsidRPr="12AA12DD" w:rsidR="00D929FD">
        <w:rPr>
          <w:rFonts w:ascii="Calibri" w:hAnsi="Calibri" w:eastAsia="Calibri" w:cs="Calibri"/>
          <w:sz w:val="22"/>
          <w:szCs w:val="22"/>
        </w:rPr>
        <w:t>dropping year-on-year</w:t>
      </w:r>
    </w:p>
    <w:p w:rsidR="11C64E78" w:rsidP="12AA12DD" w:rsidRDefault="11C64E78" w14:paraId="010C7D8E" w14:textId="202CE170">
      <w:pPr>
        <w:pStyle w:val="paragraph"/>
        <w:spacing w:beforeAutospacing="on" w:after="16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2AA12DD" w:rsidR="11C64E78">
        <w:rPr>
          <w:rFonts w:ascii="Calibri" w:hAnsi="Calibri" w:eastAsia="Calibri" w:cs="Calibri"/>
          <w:b w:val="1"/>
          <w:bCs w:val="1"/>
          <w:i w:val="0"/>
          <w:iCs w:val="0"/>
          <w:caps w:val="0"/>
          <w:smallCaps w:val="0"/>
          <w:noProof w:val="0"/>
          <w:color w:val="000000" w:themeColor="text1" w:themeTint="FF" w:themeShade="FF"/>
          <w:sz w:val="22"/>
          <w:szCs w:val="22"/>
          <w:lang w:val="en-US"/>
        </w:rPr>
        <w:t>QS Senior Vice President Ben Sowter</w:t>
      </w:r>
      <w:r w:rsidRPr="12AA12DD" w:rsidR="11C64E78">
        <w:rPr>
          <w:rFonts w:ascii="Calibri" w:hAnsi="Calibri" w:eastAsia="Calibri" w:cs="Calibri"/>
          <w:b w:val="0"/>
          <w:bCs w:val="0"/>
          <w:i w:val="0"/>
          <w:iCs w:val="0"/>
          <w:caps w:val="0"/>
          <w:smallCaps w:val="0"/>
          <w:noProof w:val="0"/>
          <w:color w:val="000000" w:themeColor="text1" w:themeTint="FF" w:themeShade="FF"/>
          <w:sz w:val="22"/>
          <w:szCs w:val="22"/>
          <w:lang w:val="en-US"/>
        </w:rPr>
        <w:t> said:</w:t>
      </w:r>
      <w:r w:rsidRPr="12AA12DD" w:rsidR="11C64E78">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12AA12DD" w:rsidR="11C64E78">
        <w:rPr>
          <w:rFonts w:ascii="Calibri" w:hAnsi="Calibri" w:eastAsia="Calibri" w:cs="Calibri"/>
          <w:b w:val="0"/>
          <w:bCs w:val="0"/>
          <w:i w:val="1"/>
          <w:iCs w:val="1"/>
          <w:caps w:val="0"/>
          <w:smallCaps w:val="0"/>
          <w:noProof w:val="0"/>
          <w:color w:val="000000" w:themeColor="text1" w:themeTint="FF" w:themeShade="FF"/>
          <w:sz w:val="22"/>
          <w:szCs w:val="22"/>
          <w:lang w:val="en-GB"/>
        </w:rPr>
        <w:t>“The QS World University Rankings continue to serve as an important benchmark for evaluating higher education performance, informing the decisions of students, academics, institutions and policy makers worldwide.”</w:t>
      </w:r>
    </w:p>
    <w:p w:rsidR="11C64E78" w:rsidP="12AA12DD" w:rsidRDefault="11C64E78" w14:paraId="7879E30E" w14:textId="60AEAAD3">
      <w:pPr>
        <w:pStyle w:val="paragraph"/>
        <w:spacing w:beforeAutospacing="on" w:after="16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2AA12DD" w:rsidR="11C64E78">
        <w:rPr>
          <w:rFonts w:ascii="Calibri" w:hAnsi="Calibri" w:eastAsia="Calibri" w:cs="Calibri"/>
          <w:b w:val="0"/>
          <w:bCs w:val="0"/>
          <w:i w:val="1"/>
          <w:iCs w:val="1"/>
          <w:caps w:val="0"/>
          <w:smallCaps w:val="0"/>
          <w:noProof w:val="0"/>
          <w:color w:val="000000" w:themeColor="text1" w:themeTint="FF" w:themeShade="FF"/>
          <w:sz w:val="22"/>
          <w:szCs w:val="22"/>
          <w:lang w:val="en-GB"/>
        </w:rPr>
        <w:t>“Higher education remains a critical driver of innovation, international collaboration, and social and economic development. As some established study destinations reconsider policies related to international student mobility and funding, emerging higher education hubs may find new opportunities to attract global talent and strengthen their positions in research, knowledge creation, and academic leadership.”</w:t>
      </w:r>
    </w:p>
    <w:p w:rsidR="11C64E78" w:rsidP="12AA12DD" w:rsidRDefault="11C64E78" w14:paraId="45CBCA0B" w14:textId="0645A85D">
      <w:pPr>
        <w:pStyle w:val="paragraph"/>
        <w:spacing w:beforeAutospacing="on" w:after="16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2AA12DD" w:rsidR="11C64E78">
        <w:rPr>
          <w:rFonts w:ascii="Calibri" w:hAnsi="Calibri" w:eastAsia="Calibri" w:cs="Calibri"/>
          <w:b w:val="0"/>
          <w:bCs w:val="0"/>
          <w:i w:val="1"/>
          <w:iCs w:val="1"/>
          <w:caps w:val="0"/>
          <w:smallCaps w:val="0"/>
          <w:noProof w:val="0"/>
          <w:color w:val="000000" w:themeColor="text1" w:themeTint="FF" w:themeShade="FF"/>
          <w:sz w:val="22"/>
          <w:szCs w:val="22"/>
          <w:lang w:val="en-GB"/>
        </w:rPr>
        <w:t>“The rankings show that the US is still the world leader in global higher education, with institutions such as MIT, Harvard and Caltech setting the benchmark for research influence and reputation. At the same time, the global map of higher education is becoming more distributed as institutions across Asia and the Middle East translate sustained investment in research and internationalisation into measurable gains.”</w:t>
      </w:r>
    </w:p>
    <w:p w:rsidR="11C64E78" w:rsidP="12AA12DD" w:rsidRDefault="11C64E78" w14:paraId="051A9674" w14:textId="34DB25CD">
      <w:pPr>
        <w:pStyle w:val="paragraph"/>
        <w:spacing w:beforeAutospacing="on" w:after="160" w:afterAutospacing="off" w:line="36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2AA12DD" w:rsidR="11C64E78">
        <w:rPr>
          <w:rFonts w:ascii="Calibri" w:hAnsi="Calibri" w:eastAsia="Calibri" w:cs="Calibri"/>
          <w:b w:val="0"/>
          <w:bCs w:val="0"/>
          <w:i w:val="1"/>
          <w:iCs w:val="1"/>
          <w:caps w:val="0"/>
          <w:smallCaps w:val="0"/>
          <w:noProof w:val="0"/>
          <w:color w:val="000000" w:themeColor="text1" w:themeTint="FF" w:themeShade="FF"/>
          <w:sz w:val="22"/>
          <w:szCs w:val="22"/>
          <w:lang w:val="en-GB"/>
        </w:rPr>
        <w:t>“The picture in Europe remains mixed, with some systems steadily strengthening their global standing through long-term funding and innovation policies, while others show signs of stagnation.”</w:t>
      </w:r>
    </w:p>
    <w:p w:rsidRPr="005C169E" w:rsidR="003D73B6" w:rsidP="0EF03D74" w:rsidRDefault="003D73B6" w14:paraId="2D79B671" w14:textId="53E19030">
      <w:pPr>
        <w:pStyle w:val="paragraph"/>
        <w:spacing w:before="0" w:beforeAutospacing="off" w:after="160" w:afterAutospacing="off" w:line="360" w:lineRule="auto"/>
        <w:textAlignment w:val="baseline"/>
        <w:rPr>
          <w:rFonts w:ascii="Calibri" w:hAnsi="Calibri" w:eastAsia="Calibri" w:cs="Calibri"/>
          <w:sz w:val="22"/>
          <w:szCs w:val="22"/>
        </w:rPr>
      </w:pPr>
      <w:r w:rsidRPr="5AE9C652" w:rsidR="088C98AB">
        <w:rPr>
          <w:rFonts w:ascii="Calibri" w:hAnsi="Calibri" w:eastAsia="Calibri" w:cs="Calibri"/>
          <w:sz w:val="22"/>
          <w:szCs w:val="22"/>
        </w:rPr>
        <w:t>This year’s ranking</w:t>
      </w:r>
      <w:r w:rsidRPr="5AE9C652" w:rsidR="284AD4DA">
        <w:rPr>
          <w:rFonts w:ascii="Calibri" w:hAnsi="Calibri" w:eastAsia="Calibri" w:cs="Calibri"/>
          <w:sz w:val="22"/>
          <w:szCs w:val="22"/>
        </w:rPr>
        <w:t>s</w:t>
      </w:r>
      <w:r w:rsidRPr="5AE9C652" w:rsidR="088C98AB">
        <w:rPr>
          <w:rFonts w:ascii="Calibri" w:hAnsi="Calibri" w:eastAsia="Calibri" w:cs="Calibri"/>
          <w:sz w:val="22"/>
          <w:szCs w:val="22"/>
        </w:rPr>
        <w:t xml:space="preserve"> featur</w:t>
      </w:r>
      <w:r w:rsidRPr="5AE9C652" w:rsidR="7C49EAD7">
        <w:rPr>
          <w:rFonts w:ascii="Calibri" w:hAnsi="Calibri" w:eastAsia="Calibri" w:cs="Calibri"/>
          <w:sz w:val="22"/>
          <w:szCs w:val="22"/>
        </w:rPr>
        <w:t>e</w:t>
      </w:r>
      <w:r w:rsidRPr="5AE9C652" w:rsidR="088C98AB">
        <w:rPr>
          <w:rFonts w:ascii="Calibri" w:hAnsi="Calibri" w:eastAsia="Calibri" w:cs="Calibri"/>
          <w:sz w:val="22"/>
          <w:szCs w:val="22"/>
        </w:rPr>
        <w:t xml:space="preserve"> more than 1500 universities across 106 higher education systems. The United States is the most represented higher education system, with 184 ranked universities, followed by the UK with 9</w:t>
      </w:r>
      <w:r w:rsidRPr="5AE9C652" w:rsidR="173AC337">
        <w:rPr>
          <w:rFonts w:ascii="Calibri" w:hAnsi="Calibri" w:eastAsia="Calibri" w:cs="Calibri"/>
          <w:sz w:val="22"/>
          <w:szCs w:val="22"/>
        </w:rPr>
        <w:t>3</w:t>
      </w:r>
      <w:r w:rsidRPr="5AE9C652" w:rsidR="088C98AB">
        <w:rPr>
          <w:rFonts w:ascii="Calibri" w:hAnsi="Calibri" w:eastAsia="Calibri" w:cs="Calibri"/>
          <w:sz w:val="22"/>
          <w:szCs w:val="22"/>
        </w:rPr>
        <w:t xml:space="preserve"> and Mainland China with 85. Mainland China sees the </w:t>
      </w:r>
      <w:bookmarkStart w:name="_Int_tg87xWRG" w:id="238869561"/>
      <w:r w:rsidRPr="5AE9C652" w:rsidR="088C98AB">
        <w:rPr>
          <w:rFonts w:ascii="Calibri" w:hAnsi="Calibri" w:eastAsia="Calibri" w:cs="Calibri"/>
          <w:sz w:val="22"/>
          <w:szCs w:val="22"/>
        </w:rPr>
        <w:t>most new</w:t>
      </w:r>
      <w:bookmarkEnd w:id="238869561"/>
      <w:r w:rsidRPr="5AE9C652" w:rsidR="088C98AB">
        <w:rPr>
          <w:rFonts w:ascii="Calibri" w:hAnsi="Calibri" w:eastAsia="Calibri" w:cs="Calibri"/>
          <w:sz w:val="22"/>
          <w:szCs w:val="22"/>
        </w:rPr>
        <w:t xml:space="preserve"> institutions ranked, adding 13, followed by Germany </w:t>
      </w:r>
      <w:r w:rsidRPr="5AE9C652" w:rsidR="7DA8DDFB">
        <w:rPr>
          <w:rFonts w:ascii="Calibri" w:hAnsi="Calibri" w:eastAsia="Calibri" w:cs="Calibri"/>
          <w:sz w:val="22"/>
          <w:szCs w:val="22"/>
        </w:rPr>
        <w:t>which adds</w:t>
      </w:r>
      <w:r w:rsidRPr="5AE9C652" w:rsidR="088C98AB">
        <w:rPr>
          <w:rFonts w:ascii="Calibri" w:hAnsi="Calibri" w:eastAsia="Calibri" w:cs="Calibri"/>
          <w:sz w:val="22"/>
          <w:szCs w:val="22"/>
        </w:rPr>
        <w:t xml:space="preserve"> 11 and Spain with 10. </w:t>
      </w:r>
    </w:p>
    <w:tbl>
      <w:tblPr>
        <w:tblW w:w="9209" w:type="dxa"/>
        <w:tblLayout w:type="fixed"/>
        <w:tblLook w:val="04A0" w:firstRow="1" w:lastRow="0" w:firstColumn="1" w:lastColumn="0" w:noHBand="0" w:noVBand="1"/>
      </w:tblPr>
      <w:tblGrid>
        <w:gridCol w:w="988"/>
        <w:gridCol w:w="708"/>
        <w:gridCol w:w="426"/>
        <w:gridCol w:w="708"/>
        <w:gridCol w:w="709"/>
        <w:gridCol w:w="567"/>
        <w:gridCol w:w="2268"/>
        <w:gridCol w:w="567"/>
        <w:gridCol w:w="567"/>
        <w:gridCol w:w="567"/>
        <w:gridCol w:w="567"/>
        <w:gridCol w:w="567"/>
      </w:tblGrid>
      <w:tr w:rsidRPr="005C169E" w:rsidR="003D73B6" w:rsidTr="56762087" w14:paraId="067EEA71" w14:textId="77777777">
        <w:trPr>
          <w:trHeight w:val="300"/>
        </w:trPr>
        <w:tc>
          <w:tcPr>
            <w:tcW w:w="9209" w:type="dxa"/>
            <w:gridSpan w:val="12"/>
            <w:tcBorders>
              <w:top w:val="single" w:color="auto" w:sz="4" w:space="0"/>
              <w:left w:val="single" w:color="auto" w:sz="4" w:space="0"/>
              <w:bottom w:val="single" w:color="auto" w:sz="4" w:space="0"/>
              <w:right w:val="single" w:color="auto" w:sz="4" w:space="0"/>
            </w:tcBorders>
            <w:noWrap/>
            <w:tcMar/>
            <w:vAlign w:val="bottom"/>
            <w:hideMark/>
          </w:tcPr>
          <w:p w:rsidRPr="005C169E" w:rsidR="003D73B6" w:rsidP="12AA12DD" w:rsidRDefault="003D73B6" w14:paraId="65BC5E6A" w14:textId="6CACF642">
            <w:pPr>
              <w:spacing w:after="0" w:line="240" w:lineRule="auto"/>
              <w:jc w:val="center"/>
              <w:rPr>
                <w:rFonts w:ascii="Calibri" w:hAnsi="Calibri" w:eastAsia="Calibri" w:cs="Calibri"/>
                <w:b w:val="1"/>
                <w:bCs w:val="1"/>
                <w:color w:val="1D1D1B"/>
                <w:kern w:val="0"/>
                <w:sz w:val="20"/>
                <w:szCs w:val="20"/>
                <w:lang w:eastAsia="en-GB"/>
                <w14:ligatures w14:val="none"/>
              </w:rPr>
            </w:pPr>
            <w:r w:rsidRPr="12AA12DD" w:rsidR="003D73B6">
              <w:rPr>
                <w:rFonts w:ascii="Calibri" w:hAnsi="Calibri" w:eastAsia="Calibri" w:cs="Calibri"/>
                <w:b w:val="1"/>
                <w:bCs w:val="1"/>
                <w:color w:val="1D1D1B"/>
                <w:kern w:val="0"/>
                <w:sz w:val="20"/>
                <w:szCs w:val="20"/>
                <w:lang w:eastAsia="en-GB"/>
                <w14:ligatures w14:val="none"/>
              </w:rPr>
              <w:t xml:space="preserve">Table </w:t>
            </w:r>
            <w:r w:rsidRPr="12AA12DD" w:rsidR="004849B9">
              <w:rPr>
                <w:rFonts w:ascii="Calibri" w:hAnsi="Calibri" w:eastAsia="Calibri" w:cs="Calibri"/>
                <w:b w:val="1"/>
                <w:bCs w:val="1"/>
                <w:color w:val="1D1D1B"/>
                <w:kern w:val="0"/>
                <w:sz w:val="20"/>
                <w:szCs w:val="20"/>
                <w:lang w:eastAsia="en-GB"/>
                <w14:ligatures w14:val="none"/>
              </w:rPr>
              <w:t>2</w:t>
            </w:r>
            <w:r w:rsidRPr="12AA12DD" w:rsidR="003D73B6">
              <w:rPr>
                <w:rFonts w:ascii="Calibri" w:hAnsi="Calibri" w:eastAsia="Calibri" w:cs="Calibri"/>
                <w:b w:val="1"/>
                <w:bCs w:val="1"/>
                <w:color w:val="1D1D1B"/>
                <w:kern w:val="0"/>
                <w:sz w:val="20"/>
                <w:szCs w:val="20"/>
                <w:lang w:eastAsia="en-GB"/>
                <w14:ligatures w14:val="none"/>
              </w:rPr>
              <w:t xml:space="preserve">: Top higher education systems by total ranked universities </w:t>
            </w:r>
          </w:p>
        </w:tc>
      </w:tr>
      <w:tr w:rsidRPr="005C169E" w:rsidR="003D73B6" w:rsidTr="56762087" w14:paraId="68CAB089" w14:textId="77777777">
        <w:trPr>
          <w:trHeight w:val="300"/>
        </w:trPr>
        <w:tc>
          <w:tcPr>
            <w:tcW w:w="988" w:type="dxa"/>
            <w:vMerge w:val="restart"/>
            <w:tcBorders>
              <w:top w:val="nil"/>
              <w:left w:val="single" w:color="auto" w:sz="4" w:space="0"/>
              <w:bottom w:val="single" w:color="auto" w:sz="4" w:space="0"/>
              <w:right w:val="single" w:color="auto" w:sz="4" w:space="0"/>
            </w:tcBorders>
            <w:tcMar/>
            <w:vAlign w:val="center"/>
            <w:hideMark/>
          </w:tcPr>
          <w:p w:rsidRPr="005C169E" w:rsidR="003D73B6" w:rsidP="12AA12DD" w:rsidRDefault="003D73B6" w14:paraId="4DF4B409" w14:textId="237F4C24">
            <w:pPr>
              <w:spacing w:after="0" w:line="240" w:lineRule="auto"/>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HE System</w:t>
            </w:r>
          </w:p>
        </w:tc>
        <w:tc>
          <w:tcPr>
            <w:tcW w:w="708" w:type="dxa"/>
            <w:vMerge w:val="restart"/>
            <w:tcBorders>
              <w:top w:val="nil"/>
              <w:left w:val="single" w:color="auto" w:sz="4" w:space="0"/>
              <w:bottom w:val="single" w:color="auto" w:sz="4" w:space="0"/>
              <w:right w:val="single" w:color="auto" w:sz="4" w:space="0"/>
            </w:tcBorders>
            <w:tcMar/>
            <w:vAlign w:val="center"/>
            <w:hideMark/>
          </w:tcPr>
          <w:p w:rsidRPr="005C169E" w:rsidR="003D73B6" w:rsidP="12AA12DD" w:rsidRDefault="003D73B6" w14:paraId="3FABA5F2"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Total ranked</w:t>
            </w:r>
          </w:p>
        </w:tc>
        <w:tc>
          <w:tcPr>
            <w:tcW w:w="426" w:type="dxa"/>
            <w:vMerge w:val="restart"/>
            <w:tcBorders>
              <w:top w:val="nil"/>
              <w:left w:val="single" w:color="auto" w:sz="4" w:space="0"/>
              <w:bottom w:val="single" w:color="auto" w:sz="4" w:space="0"/>
              <w:right w:val="single" w:color="auto" w:sz="4" w:space="0"/>
            </w:tcBorders>
            <w:tcMar/>
            <w:vAlign w:val="center"/>
            <w:hideMark/>
          </w:tcPr>
          <w:p w:rsidRPr="005C169E" w:rsidR="003D73B6" w:rsidP="12AA12DD" w:rsidRDefault="003D73B6" w14:paraId="370A053D"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Up</w:t>
            </w:r>
          </w:p>
        </w:tc>
        <w:tc>
          <w:tcPr>
            <w:tcW w:w="708" w:type="dxa"/>
            <w:vMerge w:val="restart"/>
            <w:tcBorders>
              <w:top w:val="nil"/>
              <w:left w:val="single" w:color="auto" w:sz="4" w:space="0"/>
              <w:bottom w:val="single" w:color="auto" w:sz="4" w:space="0"/>
              <w:right w:val="single" w:color="auto" w:sz="4" w:space="0"/>
            </w:tcBorders>
            <w:tcMar/>
            <w:vAlign w:val="center"/>
            <w:hideMark/>
          </w:tcPr>
          <w:p w:rsidRPr="005C169E" w:rsidR="003D73B6" w:rsidP="12AA12DD" w:rsidRDefault="003D73B6" w14:paraId="1677C436"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Same</w:t>
            </w:r>
          </w:p>
        </w:tc>
        <w:tc>
          <w:tcPr>
            <w:tcW w:w="709" w:type="dxa"/>
            <w:vMerge w:val="restart"/>
            <w:tcBorders>
              <w:top w:val="nil"/>
              <w:left w:val="single" w:color="auto" w:sz="4" w:space="0"/>
              <w:bottom w:val="single" w:color="auto" w:sz="4" w:space="0"/>
              <w:right w:val="single" w:color="auto" w:sz="4" w:space="0"/>
            </w:tcBorders>
            <w:tcMar/>
            <w:vAlign w:val="center"/>
            <w:hideMark/>
          </w:tcPr>
          <w:p w:rsidRPr="005C169E" w:rsidR="003D73B6" w:rsidP="12AA12DD" w:rsidRDefault="003D73B6" w14:paraId="0BAF174C"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Down</w:t>
            </w:r>
          </w:p>
        </w:tc>
        <w:tc>
          <w:tcPr>
            <w:tcW w:w="567" w:type="dxa"/>
            <w:vMerge w:val="restart"/>
            <w:tcBorders>
              <w:top w:val="nil"/>
              <w:left w:val="single" w:color="auto" w:sz="4" w:space="0"/>
              <w:bottom w:val="single" w:color="auto" w:sz="4" w:space="0"/>
              <w:right w:val="single" w:color="auto" w:sz="4" w:space="0"/>
            </w:tcBorders>
            <w:tcMar/>
            <w:vAlign w:val="center"/>
            <w:hideMark/>
          </w:tcPr>
          <w:p w:rsidRPr="005C169E" w:rsidR="003D73B6" w:rsidP="12AA12DD" w:rsidRDefault="003D73B6" w14:paraId="571D839E"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New</w:t>
            </w:r>
          </w:p>
        </w:tc>
        <w:tc>
          <w:tcPr>
            <w:tcW w:w="2835" w:type="dxa"/>
            <w:gridSpan w:val="2"/>
            <w:tcBorders>
              <w:top w:val="single" w:color="auto" w:sz="4" w:space="0"/>
              <w:left w:val="nil"/>
              <w:bottom w:val="single" w:color="auto" w:sz="4" w:space="0"/>
              <w:right w:val="single" w:color="auto" w:sz="4" w:space="0"/>
            </w:tcBorders>
            <w:noWrap/>
            <w:tcMar/>
            <w:vAlign w:val="center"/>
            <w:hideMark/>
          </w:tcPr>
          <w:p w:rsidRPr="005C169E" w:rsidR="003D73B6" w:rsidP="12AA12DD" w:rsidRDefault="003D73B6" w14:paraId="224F2967"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Top university</w:t>
            </w:r>
          </w:p>
        </w:tc>
        <w:tc>
          <w:tcPr>
            <w:tcW w:w="567" w:type="dxa"/>
            <w:vMerge w:val="restart"/>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51F42890"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Top 50</w:t>
            </w:r>
          </w:p>
        </w:tc>
        <w:tc>
          <w:tcPr>
            <w:tcW w:w="567" w:type="dxa"/>
            <w:vMerge w:val="restart"/>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1EC4F57B"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Top 100</w:t>
            </w:r>
          </w:p>
        </w:tc>
        <w:tc>
          <w:tcPr>
            <w:tcW w:w="567" w:type="dxa"/>
            <w:vMerge w:val="restart"/>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050A2902"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Top 200</w:t>
            </w:r>
          </w:p>
        </w:tc>
        <w:tc>
          <w:tcPr>
            <w:tcW w:w="567" w:type="dxa"/>
            <w:vMerge w:val="restart"/>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71D3E37A"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Top 500</w:t>
            </w:r>
          </w:p>
        </w:tc>
      </w:tr>
      <w:tr w:rsidRPr="005C169E" w:rsidR="003D73B6" w:rsidTr="56762087" w14:paraId="58D075E2" w14:textId="77777777">
        <w:trPr>
          <w:trHeight w:val="310"/>
        </w:trPr>
        <w:tc>
          <w:tcPr>
            <w:tcW w:w="988" w:type="dxa"/>
            <w:vMerge/>
            <w:tcBorders/>
            <w:tcMar/>
            <w:vAlign w:val="center"/>
            <w:hideMark/>
          </w:tcPr>
          <w:p w:rsidRPr="005C169E" w:rsidR="003D73B6" w:rsidP="003D73B6" w:rsidRDefault="003D73B6" w14:paraId="42E3634B"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708" w:type="dxa"/>
            <w:vMerge/>
            <w:tcBorders/>
            <w:tcMar/>
            <w:vAlign w:val="center"/>
            <w:hideMark/>
          </w:tcPr>
          <w:p w:rsidRPr="005C169E" w:rsidR="003D73B6" w:rsidP="003D73B6" w:rsidRDefault="003D73B6" w14:paraId="286500D3"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426" w:type="dxa"/>
            <w:vMerge/>
            <w:tcBorders/>
            <w:tcMar/>
            <w:vAlign w:val="center"/>
            <w:hideMark/>
          </w:tcPr>
          <w:p w:rsidRPr="005C169E" w:rsidR="003D73B6" w:rsidP="003D73B6" w:rsidRDefault="003D73B6" w14:paraId="45DD6A8E"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708" w:type="dxa"/>
            <w:vMerge/>
            <w:tcBorders/>
            <w:tcMar/>
            <w:vAlign w:val="center"/>
            <w:hideMark/>
          </w:tcPr>
          <w:p w:rsidRPr="005C169E" w:rsidR="003D73B6" w:rsidP="003D73B6" w:rsidRDefault="003D73B6" w14:paraId="5A4DA380"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709" w:type="dxa"/>
            <w:vMerge/>
            <w:tcBorders/>
            <w:tcMar/>
            <w:vAlign w:val="center"/>
            <w:hideMark/>
          </w:tcPr>
          <w:p w:rsidRPr="005C169E" w:rsidR="003D73B6" w:rsidP="003D73B6" w:rsidRDefault="003D73B6" w14:paraId="6F863E23"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567" w:type="dxa"/>
            <w:vMerge/>
            <w:tcBorders/>
            <w:tcMar/>
            <w:vAlign w:val="center"/>
            <w:hideMark/>
          </w:tcPr>
          <w:p w:rsidRPr="005C169E" w:rsidR="003D73B6" w:rsidP="003D73B6" w:rsidRDefault="003D73B6" w14:paraId="0C0AC05A"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1381E516" w14:textId="77777777">
            <w:pPr>
              <w:spacing w:after="0" w:line="240" w:lineRule="auto"/>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Name</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793E2CCB"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3D73B6">
              <w:rPr>
                <w:rFonts w:ascii="Calibri" w:hAnsi="Calibri" w:eastAsia="Calibri" w:cs="Calibri"/>
                <w:b w:val="1"/>
                <w:bCs w:val="1"/>
                <w:color w:val="1D1D1B"/>
                <w:kern w:val="0"/>
                <w:sz w:val="16"/>
                <w:szCs w:val="16"/>
                <w:lang w:eastAsia="en-GB"/>
                <w14:ligatures w14:val="none"/>
              </w:rPr>
              <w:t>Rank</w:t>
            </w:r>
          </w:p>
        </w:tc>
        <w:tc>
          <w:tcPr>
            <w:tcW w:w="567" w:type="dxa"/>
            <w:vMerge/>
            <w:tcBorders/>
            <w:tcMar/>
            <w:vAlign w:val="center"/>
            <w:hideMark/>
          </w:tcPr>
          <w:p w:rsidRPr="005C169E" w:rsidR="003D73B6" w:rsidP="003D73B6" w:rsidRDefault="003D73B6" w14:paraId="6149639A"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567" w:type="dxa"/>
            <w:vMerge/>
            <w:tcBorders/>
            <w:tcMar/>
            <w:vAlign w:val="center"/>
            <w:hideMark/>
          </w:tcPr>
          <w:p w:rsidRPr="005C169E" w:rsidR="003D73B6" w:rsidP="003D73B6" w:rsidRDefault="003D73B6" w14:paraId="577EEE86"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567" w:type="dxa"/>
            <w:vMerge/>
            <w:tcBorders/>
            <w:tcMar/>
            <w:vAlign w:val="center"/>
            <w:hideMark/>
          </w:tcPr>
          <w:p w:rsidRPr="005C169E" w:rsidR="003D73B6" w:rsidP="003D73B6" w:rsidRDefault="003D73B6" w14:paraId="3B9173E1" w14:textId="77777777">
            <w:pPr>
              <w:spacing w:after="0" w:line="240" w:lineRule="auto"/>
              <w:rPr>
                <w:rFonts w:ascii="PP Telegraf" w:hAnsi="PP Telegraf" w:eastAsia="Times New Roman" w:cs="Calibri"/>
                <w:b/>
                <w:bCs/>
                <w:color w:val="1D1D1B"/>
                <w:kern w:val="0"/>
                <w:sz w:val="16"/>
                <w:szCs w:val="16"/>
                <w:lang w:eastAsia="en-GB"/>
                <w14:ligatures w14:val="none"/>
              </w:rPr>
            </w:pPr>
          </w:p>
        </w:tc>
        <w:tc>
          <w:tcPr>
            <w:tcW w:w="567" w:type="dxa"/>
            <w:vMerge/>
            <w:tcBorders/>
            <w:tcMar/>
            <w:vAlign w:val="center"/>
            <w:hideMark/>
          </w:tcPr>
          <w:p w:rsidRPr="005C169E" w:rsidR="003D73B6" w:rsidP="003D73B6" w:rsidRDefault="003D73B6" w14:paraId="5617597A" w14:textId="77777777">
            <w:pPr>
              <w:spacing w:after="0" w:line="240" w:lineRule="auto"/>
              <w:rPr>
                <w:rFonts w:ascii="PP Telegraf" w:hAnsi="PP Telegraf" w:eastAsia="Times New Roman" w:cs="Calibri"/>
                <w:b/>
                <w:bCs/>
                <w:color w:val="1D1D1B"/>
                <w:kern w:val="0"/>
                <w:sz w:val="16"/>
                <w:szCs w:val="16"/>
                <w:lang w:eastAsia="en-GB"/>
                <w14:ligatures w14:val="none"/>
              </w:rPr>
            </w:pPr>
          </w:p>
        </w:tc>
      </w:tr>
      <w:tr w:rsidRPr="005C169E" w:rsidR="003D73B6" w:rsidTr="56762087" w14:paraId="1BFB3901"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504753C4" w14:textId="4A90A50E">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US</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B6558EC"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184</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5A1143F4" w14:textId="06CC651A">
            <w:pPr>
              <w:spacing w:after="0" w:line="240" w:lineRule="auto"/>
              <w:jc w:val="center"/>
              <w:rPr>
                <w:rFonts w:ascii="Calibri" w:hAnsi="Calibri" w:eastAsia="Calibri" w:cs="Calibri"/>
                <w:color w:val="00B050"/>
                <w:kern w:val="0"/>
                <w:sz w:val="16"/>
                <w:szCs w:val="16"/>
                <w:lang w:eastAsia="en-GB"/>
                <w14:ligatures w14:val="none"/>
              </w:rPr>
            </w:pPr>
            <w:r w:rsidRPr="12AA12DD" w:rsidR="42777D3B">
              <w:rPr>
                <w:rFonts w:ascii="Calibri" w:hAnsi="Calibri" w:eastAsia="Calibri" w:cs="Calibri"/>
                <w:color w:val="00B050"/>
                <w:kern w:val="0"/>
                <w:sz w:val="16"/>
                <w:szCs w:val="16"/>
                <w:lang w:eastAsia="en-GB"/>
                <w14:ligatures w14:val="none"/>
              </w:rPr>
              <w:t>2</w:t>
            </w:r>
            <w:r w:rsidRPr="12AA12DD" w:rsidR="7BAC1B3C">
              <w:rPr>
                <w:rFonts w:ascii="Calibri" w:hAnsi="Calibri" w:eastAsia="Calibri" w:cs="Calibri"/>
                <w:color w:val="00B050"/>
                <w:kern w:val="0"/>
                <w:sz w:val="16"/>
                <w:szCs w:val="16"/>
                <w:lang w:eastAsia="en-GB"/>
                <w14:ligatures w14:val="none"/>
              </w:rPr>
              <w:t>3</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6368C8E5"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38</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45EFF08D" w14:textId="2AD3559E">
            <w:pPr>
              <w:spacing w:after="0" w:line="240" w:lineRule="auto"/>
              <w:jc w:val="center"/>
              <w:rPr>
                <w:rFonts w:ascii="Calibri" w:hAnsi="Calibri" w:eastAsia="Calibri" w:cs="Calibri"/>
                <w:color w:val="C00000"/>
                <w:kern w:val="0"/>
                <w:sz w:val="16"/>
                <w:szCs w:val="16"/>
                <w:lang w:eastAsia="en-GB"/>
                <w14:ligatures w14:val="none"/>
              </w:rPr>
            </w:pPr>
            <w:r w:rsidRPr="12AA12DD" w:rsidR="42777D3B">
              <w:rPr>
                <w:rFonts w:ascii="Calibri" w:hAnsi="Calibri" w:eastAsia="Calibri" w:cs="Calibri"/>
                <w:color w:val="C00000"/>
                <w:kern w:val="0"/>
                <w:sz w:val="16"/>
                <w:szCs w:val="16"/>
                <w:lang w:eastAsia="en-GB"/>
                <w14:ligatures w14:val="none"/>
              </w:rPr>
              <w:t>12</w:t>
            </w:r>
            <w:r w:rsidRPr="12AA12DD" w:rsidR="380ED980">
              <w:rPr>
                <w:rFonts w:ascii="Calibri" w:hAnsi="Calibri" w:eastAsia="Calibri" w:cs="Calibri"/>
                <w:color w:val="C00000"/>
                <w:kern w:val="0"/>
                <w:sz w:val="16"/>
                <w:szCs w:val="16"/>
                <w:lang w:eastAsia="en-GB"/>
                <w14:ligatures w14:val="none"/>
              </w:rPr>
              <w:t>1</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20EC38A0"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3</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21451F14" w14:textId="4A2F64A9">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MIT</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73C60AA5"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F93479E"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202F2CA0"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26</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4CCFC0C1"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92282A7"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68</w:t>
            </w:r>
          </w:p>
        </w:tc>
      </w:tr>
      <w:tr w:rsidRPr="005C169E" w:rsidR="003D73B6" w:rsidTr="56762087" w14:paraId="67B0695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0FC6AA44" w14:textId="27E37780">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UK</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37EB071"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93</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3E43D2AA"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31</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4AF5A803"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20</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4D3B5647"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38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7869BDCD"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4</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0BA363C7"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Imperial College London</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163777FA"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69026B83"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7</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CE37B8D"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16</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E07867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61BE96EA"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48</w:t>
            </w:r>
          </w:p>
        </w:tc>
      </w:tr>
      <w:tr w:rsidRPr="005C169E" w:rsidR="003D73B6" w:rsidTr="56762087" w14:paraId="3C3652D3"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75C73D98" w14:textId="0BD768A2">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Mainland China</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7792F97C"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85</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5C7A0142"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52</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4F8F1A84"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10</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3FF9161E"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10</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1D24068"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13</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09FDC8E0"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Peking University</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680FECD9"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13</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45FE38DE"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5</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44D8760A"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6</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3F352BDC"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10</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75E062AC"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38</w:t>
            </w:r>
          </w:p>
        </w:tc>
      </w:tr>
      <w:tr w:rsidRPr="005C169E" w:rsidR="003D73B6" w:rsidTr="56762087" w14:paraId="42752C5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0B1449B0"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Germany</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245BA10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60</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6A3D7D4E"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8</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3FD0B87"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3</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2DB00CFD"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38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5EF22AC"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11</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5211F561"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Technical University of Munich</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15FF5C5D"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25</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0871243"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8D449D6"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63218B1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9</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8E2737C"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28</w:t>
            </w:r>
          </w:p>
        </w:tc>
      </w:tr>
      <w:tr w:rsidRPr="005C169E" w:rsidR="003D73B6" w:rsidTr="56762087" w14:paraId="4BD03864"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24340790"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India</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7B12EAFD"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52</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1FCDD749"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26</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36C8CA3C"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9</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50033AE9"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15</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26F7D1B1"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2</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0C342D00"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Indian Institute of Technology Delhi (IITD)</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48AF073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118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7DB53F0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 </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2D407651"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 </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D07DBDE"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18A9057"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11</w:t>
            </w:r>
          </w:p>
        </w:tc>
      </w:tr>
      <w:tr w:rsidRPr="005C169E" w:rsidR="003D73B6" w:rsidTr="56762087" w14:paraId="3BFE1D2A"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0E10258E"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Spain</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1C7D682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48</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1211FA36"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2</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6B8B31F"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12</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06BC8D5F"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24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A883893"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10</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26EF28AF"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Universitat</w:t>
            </w:r>
            <w:r w:rsidRPr="12AA12DD" w:rsidR="003D73B6">
              <w:rPr>
                <w:rFonts w:ascii="Calibri" w:hAnsi="Calibri" w:eastAsia="Calibri" w:cs="Calibri"/>
                <w:color w:val="1D1D1B"/>
                <w:kern w:val="0"/>
                <w:sz w:val="16"/>
                <w:szCs w:val="16"/>
                <w:lang w:eastAsia="en-GB"/>
                <w14:ligatures w14:val="none"/>
              </w:rPr>
              <w:t xml:space="preserve"> de Barcelona</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3FF88DC7"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165</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3D63DAB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 </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3ACA8D00"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 </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7900FC5"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3CB9B915"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15</w:t>
            </w:r>
          </w:p>
        </w:tc>
      </w:tr>
      <w:tr w:rsidRPr="005C169E" w:rsidR="003D73B6" w:rsidTr="56762087" w14:paraId="5D6698D7"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1EB1B97D"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Italy</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2325B319"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47</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785492E1"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23</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F93C8E8"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9</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438F6032"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9</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6E6A37ED"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6</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7BF07029"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Politecnico</w:t>
            </w:r>
            <w:r w:rsidRPr="12AA12DD" w:rsidR="003D73B6">
              <w:rPr>
                <w:rFonts w:ascii="Calibri" w:hAnsi="Calibri" w:eastAsia="Calibri" w:cs="Calibri"/>
                <w:color w:val="1D1D1B"/>
                <w:kern w:val="0"/>
                <w:sz w:val="16"/>
                <w:szCs w:val="16"/>
                <w:lang w:eastAsia="en-GB"/>
                <w14:ligatures w14:val="none"/>
              </w:rPr>
              <w:t xml:space="preserve"> di Milano</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520BD8D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87</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2B8AAB5D"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 </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1DCE0E9"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1AD011F"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3510B7C4"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15</w:t>
            </w:r>
          </w:p>
        </w:tc>
      </w:tr>
      <w:tr w:rsidRPr="005C169E" w:rsidR="003D73B6" w:rsidTr="56762087" w14:paraId="50FA21DF"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44026A9D" w14:textId="46162CEA">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South Korea</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2BC0E234"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43</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21B29E37"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21</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C6C55BB"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12</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4321D826"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7</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46E1541"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3</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0E32243A"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Seoul National University</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34A46EB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2338D57A"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6625F1E"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6E7EBC6"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7</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A4CD7A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17</w:t>
            </w:r>
          </w:p>
        </w:tc>
      </w:tr>
      <w:tr w:rsidRPr="005C169E" w:rsidR="003D73B6" w:rsidTr="56762087" w14:paraId="10F9FA9E"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26F239AF"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Japan</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359BC7F7"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41</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34531CF5"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3</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738AAEC1"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13</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2A5F1475"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24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CA0872D"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1</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556E8570"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The University of Tokyo</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0C020D75"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39</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45CAE6F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40B8B0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19E1DB66"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8</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8AA8697"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12</w:t>
            </w:r>
          </w:p>
        </w:tc>
      </w:tr>
      <w:tr w:rsidRPr="005C169E" w:rsidR="003D73B6" w:rsidTr="56762087" w14:paraId="229D246D" w14:textId="77777777">
        <w:trPr>
          <w:trHeight w:val="300"/>
        </w:trPr>
        <w:tc>
          <w:tcPr>
            <w:tcW w:w="988" w:type="dxa"/>
            <w:tcBorders>
              <w:top w:val="nil"/>
              <w:left w:val="single" w:color="auto" w:sz="4" w:space="0"/>
              <w:bottom w:val="single" w:color="auto" w:sz="4" w:space="0"/>
              <w:right w:val="single" w:color="auto" w:sz="4" w:space="0"/>
            </w:tcBorders>
            <w:noWrap/>
            <w:tcMar/>
            <w:vAlign w:val="center"/>
            <w:hideMark/>
          </w:tcPr>
          <w:p w:rsidRPr="005C169E" w:rsidR="003D73B6" w:rsidP="12AA12DD" w:rsidRDefault="003D73B6" w14:paraId="611035DF"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France</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45EF87E0"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38</w:t>
            </w:r>
          </w:p>
        </w:tc>
        <w:tc>
          <w:tcPr>
            <w:tcW w:w="426" w:type="dxa"/>
            <w:tcBorders>
              <w:top w:val="nil"/>
              <w:left w:val="nil"/>
              <w:bottom w:val="single" w:color="auto" w:sz="4" w:space="0"/>
              <w:right w:val="single" w:color="auto" w:sz="4" w:space="0"/>
            </w:tcBorders>
            <w:noWrap/>
            <w:tcMar/>
            <w:vAlign w:val="center"/>
            <w:hideMark/>
          </w:tcPr>
          <w:p w:rsidRPr="005C169E" w:rsidR="003D73B6" w:rsidP="12AA12DD" w:rsidRDefault="003D73B6" w14:paraId="113C6A61" w14:textId="77777777">
            <w:pPr>
              <w:spacing w:after="0" w:line="240" w:lineRule="auto"/>
              <w:jc w:val="center"/>
              <w:rPr>
                <w:rFonts w:ascii="Calibri" w:hAnsi="Calibri" w:eastAsia="Calibri" w:cs="Calibri"/>
                <w:color w:val="00B050"/>
                <w:kern w:val="0"/>
                <w:sz w:val="16"/>
                <w:szCs w:val="16"/>
                <w:lang w:eastAsia="en-GB"/>
                <w14:ligatures w14:val="none"/>
              </w:rPr>
            </w:pPr>
            <w:r w:rsidRPr="12AA12DD" w:rsidR="003D73B6">
              <w:rPr>
                <w:rFonts w:ascii="Calibri" w:hAnsi="Calibri" w:eastAsia="Calibri" w:cs="Calibri"/>
                <w:color w:val="00B050"/>
                <w:kern w:val="0"/>
                <w:sz w:val="16"/>
                <w:szCs w:val="16"/>
                <w:lang w:eastAsia="en-GB"/>
                <w14:ligatures w14:val="none"/>
              </w:rPr>
              <w:t>5</w:t>
            </w:r>
          </w:p>
        </w:tc>
        <w:tc>
          <w:tcPr>
            <w:tcW w:w="708" w:type="dxa"/>
            <w:tcBorders>
              <w:top w:val="nil"/>
              <w:left w:val="nil"/>
              <w:bottom w:val="single" w:color="auto" w:sz="4" w:space="0"/>
              <w:right w:val="single" w:color="auto" w:sz="4" w:space="0"/>
            </w:tcBorders>
            <w:noWrap/>
            <w:tcMar/>
            <w:vAlign w:val="center"/>
            <w:hideMark/>
          </w:tcPr>
          <w:p w:rsidRPr="005C169E" w:rsidR="003D73B6" w:rsidP="12AA12DD" w:rsidRDefault="003D73B6" w14:paraId="55C9C216" w14:textId="77777777">
            <w:pPr>
              <w:spacing w:after="0" w:line="240" w:lineRule="auto"/>
              <w:jc w:val="center"/>
              <w:rPr>
                <w:rFonts w:ascii="Calibri" w:hAnsi="Calibri" w:eastAsia="Calibri" w:cs="Calibri"/>
                <w:color w:val="FFC000"/>
                <w:kern w:val="0"/>
                <w:sz w:val="16"/>
                <w:szCs w:val="16"/>
                <w:lang w:eastAsia="en-GB"/>
                <w14:ligatures w14:val="none"/>
              </w:rPr>
            </w:pPr>
            <w:r w:rsidRPr="12AA12DD" w:rsidR="003D73B6">
              <w:rPr>
                <w:rFonts w:ascii="Calibri" w:hAnsi="Calibri" w:eastAsia="Calibri" w:cs="Calibri"/>
                <w:color w:val="FFC000"/>
                <w:kern w:val="0"/>
                <w:sz w:val="16"/>
                <w:szCs w:val="16"/>
                <w:lang w:eastAsia="en-GB"/>
                <w14:ligatures w14:val="none"/>
              </w:rPr>
              <w:t>7</w:t>
            </w:r>
          </w:p>
        </w:tc>
        <w:tc>
          <w:tcPr>
            <w:tcW w:w="709" w:type="dxa"/>
            <w:tcBorders>
              <w:top w:val="nil"/>
              <w:left w:val="nil"/>
              <w:bottom w:val="single" w:color="auto" w:sz="4" w:space="0"/>
              <w:right w:val="single" w:color="auto" w:sz="4" w:space="0"/>
            </w:tcBorders>
            <w:noWrap/>
            <w:tcMar/>
            <w:vAlign w:val="center"/>
            <w:hideMark/>
          </w:tcPr>
          <w:p w:rsidRPr="005C169E" w:rsidR="003D73B6" w:rsidP="12AA12DD" w:rsidRDefault="003D73B6" w14:paraId="38279E55" w14:textId="77777777">
            <w:pPr>
              <w:spacing w:after="0" w:line="240" w:lineRule="auto"/>
              <w:jc w:val="center"/>
              <w:rPr>
                <w:rFonts w:ascii="Calibri" w:hAnsi="Calibri" w:eastAsia="Calibri" w:cs="Calibri"/>
                <w:color w:val="C00000"/>
                <w:kern w:val="0"/>
                <w:sz w:val="16"/>
                <w:szCs w:val="16"/>
                <w:lang w:eastAsia="en-GB"/>
                <w14:ligatures w14:val="none"/>
              </w:rPr>
            </w:pPr>
            <w:r w:rsidRPr="12AA12DD" w:rsidR="003D73B6">
              <w:rPr>
                <w:rFonts w:ascii="Calibri" w:hAnsi="Calibri" w:eastAsia="Calibri" w:cs="Calibri"/>
                <w:color w:val="C00000"/>
                <w:kern w:val="0"/>
                <w:sz w:val="16"/>
                <w:szCs w:val="16"/>
                <w:lang w:eastAsia="en-GB"/>
                <w14:ligatures w14:val="none"/>
              </w:rPr>
              <w:t>19</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62F202A3" w14:textId="77777777">
            <w:pPr>
              <w:spacing w:after="0" w:line="240" w:lineRule="auto"/>
              <w:jc w:val="center"/>
              <w:rPr>
                <w:rFonts w:ascii="Calibri" w:hAnsi="Calibri" w:eastAsia="Calibri" w:cs="Calibri"/>
                <w:color w:val="0070C0"/>
                <w:kern w:val="0"/>
                <w:sz w:val="16"/>
                <w:szCs w:val="16"/>
                <w:lang w:eastAsia="en-GB"/>
                <w14:ligatures w14:val="none"/>
              </w:rPr>
            </w:pPr>
            <w:r w:rsidRPr="12AA12DD" w:rsidR="003D73B6">
              <w:rPr>
                <w:rFonts w:ascii="Calibri" w:hAnsi="Calibri" w:eastAsia="Calibri" w:cs="Calibri"/>
                <w:color w:val="0070C0"/>
                <w:kern w:val="0"/>
                <w:sz w:val="16"/>
                <w:szCs w:val="16"/>
                <w:lang w:eastAsia="en-GB"/>
                <w14:ligatures w14:val="none"/>
              </w:rPr>
              <w:t>7</w:t>
            </w:r>
          </w:p>
        </w:tc>
        <w:tc>
          <w:tcPr>
            <w:tcW w:w="2268"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795C064C" w14:textId="77777777">
            <w:pPr>
              <w:spacing w:after="0" w:line="240" w:lineRule="auto"/>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Université PSL</w:t>
            </w:r>
          </w:p>
        </w:tc>
        <w:tc>
          <w:tcPr>
            <w:tcW w:w="567" w:type="dxa"/>
            <w:tcBorders>
              <w:top w:val="nil"/>
              <w:left w:val="nil"/>
              <w:bottom w:val="single" w:color="auto" w:sz="4" w:space="0"/>
              <w:right w:val="single" w:color="auto" w:sz="4" w:space="0"/>
            </w:tcBorders>
            <w:shd w:val="clear" w:color="auto" w:fill="E9E9E7"/>
            <w:noWrap/>
            <w:tcMar/>
            <w:vAlign w:val="center"/>
            <w:hideMark/>
          </w:tcPr>
          <w:p w:rsidRPr="005C169E" w:rsidR="003D73B6" w:rsidP="12AA12DD" w:rsidRDefault="003D73B6" w14:paraId="5A6A7EB4"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34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428BAB36"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2</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3341F12"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0198B0F6"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4</w:t>
            </w:r>
          </w:p>
        </w:tc>
        <w:tc>
          <w:tcPr>
            <w:tcW w:w="567" w:type="dxa"/>
            <w:tcBorders>
              <w:top w:val="nil"/>
              <w:left w:val="nil"/>
              <w:bottom w:val="single" w:color="auto" w:sz="4" w:space="0"/>
              <w:right w:val="single" w:color="auto" w:sz="4" w:space="0"/>
            </w:tcBorders>
            <w:noWrap/>
            <w:tcMar/>
            <w:vAlign w:val="center"/>
            <w:hideMark/>
          </w:tcPr>
          <w:p w:rsidRPr="005C169E" w:rsidR="003D73B6" w:rsidP="12AA12DD" w:rsidRDefault="003D73B6" w14:paraId="59C9826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3D73B6">
              <w:rPr>
                <w:rFonts w:ascii="Calibri" w:hAnsi="Calibri" w:eastAsia="Calibri" w:cs="Calibri"/>
                <w:color w:val="1D1D1B"/>
                <w:kern w:val="0"/>
                <w:sz w:val="16"/>
                <w:szCs w:val="16"/>
                <w:lang w:eastAsia="en-GB"/>
                <w14:ligatures w14:val="none"/>
              </w:rPr>
              <w:t>13</w:t>
            </w:r>
          </w:p>
        </w:tc>
      </w:tr>
    </w:tbl>
    <w:p w:rsidRPr="005C169E" w:rsidR="00031A0E" w:rsidP="12AA12DD" w:rsidRDefault="00031A0E" w14:paraId="2BDD4BF4" w14:textId="77777777">
      <w:pPr>
        <w:pStyle w:val="paragraph"/>
        <w:spacing w:before="0" w:beforeAutospacing="off" w:after="0" w:afterAutospacing="off"/>
        <w:textAlignment w:val="baseline"/>
        <w:rPr>
          <w:rFonts w:ascii="Calibri" w:hAnsi="Calibri" w:eastAsia="Calibri" w:cs="Calibri"/>
          <w:sz w:val="22"/>
          <w:szCs w:val="22"/>
        </w:rPr>
      </w:pPr>
    </w:p>
    <w:p w:rsidRPr="005C169E" w:rsidR="001D2D5F" w:rsidP="12AA12DD" w:rsidRDefault="0092729D" w14:paraId="171253C1" w14:textId="54817EF5">
      <w:pPr>
        <w:pStyle w:val="paragraph"/>
        <w:spacing w:before="0" w:beforeAutospacing="off" w:after="160" w:afterAutospacing="off" w:line="360" w:lineRule="auto"/>
        <w:textAlignment w:val="baseline"/>
        <w:rPr>
          <w:rFonts w:ascii="Calibri" w:hAnsi="Calibri" w:eastAsia="Calibri" w:cs="Calibri"/>
          <w:sz w:val="22"/>
          <w:szCs w:val="22"/>
        </w:rPr>
      </w:pPr>
      <w:r w:rsidRPr="12AA12DD" w:rsidR="0092729D">
        <w:rPr>
          <w:rFonts w:ascii="Calibri" w:hAnsi="Calibri" w:eastAsia="Calibri" w:cs="Calibri"/>
          <w:sz w:val="22"/>
          <w:szCs w:val="22"/>
          <w:lang w:val="en-US"/>
        </w:rPr>
        <w:t xml:space="preserve">The QS World University Rankings are determined by an institution’s scores across </w:t>
      </w:r>
      <w:r w:rsidRPr="12AA12DD" w:rsidR="00BD0D2E">
        <w:rPr>
          <w:rFonts w:ascii="Calibri" w:hAnsi="Calibri" w:eastAsia="Calibri" w:cs="Calibri"/>
          <w:sz w:val="22"/>
          <w:szCs w:val="22"/>
          <w:lang w:val="en-US"/>
        </w:rPr>
        <w:t>nine</w:t>
      </w:r>
      <w:r w:rsidRPr="12AA12DD" w:rsidR="0092729D">
        <w:rPr>
          <w:rFonts w:ascii="Calibri" w:hAnsi="Calibri" w:eastAsia="Calibri" w:cs="Calibri"/>
          <w:sz w:val="22"/>
          <w:szCs w:val="22"/>
          <w:lang w:val="en-US"/>
        </w:rPr>
        <w:t xml:space="preserve"> key indicators. </w:t>
      </w:r>
      <w:r w:rsidRPr="12AA12DD" w:rsidR="0092729D">
        <w:rPr>
          <w:rFonts w:ascii="Calibri" w:hAnsi="Calibri" w:eastAsia="Calibri" w:cs="Calibri"/>
          <w:sz w:val="22"/>
          <w:szCs w:val="22"/>
        </w:rPr>
        <w:t>The below table shows world’s top performing university in each of</w:t>
      </w:r>
      <w:r w:rsidRPr="12AA12DD" w:rsidR="00BD0D2E">
        <w:rPr>
          <w:rFonts w:ascii="Calibri" w:hAnsi="Calibri" w:eastAsia="Calibri" w:cs="Calibri"/>
          <w:sz w:val="22"/>
          <w:szCs w:val="22"/>
        </w:rPr>
        <w:t xml:space="preserve"> QS’ indicators</w:t>
      </w:r>
      <w:r w:rsidRPr="12AA12DD" w:rsidR="001035BD">
        <w:rPr>
          <w:rFonts w:ascii="Calibri" w:hAnsi="Calibri" w:eastAsia="Calibri" w:cs="Calibri"/>
          <w:sz w:val="22"/>
          <w:szCs w:val="22"/>
        </w:rPr>
        <w:t xml:space="preserve">. Detailed </w:t>
      </w:r>
      <w:r w:rsidRPr="12AA12DD" w:rsidR="0092729D">
        <w:rPr>
          <w:rFonts w:ascii="Calibri" w:hAnsi="Calibri" w:eastAsia="Calibri" w:cs="Calibri"/>
          <w:sz w:val="22"/>
          <w:szCs w:val="22"/>
          <w:lang w:val="en-US"/>
        </w:rPr>
        <w:t>methodological information can be found </w:t>
      </w:r>
      <w:hyperlink r:id="R80ebae2ad41a4c86">
        <w:r w:rsidRPr="12AA12DD" w:rsidR="0092729D">
          <w:rPr>
            <w:rStyle w:val="Hyperlink"/>
            <w:rFonts w:ascii="Calibri" w:hAnsi="Calibri" w:eastAsia="Calibri" w:cs="Calibri"/>
            <w:sz w:val="22"/>
            <w:szCs w:val="22"/>
          </w:rPr>
          <w:t>here</w:t>
        </w:r>
      </w:hyperlink>
      <w:r w:rsidRPr="12AA12DD" w:rsidR="0092729D">
        <w:rPr>
          <w:rFonts w:ascii="Calibri" w:hAnsi="Calibri" w:eastAsia="Calibri" w:cs="Calibri"/>
          <w:sz w:val="22"/>
          <w:szCs w:val="22"/>
        </w:rPr>
        <w:t>.</w:t>
      </w:r>
    </w:p>
    <w:tbl>
      <w:tblPr>
        <w:tblW w:w="9350" w:type="dxa"/>
        <w:tblLook w:val="04A0" w:firstRow="1" w:lastRow="0" w:firstColumn="1" w:lastColumn="0" w:noHBand="0" w:noVBand="1"/>
      </w:tblPr>
      <w:tblGrid>
        <w:gridCol w:w="2189"/>
        <w:gridCol w:w="744"/>
        <w:gridCol w:w="3036"/>
        <w:gridCol w:w="1715"/>
        <w:gridCol w:w="1001"/>
        <w:gridCol w:w="877"/>
      </w:tblGrid>
      <w:tr w:rsidRPr="005C169E" w:rsidR="002565CE" w:rsidTr="12AA12DD" w14:paraId="21F6BCDC" w14:textId="77777777">
        <w:trPr>
          <w:trHeight w:val="300"/>
        </w:trPr>
        <w:tc>
          <w:tcPr>
            <w:tcW w:w="9350" w:type="dxa"/>
            <w:gridSpan w:val="6"/>
            <w:tcBorders>
              <w:top w:val="single" w:color="auto" w:sz="4" w:space="0"/>
              <w:left w:val="single" w:color="auto" w:sz="4" w:space="0"/>
              <w:bottom w:val="single" w:color="auto" w:sz="4" w:space="0"/>
              <w:right w:val="single" w:color="auto" w:sz="4" w:space="0"/>
            </w:tcBorders>
            <w:noWrap/>
            <w:tcMar/>
            <w:vAlign w:val="bottom"/>
            <w:hideMark/>
          </w:tcPr>
          <w:p w:rsidRPr="005C169E" w:rsidR="002565CE" w:rsidP="12AA12DD" w:rsidRDefault="002565CE" w14:paraId="7F05F0E0" w14:textId="77777777">
            <w:pPr>
              <w:spacing w:after="0" w:line="240" w:lineRule="auto"/>
              <w:jc w:val="center"/>
              <w:rPr>
                <w:rFonts w:ascii="Calibri" w:hAnsi="Calibri" w:eastAsia="Calibri" w:cs="Calibri"/>
                <w:b w:val="1"/>
                <w:bCs w:val="1"/>
                <w:color w:val="1D1D1B"/>
                <w:kern w:val="0"/>
                <w:sz w:val="20"/>
                <w:szCs w:val="20"/>
                <w:lang w:eastAsia="en-GB"/>
                <w14:ligatures w14:val="none"/>
              </w:rPr>
            </w:pPr>
            <w:r w:rsidRPr="12AA12DD" w:rsidR="002565CE">
              <w:rPr>
                <w:rFonts w:ascii="Calibri" w:hAnsi="Calibri" w:eastAsia="Calibri" w:cs="Calibri"/>
                <w:b w:val="1"/>
                <w:bCs w:val="1"/>
                <w:color w:val="1D1D1B"/>
                <w:kern w:val="0"/>
                <w:sz w:val="20"/>
                <w:szCs w:val="20"/>
                <w:lang w:eastAsia="en-GB"/>
                <w14:ligatures w14:val="none"/>
              </w:rPr>
              <w:t>Table 3: Global leader by indicator</w:t>
            </w:r>
          </w:p>
        </w:tc>
      </w:tr>
      <w:tr w:rsidRPr="005C169E" w:rsidR="002565CE" w:rsidTr="12AA12DD" w14:paraId="4E0F2C64"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11B80497" w14:textId="77777777">
            <w:pPr>
              <w:spacing w:after="0" w:line="240" w:lineRule="auto"/>
              <w:rPr>
                <w:rFonts w:ascii="Calibri" w:hAnsi="Calibri" w:eastAsia="Calibri" w:cs="Calibri"/>
                <w:b w:val="1"/>
                <w:bCs w:val="1"/>
                <w:color w:val="1D1D1B"/>
                <w:kern w:val="0"/>
                <w:sz w:val="16"/>
                <w:szCs w:val="16"/>
                <w:lang w:eastAsia="en-GB"/>
                <w14:ligatures w14:val="none"/>
              </w:rPr>
            </w:pPr>
            <w:r w:rsidRPr="12AA12DD" w:rsidR="002565CE">
              <w:rPr>
                <w:rFonts w:ascii="Calibri" w:hAnsi="Calibri" w:eastAsia="Calibri" w:cs="Calibri"/>
                <w:b w:val="1"/>
                <w:bCs w:val="1"/>
                <w:color w:val="1D1D1B"/>
                <w:kern w:val="0"/>
                <w:sz w:val="16"/>
                <w:szCs w:val="16"/>
                <w:lang w:eastAsia="en-GB"/>
                <w14:ligatures w14:val="none"/>
              </w:rPr>
              <w:t>Indicator</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5B94BEF7"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2565CE">
              <w:rPr>
                <w:rFonts w:ascii="Calibri" w:hAnsi="Calibri" w:eastAsia="Calibri" w:cs="Calibri"/>
                <w:b w:val="1"/>
                <w:bCs w:val="1"/>
                <w:color w:val="1D1D1B"/>
                <w:kern w:val="0"/>
                <w:sz w:val="16"/>
                <w:szCs w:val="16"/>
                <w:lang w:eastAsia="en-GB"/>
                <w14:ligatures w14:val="none"/>
              </w:rPr>
              <w:t>Weight</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746EE6B7" w14:textId="77777777">
            <w:pPr>
              <w:spacing w:after="0" w:line="240" w:lineRule="auto"/>
              <w:rPr>
                <w:rFonts w:ascii="Calibri" w:hAnsi="Calibri" w:eastAsia="Calibri" w:cs="Calibri"/>
                <w:b w:val="1"/>
                <w:bCs w:val="1"/>
                <w:color w:val="1D1D1B"/>
                <w:kern w:val="0"/>
                <w:sz w:val="16"/>
                <w:szCs w:val="16"/>
                <w:lang w:eastAsia="en-GB"/>
                <w14:ligatures w14:val="none"/>
              </w:rPr>
            </w:pPr>
            <w:r w:rsidRPr="12AA12DD" w:rsidR="002565CE">
              <w:rPr>
                <w:rFonts w:ascii="Calibri" w:hAnsi="Calibri" w:eastAsia="Calibri" w:cs="Calibri"/>
                <w:b w:val="1"/>
                <w:bCs w:val="1"/>
                <w:color w:val="1D1D1B"/>
                <w:kern w:val="0"/>
                <w:sz w:val="16"/>
                <w:szCs w:val="16"/>
                <w:lang w:eastAsia="en-GB"/>
                <w14:ligatures w14:val="none"/>
              </w:rPr>
              <w:t>Global leader</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5D95E447" w14:textId="77777777">
            <w:pPr>
              <w:spacing w:after="0" w:line="240" w:lineRule="auto"/>
              <w:rPr>
                <w:rFonts w:ascii="Calibri" w:hAnsi="Calibri" w:eastAsia="Calibri" w:cs="Calibri"/>
                <w:b w:val="1"/>
                <w:bCs w:val="1"/>
                <w:color w:val="1D1D1B"/>
                <w:kern w:val="0"/>
                <w:sz w:val="16"/>
                <w:szCs w:val="16"/>
                <w:lang w:eastAsia="en-GB"/>
                <w14:ligatures w14:val="none"/>
              </w:rPr>
            </w:pPr>
            <w:r w:rsidRPr="12AA12DD" w:rsidR="002565CE">
              <w:rPr>
                <w:rFonts w:ascii="Calibri" w:hAnsi="Calibri" w:eastAsia="Calibri" w:cs="Calibri"/>
                <w:b w:val="1"/>
                <w:bCs w:val="1"/>
                <w:color w:val="1D1D1B"/>
                <w:kern w:val="0"/>
                <w:sz w:val="16"/>
                <w:szCs w:val="16"/>
                <w:lang w:eastAsia="en-GB"/>
                <w14:ligatures w14:val="none"/>
              </w:rPr>
              <w:t>HE system</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5A6363EA"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2565CE">
              <w:rPr>
                <w:rFonts w:ascii="Calibri" w:hAnsi="Calibri" w:eastAsia="Calibri" w:cs="Calibri"/>
                <w:b w:val="1"/>
                <w:bCs w:val="1"/>
                <w:color w:val="1D1D1B"/>
                <w:kern w:val="0"/>
                <w:sz w:val="16"/>
                <w:szCs w:val="16"/>
                <w:lang w:eastAsia="en-GB"/>
                <w14:ligatures w14:val="none"/>
              </w:rPr>
              <w:t>Indicator rank</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31FCE5F8" w14:textId="77777777">
            <w:pPr>
              <w:spacing w:after="0" w:line="240" w:lineRule="auto"/>
              <w:jc w:val="center"/>
              <w:rPr>
                <w:rFonts w:ascii="Calibri" w:hAnsi="Calibri" w:eastAsia="Calibri" w:cs="Calibri"/>
                <w:b w:val="1"/>
                <w:bCs w:val="1"/>
                <w:color w:val="1D1D1B"/>
                <w:kern w:val="0"/>
                <w:sz w:val="16"/>
                <w:szCs w:val="16"/>
                <w:lang w:eastAsia="en-GB"/>
                <w14:ligatures w14:val="none"/>
              </w:rPr>
            </w:pPr>
            <w:r w:rsidRPr="12AA12DD" w:rsidR="002565CE">
              <w:rPr>
                <w:rFonts w:ascii="Calibri" w:hAnsi="Calibri" w:eastAsia="Calibri" w:cs="Calibri"/>
                <w:b w:val="1"/>
                <w:bCs w:val="1"/>
                <w:color w:val="1D1D1B"/>
                <w:kern w:val="0"/>
                <w:sz w:val="16"/>
                <w:szCs w:val="16"/>
                <w:lang w:eastAsia="en-GB"/>
                <w14:ligatures w14:val="none"/>
              </w:rPr>
              <w:t>Overall rank</w:t>
            </w:r>
          </w:p>
        </w:tc>
      </w:tr>
      <w:tr w:rsidRPr="005C169E" w:rsidR="002565CE" w:rsidTr="12AA12DD" w14:paraId="440A5BC8"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3726D53D"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Academic Reputation</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67CF67FD"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30%</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1AD54528"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Harvard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02CAC6C2" w14:textId="77777777">
            <w:pPr>
              <w:spacing w:after="0" w:line="240" w:lineRule="auto"/>
              <w:rPr>
                <w:rFonts w:ascii="Calibri" w:hAnsi="Calibri" w:eastAsia="Calibri" w:cs="Calibri"/>
                <w:color w:val="1D1D1B"/>
                <w:kern w:val="0"/>
                <w:sz w:val="16"/>
                <w:szCs w:val="16"/>
                <w:lang w:eastAsia="en-GB"/>
                <w14:ligatures w14:val="none"/>
              </w:rPr>
            </w:pPr>
            <w:r w:rsidRPr="12AA12DD" w:rsidR="0434C47E">
              <w:rPr>
                <w:rFonts w:ascii="Calibri" w:hAnsi="Calibri" w:eastAsia="Calibri" w:cs="Calibri"/>
                <w:color w:val="1D1D1B"/>
                <w:kern w:val="0"/>
                <w:sz w:val="16"/>
                <w:szCs w:val="16"/>
                <w:lang w:eastAsia="en-GB"/>
                <w14:ligatures w14:val="none"/>
              </w:rPr>
              <w:t>US</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3837AEEF"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4B3ED1F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r>
      <w:tr w:rsidRPr="005C169E" w:rsidR="002565CE" w:rsidTr="12AA12DD" w14:paraId="5BEBEE5B"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5C6FDA13"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Employer Reputation</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4A0E039D"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15%</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16AD696A"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Harvard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15B1D702" w14:textId="77777777">
            <w:pPr>
              <w:spacing w:after="0" w:line="240" w:lineRule="auto"/>
              <w:rPr>
                <w:rFonts w:ascii="Calibri" w:hAnsi="Calibri" w:eastAsia="Calibri" w:cs="Calibri"/>
                <w:color w:val="1D1D1B"/>
                <w:kern w:val="0"/>
                <w:sz w:val="16"/>
                <w:szCs w:val="16"/>
                <w:lang w:eastAsia="en-GB"/>
                <w14:ligatures w14:val="none"/>
              </w:rPr>
            </w:pPr>
            <w:r w:rsidRPr="12AA12DD" w:rsidR="0434C47E">
              <w:rPr>
                <w:rFonts w:ascii="Calibri" w:hAnsi="Calibri" w:eastAsia="Calibri" w:cs="Calibri"/>
                <w:color w:val="1D1D1B"/>
                <w:kern w:val="0"/>
                <w:sz w:val="16"/>
                <w:szCs w:val="16"/>
                <w:lang w:eastAsia="en-GB"/>
                <w14:ligatures w14:val="none"/>
              </w:rPr>
              <w:t>US</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629236D9"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1E4F1BD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r>
      <w:tr w:rsidRPr="005C169E" w:rsidR="002565CE" w:rsidTr="12AA12DD" w14:paraId="4239EC25"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0523FE71"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Faculty Student Ratio</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50E4DF4F"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10%</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7757C49E"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University of Maryland, Baltimore</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7D1EE951" w14:textId="77777777">
            <w:pPr>
              <w:spacing w:after="0" w:line="240" w:lineRule="auto"/>
              <w:rPr>
                <w:rFonts w:ascii="Calibri" w:hAnsi="Calibri" w:eastAsia="Calibri" w:cs="Calibri"/>
                <w:color w:val="1D1D1B"/>
                <w:kern w:val="0"/>
                <w:sz w:val="16"/>
                <w:szCs w:val="16"/>
                <w:lang w:eastAsia="en-GB"/>
                <w14:ligatures w14:val="none"/>
              </w:rPr>
            </w:pPr>
            <w:r w:rsidRPr="12AA12DD" w:rsidR="0434C47E">
              <w:rPr>
                <w:rFonts w:ascii="Calibri" w:hAnsi="Calibri" w:eastAsia="Calibri" w:cs="Calibri"/>
                <w:color w:val="1D1D1B"/>
                <w:kern w:val="0"/>
                <w:sz w:val="16"/>
                <w:szCs w:val="16"/>
                <w:lang w:eastAsia="en-GB"/>
                <w14:ligatures w14:val="none"/>
              </w:rPr>
              <w:t>US</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25E9B573"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11E2BB58"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801-850</w:t>
            </w:r>
          </w:p>
        </w:tc>
      </w:tr>
      <w:tr w:rsidRPr="005C169E" w:rsidR="002565CE" w:rsidTr="12AA12DD" w14:paraId="5E48DA90"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432524BA"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Citations per Faculty</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02FED2E2"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20%</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04ECDD61"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Harvard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0DF58B57" w14:textId="77777777">
            <w:pPr>
              <w:spacing w:after="0" w:line="240" w:lineRule="auto"/>
              <w:rPr>
                <w:rFonts w:ascii="Calibri" w:hAnsi="Calibri" w:eastAsia="Calibri" w:cs="Calibri"/>
                <w:color w:val="1D1D1B"/>
                <w:kern w:val="0"/>
                <w:sz w:val="16"/>
                <w:szCs w:val="16"/>
                <w:lang w:eastAsia="en-GB"/>
                <w14:ligatures w14:val="none"/>
              </w:rPr>
            </w:pPr>
            <w:r w:rsidRPr="12AA12DD" w:rsidR="0434C47E">
              <w:rPr>
                <w:rFonts w:ascii="Calibri" w:hAnsi="Calibri" w:eastAsia="Calibri" w:cs="Calibri"/>
                <w:color w:val="1D1D1B"/>
                <w:kern w:val="0"/>
                <w:sz w:val="16"/>
                <w:szCs w:val="16"/>
                <w:lang w:eastAsia="en-GB"/>
                <w14:ligatures w14:val="none"/>
              </w:rPr>
              <w:t>US</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1FEF3C73"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37EEC6AE"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r>
      <w:tr w:rsidRPr="005C169E" w:rsidR="002565CE" w:rsidTr="12AA12DD" w14:paraId="42A7A48D"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2BF5A446"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International Faculty Ratio</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09ABE2BB"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2225D67C" w14:textId="4F2D9BBB">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American University of Ras Al Khaimah; Al Ain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20A20F84" w14:textId="528DB67F">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United Arab Emirates</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043A04D6" w14:textId="5DDD9D6B">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40D83CF7" w14:textId="7B4A9680">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608; 559</w:t>
            </w:r>
          </w:p>
        </w:tc>
      </w:tr>
      <w:tr w:rsidRPr="005C169E" w:rsidR="002565CE" w:rsidTr="12AA12DD" w14:paraId="183732BD"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34608060"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International Student Ratio</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7529C3D4"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5E4A9DDD" w14:textId="7852AE99">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Central European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6F971F3E" w14:textId="71D731FE">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Austria</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13968650" w14:textId="5E45E47C">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10AB570C" w14:textId="6405E62E">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239</w:t>
            </w:r>
          </w:p>
        </w:tc>
      </w:tr>
      <w:tr w:rsidRPr="005C169E" w:rsidR="002565CE" w:rsidTr="12AA12DD" w14:paraId="1145E56F"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18A24C29"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International Research Network</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25509005"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1EB1E277" w14:textId="075F6D5C">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University of Oxford</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2949B01F" w14:textId="3339431A">
            <w:pPr>
              <w:spacing w:after="0" w:line="240" w:lineRule="auto"/>
              <w:rPr>
                <w:rFonts w:ascii="Calibri" w:hAnsi="Calibri" w:eastAsia="Calibri" w:cs="Calibri"/>
                <w:color w:val="1D1D1B"/>
                <w:kern w:val="0"/>
                <w:sz w:val="16"/>
                <w:szCs w:val="16"/>
                <w:lang w:eastAsia="en-GB"/>
                <w14:ligatures w14:val="none"/>
              </w:rPr>
            </w:pPr>
            <w:r w:rsidRPr="12AA12DD" w:rsidR="7DA09CC8">
              <w:rPr>
                <w:rFonts w:ascii="Calibri" w:hAnsi="Calibri" w:eastAsia="Calibri" w:cs="Calibri"/>
                <w:color w:val="1D1D1B"/>
                <w:kern w:val="0"/>
                <w:sz w:val="16"/>
                <w:szCs w:val="16"/>
                <w:lang w:eastAsia="en-GB"/>
                <w14:ligatures w14:val="none"/>
              </w:rPr>
              <w:t>UK</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0AF65448" w14:textId="64EBA31C">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CF7330" w14:paraId="270BF86B" w14:textId="4F2D6229">
            <w:pPr>
              <w:spacing w:after="0" w:line="240" w:lineRule="auto"/>
              <w:jc w:val="center"/>
              <w:rPr>
                <w:rFonts w:ascii="Calibri" w:hAnsi="Calibri" w:eastAsia="Calibri" w:cs="Calibri"/>
                <w:color w:val="1D1D1B"/>
                <w:kern w:val="0"/>
                <w:sz w:val="16"/>
                <w:szCs w:val="16"/>
                <w:lang w:eastAsia="en-GB"/>
                <w14:ligatures w14:val="none"/>
              </w:rPr>
            </w:pPr>
            <w:r w:rsidRPr="12AA12DD" w:rsidR="00CF7330">
              <w:rPr>
                <w:rFonts w:ascii="Calibri" w:hAnsi="Calibri" w:eastAsia="Calibri" w:cs="Calibri"/>
                <w:color w:val="1D1D1B"/>
                <w:kern w:val="0"/>
                <w:sz w:val="16"/>
                <w:szCs w:val="16"/>
                <w:lang w:eastAsia="en-GB"/>
                <w14:ligatures w14:val="none"/>
              </w:rPr>
              <w:t>4</w:t>
            </w:r>
          </w:p>
        </w:tc>
      </w:tr>
      <w:tr w:rsidRPr="005C169E" w:rsidR="002565CE" w:rsidTr="12AA12DD" w14:paraId="18A8122D"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417F8E85"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Employment Outcomes</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558B4AD3"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2565CE" w14:paraId="5BC25791"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Harvard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2565CE" w14:paraId="49A64A7D" w14:textId="77777777">
            <w:pPr>
              <w:spacing w:after="0" w:line="240" w:lineRule="auto"/>
              <w:rPr>
                <w:rFonts w:ascii="Calibri" w:hAnsi="Calibri" w:eastAsia="Calibri" w:cs="Calibri"/>
                <w:color w:val="1D1D1B"/>
                <w:kern w:val="0"/>
                <w:sz w:val="16"/>
                <w:szCs w:val="16"/>
                <w:lang w:eastAsia="en-GB"/>
                <w14:ligatures w14:val="none"/>
              </w:rPr>
            </w:pPr>
            <w:r w:rsidRPr="12AA12DD" w:rsidR="0434C47E">
              <w:rPr>
                <w:rFonts w:ascii="Calibri" w:hAnsi="Calibri" w:eastAsia="Calibri" w:cs="Calibri"/>
                <w:color w:val="1D1D1B"/>
                <w:kern w:val="0"/>
                <w:sz w:val="16"/>
                <w:szCs w:val="16"/>
                <w:lang w:eastAsia="en-GB"/>
                <w14:ligatures w14:val="none"/>
              </w:rPr>
              <w:t>US</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2565CE" w14:paraId="0B847E12"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2565CE" w14:paraId="74E53826"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r>
      <w:tr w:rsidRPr="005C169E" w:rsidR="002565CE" w:rsidTr="12AA12DD" w14:paraId="78006C6F" w14:textId="77777777">
        <w:trPr>
          <w:trHeight w:val="300"/>
        </w:trPr>
        <w:tc>
          <w:tcPr>
            <w:tcW w:w="2189" w:type="dxa"/>
            <w:tcBorders>
              <w:top w:val="nil"/>
              <w:left w:val="single" w:color="auto" w:sz="4" w:space="0"/>
              <w:bottom w:val="single" w:color="auto" w:sz="4" w:space="0"/>
              <w:right w:val="single" w:color="auto" w:sz="4" w:space="0"/>
            </w:tcBorders>
            <w:noWrap/>
            <w:tcMar/>
            <w:vAlign w:val="bottom"/>
            <w:hideMark/>
          </w:tcPr>
          <w:p w:rsidRPr="00686ABD" w:rsidR="002565CE" w:rsidP="12AA12DD" w:rsidRDefault="002565CE" w14:paraId="02CE124E" w14:textId="77777777">
            <w:pPr>
              <w:spacing w:after="0" w:line="240" w:lineRule="auto"/>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Sustainability</w:t>
            </w:r>
          </w:p>
        </w:tc>
        <w:tc>
          <w:tcPr>
            <w:tcW w:w="532" w:type="dxa"/>
            <w:tcBorders>
              <w:top w:val="nil"/>
              <w:left w:val="nil"/>
              <w:bottom w:val="single" w:color="auto" w:sz="4" w:space="0"/>
              <w:right w:val="single" w:color="auto" w:sz="4" w:space="0"/>
            </w:tcBorders>
            <w:noWrap/>
            <w:tcMar/>
            <w:vAlign w:val="bottom"/>
            <w:hideMark/>
          </w:tcPr>
          <w:p w:rsidRPr="00686ABD" w:rsidR="002565CE" w:rsidP="12AA12DD" w:rsidRDefault="002565CE" w14:paraId="36A0F887" w14:textId="77777777">
            <w:pPr>
              <w:spacing w:after="0" w:line="240" w:lineRule="auto"/>
              <w:jc w:val="center"/>
              <w:rPr>
                <w:rFonts w:ascii="Calibri" w:hAnsi="Calibri" w:eastAsia="Calibri" w:cs="Calibri"/>
                <w:color w:val="1D1D1B"/>
                <w:kern w:val="0"/>
                <w:sz w:val="16"/>
                <w:szCs w:val="16"/>
                <w:lang w:eastAsia="en-GB"/>
                <w14:ligatures w14:val="none"/>
              </w:rPr>
            </w:pPr>
            <w:r w:rsidRPr="12AA12DD" w:rsidR="002565CE">
              <w:rPr>
                <w:rFonts w:ascii="Calibri" w:hAnsi="Calibri" w:eastAsia="Calibri" w:cs="Calibri"/>
                <w:color w:val="1D1D1B"/>
                <w:kern w:val="0"/>
                <w:sz w:val="16"/>
                <w:szCs w:val="16"/>
                <w:lang w:eastAsia="en-GB"/>
                <w14:ligatures w14:val="none"/>
              </w:rPr>
              <w:t>5%</w:t>
            </w:r>
          </w:p>
        </w:tc>
        <w:tc>
          <w:tcPr>
            <w:tcW w:w="3036" w:type="dxa"/>
            <w:tcBorders>
              <w:top w:val="nil"/>
              <w:left w:val="nil"/>
              <w:bottom w:val="single" w:color="auto" w:sz="4" w:space="0"/>
              <w:right w:val="single" w:color="auto" w:sz="4" w:space="0"/>
            </w:tcBorders>
            <w:noWrap/>
            <w:tcMar/>
            <w:vAlign w:val="bottom"/>
            <w:hideMark/>
          </w:tcPr>
          <w:p w:rsidRPr="00686ABD" w:rsidR="002565CE" w:rsidP="12AA12DD" w:rsidRDefault="00CF7330" w14:paraId="586B23BE" w14:textId="00F0C5C6">
            <w:pPr>
              <w:spacing w:after="0" w:line="240" w:lineRule="auto"/>
              <w:rPr>
                <w:rFonts w:ascii="Calibri" w:hAnsi="Calibri" w:eastAsia="Calibri" w:cs="Calibri"/>
                <w:color w:val="1D1D1B"/>
                <w:kern w:val="0"/>
                <w:sz w:val="16"/>
                <w:szCs w:val="16"/>
                <w:lang w:eastAsia="en-GB"/>
                <w14:ligatures w14:val="none"/>
              </w:rPr>
            </w:pPr>
            <w:r w:rsidRPr="12AA12DD" w:rsidR="00CF7330">
              <w:rPr>
                <w:rFonts w:ascii="Calibri" w:hAnsi="Calibri" w:eastAsia="Calibri" w:cs="Calibri"/>
                <w:color w:val="1D1D1B"/>
                <w:kern w:val="0"/>
                <w:sz w:val="16"/>
                <w:szCs w:val="16"/>
                <w:lang w:eastAsia="en-GB"/>
                <w14:ligatures w14:val="none"/>
              </w:rPr>
              <w:t>Lund University</w:t>
            </w:r>
          </w:p>
        </w:tc>
        <w:tc>
          <w:tcPr>
            <w:tcW w:w="1715" w:type="dxa"/>
            <w:tcBorders>
              <w:top w:val="nil"/>
              <w:left w:val="nil"/>
              <w:bottom w:val="single" w:color="auto" w:sz="4" w:space="0"/>
              <w:right w:val="single" w:color="auto" w:sz="4" w:space="0"/>
            </w:tcBorders>
            <w:noWrap/>
            <w:tcMar/>
            <w:vAlign w:val="bottom"/>
            <w:hideMark/>
          </w:tcPr>
          <w:p w:rsidRPr="00686ABD" w:rsidR="002565CE" w:rsidP="12AA12DD" w:rsidRDefault="00CF7330" w14:paraId="2147128E" w14:textId="457DF962">
            <w:pPr>
              <w:spacing w:after="0" w:line="240" w:lineRule="auto"/>
              <w:rPr>
                <w:rFonts w:ascii="Calibri" w:hAnsi="Calibri" w:eastAsia="Calibri" w:cs="Calibri"/>
                <w:color w:val="1D1D1B"/>
                <w:kern w:val="0"/>
                <w:sz w:val="16"/>
                <w:szCs w:val="16"/>
                <w:lang w:eastAsia="en-GB"/>
                <w14:ligatures w14:val="none"/>
              </w:rPr>
            </w:pPr>
            <w:r w:rsidRPr="12AA12DD" w:rsidR="00CF7330">
              <w:rPr>
                <w:rFonts w:ascii="Calibri" w:hAnsi="Calibri" w:eastAsia="Calibri" w:cs="Calibri"/>
                <w:color w:val="1D1D1B"/>
                <w:kern w:val="0"/>
                <w:sz w:val="16"/>
                <w:szCs w:val="16"/>
                <w:lang w:eastAsia="en-GB"/>
                <w14:ligatures w14:val="none"/>
              </w:rPr>
              <w:t>Sweden</w:t>
            </w:r>
          </w:p>
        </w:tc>
        <w:tc>
          <w:tcPr>
            <w:tcW w:w="1001" w:type="dxa"/>
            <w:tcBorders>
              <w:top w:val="nil"/>
              <w:left w:val="nil"/>
              <w:bottom w:val="single" w:color="auto" w:sz="4" w:space="0"/>
              <w:right w:val="single" w:color="auto" w:sz="4" w:space="0"/>
            </w:tcBorders>
            <w:noWrap/>
            <w:tcMar/>
            <w:vAlign w:val="bottom"/>
            <w:hideMark/>
          </w:tcPr>
          <w:p w:rsidRPr="00686ABD" w:rsidR="002565CE" w:rsidP="12AA12DD" w:rsidRDefault="00CF7330" w14:paraId="3E9FA5F5" w14:textId="3A845512">
            <w:pPr>
              <w:spacing w:after="0" w:line="240" w:lineRule="auto"/>
              <w:jc w:val="center"/>
              <w:rPr>
                <w:rFonts w:ascii="Calibri" w:hAnsi="Calibri" w:eastAsia="Calibri" w:cs="Calibri"/>
                <w:color w:val="1D1D1B"/>
                <w:kern w:val="0"/>
                <w:sz w:val="16"/>
                <w:szCs w:val="16"/>
                <w:lang w:eastAsia="en-GB"/>
                <w14:ligatures w14:val="none"/>
              </w:rPr>
            </w:pPr>
            <w:r w:rsidRPr="12AA12DD" w:rsidR="00CF7330">
              <w:rPr>
                <w:rFonts w:ascii="Calibri" w:hAnsi="Calibri" w:eastAsia="Calibri" w:cs="Calibri"/>
                <w:color w:val="1D1D1B"/>
                <w:kern w:val="0"/>
                <w:sz w:val="16"/>
                <w:szCs w:val="16"/>
                <w:lang w:eastAsia="en-GB"/>
                <w14:ligatures w14:val="none"/>
              </w:rPr>
              <w:t>1</w:t>
            </w:r>
          </w:p>
        </w:tc>
        <w:tc>
          <w:tcPr>
            <w:tcW w:w="877" w:type="dxa"/>
            <w:tcBorders>
              <w:top w:val="nil"/>
              <w:left w:val="nil"/>
              <w:bottom w:val="single" w:color="auto" w:sz="4" w:space="0"/>
              <w:right w:val="single" w:color="auto" w:sz="4" w:space="0"/>
            </w:tcBorders>
            <w:noWrap/>
            <w:tcMar/>
            <w:vAlign w:val="bottom"/>
            <w:hideMark/>
          </w:tcPr>
          <w:p w:rsidRPr="00686ABD" w:rsidR="002565CE" w:rsidP="12AA12DD" w:rsidRDefault="00CF7330" w14:paraId="0DAE6FB7" w14:textId="328F04E5">
            <w:pPr>
              <w:spacing w:after="0" w:line="240" w:lineRule="auto"/>
              <w:jc w:val="center"/>
              <w:rPr>
                <w:rFonts w:ascii="Calibri" w:hAnsi="Calibri" w:eastAsia="Calibri" w:cs="Calibri"/>
                <w:color w:val="1D1D1B"/>
                <w:kern w:val="0"/>
                <w:sz w:val="16"/>
                <w:szCs w:val="16"/>
                <w:lang w:eastAsia="en-GB"/>
                <w14:ligatures w14:val="none"/>
              </w:rPr>
            </w:pPr>
            <w:r w:rsidRPr="12AA12DD" w:rsidR="00CF7330">
              <w:rPr>
                <w:rFonts w:ascii="Calibri" w:hAnsi="Calibri" w:eastAsia="Calibri" w:cs="Calibri"/>
                <w:color w:val="1D1D1B"/>
                <w:kern w:val="0"/>
                <w:sz w:val="16"/>
                <w:szCs w:val="16"/>
                <w:lang w:eastAsia="en-GB"/>
                <w14:ligatures w14:val="none"/>
              </w:rPr>
              <w:t>71</w:t>
            </w:r>
          </w:p>
        </w:tc>
      </w:tr>
    </w:tbl>
    <w:p w:rsidRPr="005C169E" w:rsidR="0092729D" w:rsidP="12AA12DD" w:rsidRDefault="0092729D" w14:paraId="7E6C69E7" w14:textId="77777777">
      <w:pPr>
        <w:pStyle w:val="paragraph"/>
        <w:spacing w:before="0" w:beforeAutospacing="off" w:after="0" w:afterAutospacing="off"/>
        <w:textAlignment w:val="baseline"/>
        <w:rPr>
          <w:rFonts w:ascii="Calibri" w:hAnsi="Calibri" w:eastAsia="Calibri" w:cs="Calibri"/>
          <w:sz w:val="22"/>
          <w:szCs w:val="22"/>
        </w:rPr>
      </w:pPr>
    </w:p>
    <w:p w:rsidRPr="0033681A" w:rsidR="00750E08" w:rsidP="12AA12DD" w:rsidRDefault="00B12A35" w14:paraId="1046D37E" w14:textId="288234B8">
      <w:pPr>
        <w:pStyle w:val="paragraph"/>
        <w:spacing w:before="0" w:beforeAutospacing="off" w:after="160" w:afterAutospacing="off" w:line="360" w:lineRule="auto"/>
        <w:rPr>
          <w:rFonts w:ascii="Calibri" w:hAnsi="Calibri" w:eastAsia="Calibri" w:cs="Calibri"/>
          <w:b w:val="1"/>
          <w:bCs w:val="1"/>
          <w:sz w:val="22"/>
          <w:szCs w:val="22"/>
          <w:u w:val="single"/>
          <w:lang w:val="en-US"/>
        </w:rPr>
      </w:pPr>
      <w:r w:rsidRPr="12AA12DD" w:rsidR="00B12A35">
        <w:rPr>
          <w:rFonts w:ascii="Calibri" w:hAnsi="Calibri" w:eastAsia="Calibri" w:cs="Calibri"/>
          <w:b w:val="1"/>
          <w:bCs w:val="1"/>
          <w:sz w:val="22"/>
          <w:szCs w:val="22"/>
          <w:u w:val="single"/>
          <w:lang w:val="en-US"/>
        </w:rPr>
        <w:t>Global Highlights</w:t>
      </w:r>
    </w:p>
    <w:p w:rsidRPr="00837DB2" w:rsidR="00F416A9" w:rsidP="12AA12DD" w:rsidRDefault="00F416A9" w14:paraId="4AC2975F" w14:textId="3D314D8C">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In the US, California Institute of Technology rises to seventh in the world, its best ranking since 2023, when it placed joint sixth. Yale University and Johns Hopkins University have both re-entered the global top 20. Harvard University ranks first globally in four indicators, more than any other university: Academic Reputation, Citations per Faculty, Employer Reputation, and Employment Outcomes. </w:t>
      </w:r>
      <w:r w:rsidRPr="12AA12DD" w:rsidR="00F416A9">
        <w:rPr>
          <w:rFonts w:ascii="Calibri" w:hAnsi="Calibri" w:eastAsia="Calibri" w:cs="Calibri"/>
          <w:sz w:val="22"/>
          <w:szCs w:val="22"/>
        </w:rPr>
        <w:t xml:space="preserve">Meanwhile, University of Maryland, Baltimore ranks first in the world for Faculty Student Ratio. </w:t>
      </w:r>
      <w:r w:rsidRPr="12AA12DD" w:rsidR="00837DB2">
        <w:rPr>
          <w:rFonts w:ascii="Calibri" w:hAnsi="Calibri" w:eastAsia="Calibri" w:cs="Calibri"/>
          <w:sz w:val="22"/>
          <w:szCs w:val="22"/>
        </w:rPr>
        <w:t>A</w:t>
      </w:r>
      <w:r w:rsidRPr="12AA12DD" w:rsidR="00F416A9">
        <w:rPr>
          <w:rFonts w:ascii="Calibri" w:hAnsi="Calibri" w:eastAsia="Calibri" w:cs="Calibri"/>
          <w:sz w:val="22"/>
          <w:szCs w:val="22"/>
        </w:rPr>
        <w:t>rizona State University has achieved its highest ranking to date, placing 172nd globally in 2027, up from 222</w:t>
      </w:r>
      <w:r w:rsidRPr="12AA12DD" w:rsidR="00F416A9">
        <w:rPr>
          <w:rFonts w:ascii="Calibri" w:hAnsi="Calibri" w:eastAsia="Calibri" w:cs="Calibri"/>
          <w:sz w:val="22"/>
          <w:szCs w:val="22"/>
          <w:vertAlign w:val="superscript"/>
        </w:rPr>
        <w:t>nd</w:t>
      </w:r>
      <w:r w:rsidRPr="12AA12DD" w:rsidR="00406301">
        <w:rPr>
          <w:rFonts w:ascii="Calibri" w:hAnsi="Calibri" w:eastAsia="Calibri" w:cs="Calibri"/>
          <w:sz w:val="22"/>
          <w:szCs w:val="22"/>
        </w:rPr>
        <w:t xml:space="preserve"> </w:t>
      </w:r>
      <w:r w:rsidRPr="12AA12DD" w:rsidR="00F416A9">
        <w:rPr>
          <w:rFonts w:ascii="Calibri" w:hAnsi="Calibri" w:eastAsia="Calibri" w:cs="Calibri"/>
          <w:sz w:val="22"/>
          <w:szCs w:val="22"/>
        </w:rPr>
        <w:t xml:space="preserve">a decade ago. </w:t>
      </w:r>
    </w:p>
    <w:p w:rsidRPr="00F416A9" w:rsidR="00F416A9" w:rsidP="12AA12DD" w:rsidRDefault="00F416A9" w14:paraId="2635FADE" w14:textId="701171D7">
      <w:pPr>
        <w:pStyle w:val="paragraph"/>
        <w:numPr>
          <w:ilvl w:val="0"/>
          <w:numId w:val="1"/>
        </w:numPr>
        <w:spacing w:before="0" w:beforeAutospacing="off" w:after="160" w:afterAutospacing="off" w:line="360" w:lineRule="auto"/>
        <w:rPr>
          <w:rFonts w:ascii="Calibri" w:hAnsi="Calibri" w:eastAsia="Calibri" w:cs="Calibri"/>
          <w:sz w:val="22"/>
          <w:szCs w:val="22"/>
        </w:rPr>
      </w:pPr>
      <w:r w:rsidRPr="5AE9C652" w:rsidR="51829740">
        <w:rPr>
          <w:rFonts w:ascii="Calibri" w:hAnsi="Calibri" w:eastAsia="Calibri" w:cs="Calibri"/>
          <w:sz w:val="22"/>
          <w:szCs w:val="22"/>
        </w:rPr>
        <w:t>Some 66% of Canada’s universities d</w:t>
      </w:r>
      <w:r w:rsidRPr="5AE9C652" w:rsidR="56A3BA46">
        <w:rPr>
          <w:rFonts w:ascii="Calibri" w:hAnsi="Calibri" w:eastAsia="Calibri" w:cs="Calibri"/>
          <w:sz w:val="22"/>
          <w:szCs w:val="22"/>
        </w:rPr>
        <w:t xml:space="preserve">rop </w:t>
      </w:r>
      <w:r w:rsidRPr="5AE9C652" w:rsidR="51829740">
        <w:rPr>
          <w:rFonts w:ascii="Calibri" w:hAnsi="Calibri" w:eastAsia="Calibri" w:cs="Calibri"/>
          <w:sz w:val="22"/>
          <w:szCs w:val="22"/>
        </w:rPr>
        <w:t xml:space="preserve">this year, with McGill University </w:t>
      </w:r>
      <w:r w:rsidRPr="5AE9C652" w:rsidR="51829740">
        <w:rPr>
          <w:rFonts w:ascii="Calibri" w:hAnsi="Calibri" w:eastAsia="Calibri" w:cs="Calibri"/>
          <w:sz w:val="22"/>
          <w:szCs w:val="22"/>
        </w:rPr>
        <w:t>retaining</w:t>
      </w:r>
      <w:r w:rsidRPr="5AE9C652" w:rsidR="51829740">
        <w:rPr>
          <w:rFonts w:ascii="Calibri" w:hAnsi="Calibri" w:eastAsia="Calibri" w:cs="Calibri"/>
          <w:sz w:val="22"/>
          <w:szCs w:val="22"/>
        </w:rPr>
        <w:t xml:space="preserve"> the top spot nationally for a second consecutive year</w:t>
      </w:r>
      <w:r w:rsidRPr="5AE9C652" w:rsidR="13BC514B">
        <w:rPr>
          <w:rFonts w:ascii="Calibri" w:hAnsi="Calibri" w:eastAsia="Calibri" w:cs="Calibri"/>
          <w:sz w:val="22"/>
          <w:szCs w:val="22"/>
        </w:rPr>
        <w:t xml:space="preserve">, </w:t>
      </w:r>
      <w:r w:rsidRPr="5AE9C652" w:rsidR="13BC514B">
        <w:rPr>
          <w:rFonts w:ascii="Calibri" w:hAnsi="Calibri" w:eastAsia="Calibri" w:cs="Calibri"/>
          <w:sz w:val="22"/>
          <w:szCs w:val="22"/>
        </w:rPr>
        <w:t>placing</w:t>
      </w:r>
      <w:r w:rsidRPr="5AE9C652" w:rsidR="13BC514B">
        <w:rPr>
          <w:rFonts w:ascii="Calibri" w:hAnsi="Calibri" w:eastAsia="Calibri" w:cs="Calibri"/>
          <w:sz w:val="22"/>
          <w:szCs w:val="22"/>
        </w:rPr>
        <w:t xml:space="preserve"> 30</w:t>
      </w:r>
      <w:r w:rsidRPr="5AE9C652" w:rsidR="13BC514B">
        <w:rPr>
          <w:rFonts w:ascii="Calibri" w:hAnsi="Calibri" w:eastAsia="Calibri" w:cs="Calibri"/>
          <w:sz w:val="22"/>
          <w:szCs w:val="22"/>
          <w:vertAlign w:val="superscript"/>
        </w:rPr>
        <w:t>th</w:t>
      </w:r>
      <w:r w:rsidRPr="5AE9C652" w:rsidR="51829740">
        <w:rPr>
          <w:rFonts w:ascii="Calibri" w:hAnsi="Calibri" w:eastAsia="Calibri" w:cs="Calibri"/>
          <w:sz w:val="22"/>
          <w:szCs w:val="22"/>
        </w:rPr>
        <w:t xml:space="preserve">. Four Canadian institutions achieve their best ranking in more than a decade. However, global peers are improving at a faster pace than Canadian counterparts, particularly in International Student Ratio, Employment Outcomes, International Faculty, and Citations per Faculty. </w:t>
      </w:r>
    </w:p>
    <w:p w:rsidRPr="00F416A9" w:rsidR="00F416A9" w:rsidP="12AA12DD" w:rsidRDefault="00F416A9" w14:paraId="7FE5EAF0" w14:textId="125551E9">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In Australia, University of New South Wales claims the national top spot for the first time. Overall, 58% of the country’s 37 ranked institutions have improved, with particularly strong performances in indicators measuring reputation among academics and employers. With University of the Sunshine Coast re-entering the rankings for the first time since 2025, Australia now has the highest number of entries it has ever achieved in the QS World University Rankings. </w:t>
      </w:r>
    </w:p>
    <w:p w:rsidRPr="00F416A9" w:rsidR="00F416A9" w:rsidP="12AA12DD" w:rsidRDefault="00F416A9" w14:paraId="327306A7" w14:textId="77777777">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Six institutions from Ireland rise in the 2027 rankings, with University College Dublin entering the global top 100 for the first time. Ranked second globally for both Employer Reputation and Sustainability, Ireland’s higher education system continues the upward trajectory it has sustained in recent years. </w:t>
      </w:r>
    </w:p>
    <w:p w:rsidRPr="00F416A9" w:rsidR="00F416A9" w:rsidP="12AA12DD" w:rsidRDefault="00F416A9" w14:paraId="01D30C1D" w14:textId="77777777">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With 13 debutants among its 85 ranked universities, Mainland China records the highest number of new entries this year, while 26 institutions achieve historic highs. Improvements in areas such as Citations per Faculty, Employer Reputation, and Academic Reputation have strengthened the region’s performance in the latest rankings. </w:t>
      </w:r>
    </w:p>
    <w:p w:rsidRPr="00F416A9" w:rsidR="00F416A9" w:rsidP="12AA12DD" w:rsidRDefault="00F416A9" w14:paraId="1884670A" w14:textId="55F65B7E">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Hong Kong SAR </w:t>
      </w:r>
      <w:r w:rsidRPr="12AA12DD" w:rsidR="00F416A9">
        <w:rPr>
          <w:rFonts w:ascii="Calibri" w:hAnsi="Calibri" w:eastAsia="Calibri" w:cs="Calibri"/>
          <w:sz w:val="22"/>
          <w:szCs w:val="22"/>
        </w:rPr>
        <w:t>emerges</w:t>
      </w:r>
      <w:r w:rsidRPr="12AA12DD" w:rsidR="00F416A9">
        <w:rPr>
          <w:rFonts w:ascii="Calibri" w:hAnsi="Calibri" w:eastAsia="Calibri" w:cs="Calibri"/>
          <w:sz w:val="22"/>
          <w:szCs w:val="22"/>
        </w:rPr>
        <w:t xml:space="preserve"> as Asia’s most improved higher education system for the second consecutive year, and the second most improved globally among systems with three or more ranked universities. Seven of its previously ranked institutions climb the table. Its leading institution, The University of Hong Kong, </w:t>
      </w:r>
      <w:r w:rsidRPr="12AA12DD" w:rsidR="00F416A9">
        <w:rPr>
          <w:rFonts w:ascii="Calibri" w:hAnsi="Calibri" w:eastAsia="Calibri" w:cs="Calibri"/>
          <w:sz w:val="22"/>
          <w:szCs w:val="22"/>
        </w:rPr>
        <w:t>retains</w:t>
      </w:r>
      <w:r w:rsidRPr="12AA12DD" w:rsidR="00F416A9">
        <w:rPr>
          <w:rFonts w:ascii="Calibri" w:hAnsi="Calibri" w:eastAsia="Calibri" w:cs="Calibri"/>
          <w:sz w:val="22"/>
          <w:szCs w:val="22"/>
        </w:rPr>
        <w:t xml:space="preserve"> its record-high position of 11</w:t>
      </w:r>
      <w:r w:rsidRPr="12AA12DD" w:rsidR="00F416A9">
        <w:rPr>
          <w:rFonts w:ascii="Calibri" w:hAnsi="Calibri" w:eastAsia="Calibri" w:cs="Calibri"/>
          <w:sz w:val="22"/>
          <w:szCs w:val="22"/>
          <w:vertAlign w:val="superscript"/>
        </w:rPr>
        <w:t>th</w:t>
      </w:r>
      <w:r w:rsidRPr="12AA12DD" w:rsidR="00F416A9">
        <w:rPr>
          <w:rFonts w:ascii="Calibri" w:hAnsi="Calibri" w:eastAsia="Calibri" w:cs="Calibri"/>
          <w:sz w:val="22"/>
          <w:szCs w:val="22"/>
        </w:rPr>
        <w:t xml:space="preserve">, first achieved in last year’s edition. Meanwhile, The </w:t>
      </w:r>
      <w:r w:rsidRPr="12AA12DD" w:rsidR="00F416A9">
        <w:rPr>
          <w:rFonts w:ascii="Calibri" w:hAnsi="Calibri" w:eastAsia="Calibri" w:cs="Calibri"/>
          <w:sz w:val="22"/>
          <w:szCs w:val="22"/>
        </w:rPr>
        <w:t>Chinese University of Hong Kong rises to 18</w:t>
      </w:r>
      <w:r w:rsidRPr="12AA12DD" w:rsidR="00F416A9">
        <w:rPr>
          <w:rFonts w:ascii="Calibri" w:hAnsi="Calibri" w:eastAsia="Calibri" w:cs="Calibri"/>
          <w:sz w:val="22"/>
          <w:szCs w:val="22"/>
          <w:vertAlign w:val="superscript"/>
        </w:rPr>
        <w:t>th</w:t>
      </w:r>
      <w:r w:rsidRPr="12AA12DD" w:rsidR="00F416A9">
        <w:rPr>
          <w:rFonts w:ascii="Calibri" w:hAnsi="Calibri" w:eastAsia="Calibri" w:cs="Calibri"/>
          <w:sz w:val="22"/>
          <w:szCs w:val="22"/>
        </w:rPr>
        <w:t xml:space="preserve">, its highest-ever rank, marking the first time that two Hong Kong universities have placed in the global top 20. </w:t>
      </w:r>
    </w:p>
    <w:p w:rsidRPr="00F416A9" w:rsidR="00F416A9" w:rsidP="12AA12DD" w:rsidRDefault="00F416A9" w14:paraId="2A71AE72" w14:textId="77777777">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Five UK institutions achieve their highest ranking to date in 2027: University of Bath (125th), University of Exeter (136th), Loughborough University (203rd), University of Strathclyde (230th), and Northumbria University (528th). </w:t>
      </w:r>
    </w:p>
    <w:p w:rsidRPr="00F416A9" w:rsidR="00F416A9" w:rsidP="12AA12DD" w:rsidRDefault="00F416A9" w14:paraId="663E24A7" w14:noSpellErr="1" w14:textId="1783CDC6">
      <w:pPr>
        <w:pStyle w:val="paragraph"/>
        <w:numPr>
          <w:ilvl w:val="0"/>
          <w:numId w:val="1"/>
        </w:numPr>
        <w:spacing w:before="0" w:beforeAutospacing="off" w:after="160" w:afterAutospacing="off" w:line="360" w:lineRule="auto"/>
        <w:rPr>
          <w:rFonts w:ascii="Calibri" w:hAnsi="Calibri" w:eastAsia="Calibri" w:cs="Calibri"/>
          <w:sz w:val="22"/>
          <w:szCs w:val="22"/>
        </w:rPr>
      </w:pPr>
      <w:r w:rsidRPr="296CB91A" w:rsidR="0CF3ECE4">
        <w:rPr>
          <w:rFonts w:ascii="Calibri" w:hAnsi="Calibri" w:eastAsia="Calibri" w:cs="Calibri"/>
          <w:sz w:val="22"/>
          <w:szCs w:val="22"/>
        </w:rPr>
        <w:t xml:space="preserve">Italy is among Europe’s most improved higher education systems in this year’s rankings, behind only Austria among systems with 10 or more ranked universities. </w:t>
      </w:r>
      <w:r w:rsidRPr="296CB91A" w:rsidR="0CF3ECE4">
        <w:rPr>
          <w:rFonts w:ascii="Calibri" w:hAnsi="Calibri" w:eastAsia="Calibri" w:cs="Calibri"/>
          <w:sz w:val="22"/>
          <w:szCs w:val="22"/>
        </w:rPr>
        <w:t>Politecnico</w:t>
      </w:r>
      <w:r w:rsidRPr="296CB91A" w:rsidR="0CF3ECE4">
        <w:rPr>
          <w:rFonts w:ascii="Calibri" w:hAnsi="Calibri" w:eastAsia="Calibri" w:cs="Calibri"/>
          <w:sz w:val="22"/>
          <w:szCs w:val="22"/>
        </w:rPr>
        <w:t xml:space="preserve"> di Milano climbs further into the global top 100</w:t>
      </w:r>
      <w:r w:rsidRPr="296CB91A" w:rsidR="628AF2B3">
        <w:rPr>
          <w:rFonts w:ascii="Calibri" w:hAnsi="Calibri" w:eastAsia="Calibri" w:cs="Calibri"/>
          <w:sz w:val="22"/>
          <w:szCs w:val="22"/>
        </w:rPr>
        <w:t>, placing 87</w:t>
      </w:r>
      <w:r w:rsidRPr="296CB91A" w:rsidR="628AF2B3">
        <w:rPr>
          <w:rFonts w:ascii="Calibri" w:hAnsi="Calibri" w:eastAsia="Calibri" w:cs="Calibri"/>
          <w:sz w:val="22"/>
          <w:szCs w:val="22"/>
          <w:vertAlign w:val="superscript"/>
        </w:rPr>
        <w:t>th</w:t>
      </w:r>
      <w:r w:rsidRPr="296CB91A" w:rsidR="628AF2B3">
        <w:rPr>
          <w:rFonts w:ascii="Calibri" w:hAnsi="Calibri" w:eastAsia="Calibri" w:cs="Calibri"/>
          <w:sz w:val="22"/>
          <w:szCs w:val="22"/>
        </w:rPr>
        <w:t xml:space="preserve">, </w:t>
      </w:r>
      <w:r w:rsidRPr="296CB91A" w:rsidR="0CF3ECE4">
        <w:rPr>
          <w:rFonts w:ascii="Calibri" w:hAnsi="Calibri" w:eastAsia="Calibri" w:cs="Calibri"/>
          <w:sz w:val="22"/>
          <w:szCs w:val="22"/>
        </w:rPr>
        <w:t xml:space="preserve">after entering this tier for the first time in last year’s edition. </w:t>
      </w:r>
    </w:p>
    <w:p w:rsidRPr="00F416A9" w:rsidR="00F416A9" w:rsidP="12AA12DD" w:rsidRDefault="00F416A9" w14:paraId="79110151" w14:textId="484B8E58">
      <w:pPr>
        <w:pStyle w:val="paragraph"/>
        <w:numPr>
          <w:ilvl w:val="0"/>
          <w:numId w:val="1"/>
        </w:numPr>
        <w:spacing w:before="0" w:beforeAutospacing="off" w:after="160" w:afterAutospacing="off" w:line="360" w:lineRule="auto"/>
        <w:rPr>
          <w:rFonts w:ascii="Calibri" w:hAnsi="Calibri" w:eastAsia="Calibri" w:cs="Calibri"/>
          <w:sz w:val="22"/>
          <w:szCs w:val="22"/>
        </w:rPr>
      </w:pPr>
      <w:r w:rsidRPr="5AE9C652" w:rsidR="75B5DB2A">
        <w:rPr>
          <w:rFonts w:ascii="Calibri" w:hAnsi="Calibri" w:eastAsia="Calibri" w:cs="Calibri"/>
          <w:sz w:val="22"/>
          <w:szCs w:val="22"/>
        </w:rPr>
        <w:t>Germany</w:t>
      </w:r>
      <w:r w:rsidRPr="5AE9C652" w:rsidR="5B0DDC33">
        <w:rPr>
          <w:rFonts w:ascii="Calibri" w:hAnsi="Calibri" w:eastAsia="Calibri" w:cs="Calibri"/>
          <w:sz w:val="22"/>
          <w:szCs w:val="22"/>
        </w:rPr>
        <w:t xml:space="preserve">, </w:t>
      </w:r>
      <w:r w:rsidRPr="5AE9C652" w:rsidR="5B0DDC33">
        <w:rPr>
          <w:rFonts w:ascii="Calibri" w:hAnsi="Calibri" w:eastAsia="Calibri" w:cs="Calibri"/>
          <w:sz w:val="22"/>
          <w:szCs w:val="22"/>
        </w:rPr>
        <w:t>Spain</w:t>
      </w:r>
      <w:r w:rsidRPr="5AE9C652" w:rsidR="5B0DDC33">
        <w:rPr>
          <w:rFonts w:ascii="Calibri" w:hAnsi="Calibri" w:eastAsia="Calibri" w:cs="Calibri"/>
          <w:sz w:val="22"/>
          <w:szCs w:val="22"/>
        </w:rPr>
        <w:t xml:space="preserve"> and </w:t>
      </w:r>
      <w:r w:rsidRPr="5AE9C652" w:rsidR="3B66849C">
        <w:rPr>
          <w:rFonts w:ascii="Calibri" w:hAnsi="Calibri" w:eastAsia="Calibri" w:cs="Calibri"/>
          <w:sz w:val="22"/>
          <w:szCs w:val="22"/>
        </w:rPr>
        <w:t>France</w:t>
      </w:r>
      <w:r w:rsidRPr="5AE9C652" w:rsidR="60570A05">
        <w:rPr>
          <w:rFonts w:ascii="Calibri" w:hAnsi="Calibri" w:eastAsia="Calibri" w:cs="Calibri"/>
          <w:sz w:val="22"/>
          <w:szCs w:val="22"/>
        </w:rPr>
        <w:t xml:space="preserve"> </w:t>
      </w:r>
      <w:r w:rsidRPr="5AE9C652" w:rsidR="247B7823">
        <w:rPr>
          <w:rFonts w:ascii="Calibri" w:hAnsi="Calibri" w:eastAsia="Calibri" w:cs="Calibri"/>
          <w:sz w:val="22"/>
          <w:szCs w:val="22"/>
        </w:rPr>
        <w:t xml:space="preserve">all </w:t>
      </w:r>
      <w:r w:rsidRPr="5AE9C652" w:rsidR="73724243">
        <w:rPr>
          <w:rFonts w:ascii="Calibri" w:hAnsi="Calibri" w:eastAsia="Calibri" w:cs="Calibri"/>
          <w:sz w:val="22"/>
          <w:szCs w:val="22"/>
        </w:rPr>
        <w:t xml:space="preserve">grow </w:t>
      </w:r>
      <w:r w:rsidRPr="5AE9C652" w:rsidR="60570A05">
        <w:rPr>
          <w:rFonts w:ascii="Calibri" w:hAnsi="Calibri" w:eastAsia="Calibri" w:cs="Calibri"/>
          <w:sz w:val="22"/>
          <w:szCs w:val="22"/>
        </w:rPr>
        <w:t>their representation in the rankings, adding 11</w:t>
      </w:r>
      <w:r w:rsidRPr="5AE9C652" w:rsidR="7D3CE5AA">
        <w:rPr>
          <w:rFonts w:ascii="Calibri" w:hAnsi="Calibri" w:eastAsia="Calibri" w:cs="Calibri"/>
          <w:sz w:val="22"/>
          <w:szCs w:val="22"/>
        </w:rPr>
        <w:t>, 10</w:t>
      </w:r>
      <w:r w:rsidRPr="5AE9C652" w:rsidR="60570A05">
        <w:rPr>
          <w:rFonts w:ascii="Calibri" w:hAnsi="Calibri" w:eastAsia="Calibri" w:cs="Calibri"/>
          <w:sz w:val="22"/>
          <w:szCs w:val="22"/>
        </w:rPr>
        <w:t xml:space="preserve"> and seven universities respectively, the most </w:t>
      </w:r>
      <w:r w:rsidRPr="5AE9C652" w:rsidR="00161FA2">
        <w:rPr>
          <w:rFonts w:ascii="Calibri" w:hAnsi="Calibri" w:eastAsia="Calibri" w:cs="Calibri"/>
          <w:sz w:val="22"/>
          <w:szCs w:val="22"/>
        </w:rPr>
        <w:t>in the world</w:t>
      </w:r>
      <w:r w:rsidRPr="5AE9C652" w:rsidR="60570A05">
        <w:rPr>
          <w:rFonts w:ascii="Calibri" w:hAnsi="Calibri" w:eastAsia="Calibri" w:cs="Calibri"/>
          <w:sz w:val="22"/>
          <w:szCs w:val="22"/>
        </w:rPr>
        <w:t xml:space="preserve"> after Mainland China. Technical University of Munich is the highest-ranked university in the EU, placing 25th, followed by Université PSL in 34th. </w:t>
      </w:r>
    </w:p>
    <w:p w:rsidRPr="00F416A9" w:rsidR="00F416A9" w:rsidP="5AE9C652" w:rsidRDefault="00F416A9" w14:paraId="1C6C7AC9" w14:textId="0A578A32">
      <w:pPr>
        <w:pStyle w:val="paragraph"/>
        <w:numPr>
          <w:ilvl w:val="0"/>
          <w:numId w:val="1"/>
        </w:numPr>
        <w:suppressLineNumbers w:val="0"/>
        <w:bidi w:val="0"/>
        <w:spacing w:before="0" w:beforeAutospacing="off" w:after="160" w:afterAutospacing="off" w:line="360" w:lineRule="auto"/>
        <w:ind w:left="720" w:right="0" w:hanging="360"/>
        <w:jc w:val="left"/>
        <w:rPr>
          <w:rFonts w:ascii="Calibri" w:hAnsi="Calibri" w:eastAsia="Calibri" w:cs="Calibri"/>
          <w:sz w:val="22"/>
          <w:szCs w:val="22"/>
        </w:rPr>
      </w:pPr>
      <w:r w:rsidRPr="5AE9C652" w:rsidR="51829740">
        <w:rPr>
          <w:rFonts w:ascii="Calibri" w:hAnsi="Calibri" w:eastAsia="Calibri" w:cs="Calibri"/>
          <w:sz w:val="22"/>
          <w:szCs w:val="22"/>
        </w:rPr>
        <w:t>The Arab region records significant gains, with all four of its highest-ranked universities climbing the table</w:t>
      </w:r>
      <w:r w:rsidRPr="5AE9C652" w:rsidR="315821FD">
        <w:rPr>
          <w:rFonts w:ascii="Calibri" w:hAnsi="Calibri" w:eastAsia="Calibri" w:cs="Calibri"/>
          <w:sz w:val="22"/>
          <w:szCs w:val="22"/>
        </w:rPr>
        <w:t xml:space="preserve"> and achieving record </w:t>
      </w:r>
      <w:r w:rsidRPr="5AE9C652" w:rsidR="034B3C69">
        <w:rPr>
          <w:rFonts w:ascii="Calibri" w:hAnsi="Calibri" w:eastAsia="Calibri" w:cs="Calibri"/>
          <w:sz w:val="22"/>
          <w:szCs w:val="22"/>
        </w:rPr>
        <w:t>ranks</w:t>
      </w:r>
      <w:r w:rsidRPr="5AE9C652" w:rsidR="51829740">
        <w:rPr>
          <w:rFonts w:ascii="Calibri" w:hAnsi="Calibri" w:eastAsia="Calibri" w:cs="Calibri"/>
          <w:sz w:val="22"/>
          <w:szCs w:val="22"/>
        </w:rPr>
        <w:t xml:space="preserve">. The highest-ranked institution, King Fahd University of Petroleum and Minerals, builds on last year’s momentum to achieve its highest-ever position at 63rd. It is followed by compatriot King Saud University, which also achieves a record ranking of 107th. Qatar University and Khalifa University in the UAE also achieve record placements, ranking 109th and 147th respectively. </w:t>
      </w:r>
    </w:p>
    <w:p w:rsidRPr="00F416A9" w:rsidR="00F416A9" w:rsidP="12AA12DD" w:rsidRDefault="00F416A9" w14:paraId="08AF3C53" w14:textId="194E8685">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Latin America’s downward trajectory continues, with 52% of the region’s universities declining and 8% improving. However, the region’s leading institution, Universidad de Buenos Aires, </w:t>
      </w:r>
      <w:r w:rsidRPr="12AA12DD" w:rsidR="00F416A9">
        <w:rPr>
          <w:rFonts w:ascii="Calibri" w:hAnsi="Calibri" w:eastAsia="Calibri" w:cs="Calibri"/>
          <w:sz w:val="22"/>
          <w:szCs w:val="22"/>
        </w:rPr>
        <w:t>retains</w:t>
      </w:r>
      <w:r w:rsidRPr="12AA12DD" w:rsidR="00F416A9">
        <w:rPr>
          <w:rFonts w:ascii="Calibri" w:hAnsi="Calibri" w:eastAsia="Calibri" w:cs="Calibri"/>
          <w:sz w:val="22"/>
          <w:szCs w:val="22"/>
        </w:rPr>
        <w:t xml:space="preserve"> its position at 84th and </w:t>
      </w:r>
      <w:r w:rsidRPr="12AA12DD" w:rsidR="00F416A9">
        <w:rPr>
          <w:rFonts w:ascii="Calibri" w:hAnsi="Calibri" w:eastAsia="Calibri" w:cs="Calibri"/>
          <w:sz w:val="22"/>
          <w:szCs w:val="22"/>
        </w:rPr>
        <w:t>remains</w:t>
      </w:r>
      <w:r w:rsidRPr="12AA12DD" w:rsidR="00F416A9">
        <w:rPr>
          <w:rFonts w:ascii="Calibri" w:hAnsi="Calibri" w:eastAsia="Calibri" w:cs="Calibri"/>
          <w:sz w:val="22"/>
          <w:szCs w:val="22"/>
        </w:rPr>
        <w:t xml:space="preserve"> the region’s only top 100 university for the second consecutive year. It is followed by Pontificia Universidad Católica de Chile in 119th and </w:t>
      </w:r>
      <w:r w:rsidRPr="12AA12DD" w:rsidR="00F416A9">
        <w:rPr>
          <w:rFonts w:ascii="Calibri" w:hAnsi="Calibri" w:eastAsia="Calibri" w:cs="Calibri"/>
          <w:sz w:val="22"/>
          <w:szCs w:val="22"/>
        </w:rPr>
        <w:t>Universidade</w:t>
      </w:r>
      <w:r w:rsidRPr="12AA12DD" w:rsidR="00F416A9">
        <w:rPr>
          <w:rFonts w:ascii="Calibri" w:hAnsi="Calibri" w:eastAsia="Calibri" w:cs="Calibri"/>
          <w:sz w:val="22"/>
          <w:szCs w:val="22"/>
        </w:rPr>
        <w:t xml:space="preserve"> de São Paulo in 133rd. </w:t>
      </w:r>
    </w:p>
    <w:p w:rsidRPr="00B57947" w:rsidR="00B57947" w:rsidP="12AA12DD" w:rsidRDefault="00F416A9" w14:paraId="47D29454" w14:textId="42DDD059">
      <w:pPr>
        <w:pStyle w:val="paragraph"/>
        <w:numPr>
          <w:ilvl w:val="0"/>
          <w:numId w:val="1"/>
        </w:numPr>
        <w:spacing w:before="0" w:beforeAutospacing="off" w:after="160" w:afterAutospacing="off" w:line="360" w:lineRule="auto"/>
        <w:rPr>
          <w:rFonts w:ascii="Calibri" w:hAnsi="Calibri" w:eastAsia="Calibri" w:cs="Calibri"/>
          <w:sz w:val="22"/>
          <w:szCs w:val="22"/>
        </w:rPr>
      </w:pPr>
      <w:r w:rsidRPr="12AA12DD" w:rsidR="00F416A9">
        <w:rPr>
          <w:rFonts w:ascii="Calibri" w:hAnsi="Calibri" w:eastAsia="Calibri" w:cs="Calibri"/>
          <w:sz w:val="22"/>
          <w:szCs w:val="22"/>
        </w:rPr>
        <w:t xml:space="preserve">South Africa remains Africa’s leading higher education powerhouse, holding the continent’s top five positions. University of Cape Town remains the highest-ranked institution despite dropping 34 places to 184th. Fellow South African institutions </w:t>
      </w:r>
      <w:r w:rsidRPr="12AA12DD" w:rsidR="00F416A9">
        <w:rPr>
          <w:rFonts w:ascii="Calibri" w:hAnsi="Calibri" w:eastAsia="Calibri" w:cs="Calibri"/>
          <w:sz w:val="22"/>
          <w:szCs w:val="22"/>
        </w:rPr>
        <w:t>University of Johannesburg and Stellenbosch University both break into the global top 300.</w:t>
      </w:r>
    </w:p>
    <w:p w:rsidR="74C986EE" w:rsidP="12AA12DD" w:rsidRDefault="74C986EE" w14:paraId="782D680B" w14:textId="2F0A779B">
      <w:pPr>
        <w:spacing w:before="0" w:beforeAutospacing="off" w:after="160" w:afterAutospacing="off" w:line="360" w:lineRule="auto"/>
      </w:pPr>
      <w:r w:rsidRPr="12AA12DD" w:rsidR="74C986EE">
        <w:rPr>
          <w:rFonts w:ascii="Calibri" w:hAnsi="Calibri" w:eastAsia="Calibri" w:cs="Calibri"/>
          <w:noProof w:val="0"/>
          <w:color w:val="1D1D1B"/>
          <w:sz w:val="22"/>
          <w:szCs w:val="22"/>
          <w:lang w:val="en-GB"/>
        </w:rPr>
        <w:t>This year’s QS World University Rankings feature 1,500 universities across 106 higher education systems. The analysis accounted for:</w:t>
      </w:r>
      <w:r w:rsidRPr="12AA12DD" w:rsidR="74C986EE">
        <w:rPr>
          <w:rFonts w:ascii="Calibri" w:hAnsi="Calibri" w:eastAsia="Calibri" w:cs="Calibri"/>
          <w:noProof w:val="0"/>
          <w:color w:val="1D1D1B"/>
          <w:sz w:val="22"/>
          <w:szCs w:val="22"/>
          <w:lang w:val="en-US"/>
        </w:rPr>
        <w:t xml:space="preserve"> </w:t>
      </w:r>
    </w:p>
    <w:p w:rsidR="74C986EE" w:rsidP="12AA12DD" w:rsidRDefault="74C986EE" w14:paraId="01DF92D3" w14:textId="6D36B053">
      <w:pPr>
        <w:pStyle w:val="ListParagraph"/>
        <w:numPr>
          <w:ilvl w:val="0"/>
          <w:numId w:val="12"/>
        </w:numPr>
        <w:spacing w:before="0" w:beforeAutospacing="off" w:after="0" w:afterAutospacing="off" w:line="360" w:lineRule="auto"/>
        <w:rPr>
          <w:rFonts w:ascii="Calibri" w:hAnsi="Calibri" w:eastAsia="Calibri" w:cs="Calibri"/>
          <w:noProof w:val="0"/>
          <w:color w:val="1D1D1B"/>
          <w:sz w:val="22"/>
          <w:szCs w:val="22"/>
          <w:lang w:val="en-US"/>
        </w:rPr>
      </w:pPr>
      <w:r w:rsidRPr="12AA12DD" w:rsidR="74C986EE">
        <w:rPr>
          <w:rFonts w:ascii="Calibri" w:hAnsi="Calibri" w:eastAsia="Calibri" w:cs="Calibri"/>
          <w:noProof w:val="0"/>
          <w:color w:val="1D1D1B"/>
          <w:sz w:val="22"/>
          <w:szCs w:val="22"/>
          <w:lang w:val="en-US"/>
        </w:rPr>
        <w:t xml:space="preserve">21 million research papers </w:t>
      </w:r>
    </w:p>
    <w:p w:rsidR="74C986EE" w:rsidP="12AA12DD" w:rsidRDefault="74C986EE" w14:paraId="20E0F0C7" w14:textId="2291504D">
      <w:pPr>
        <w:pStyle w:val="ListParagraph"/>
        <w:numPr>
          <w:ilvl w:val="0"/>
          <w:numId w:val="13"/>
        </w:numPr>
        <w:spacing w:before="0" w:beforeAutospacing="off" w:after="0" w:afterAutospacing="off" w:line="360" w:lineRule="auto"/>
        <w:rPr>
          <w:rFonts w:ascii="Calibri" w:hAnsi="Calibri" w:eastAsia="Calibri" w:cs="Calibri"/>
          <w:noProof w:val="0"/>
          <w:color w:val="1D1D1B"/>
          <w:sz w:val="22"/>
          <w:szCs w:val="22"/>
          <w:lang w:val="en-US"/>
        </w:rPr>
      </w:pPr>
      <w:r w:rsidRPr="12AA12DD" w:rsidR="74C986EE">
        <w:rPr>
          <w:rFonts w:ascii="Calibri" w:hAnsi="Calibri" w:eastAsia="Calibri" w:cs="Calibri"/>
          <w:noProof w:val="0"/>
          <w:color w:val="1D1D1B"/>
          <w:sz w:val="22"/>
          <w:szCs w:val="22"/>
          <w:lang w:val="en-US"/>
        </w:rPr>
        <w:t xml:space="preserve">222 million citations </w:t>
      </w:r>
    </w:p>
    <w:p w:rsidR="74C986EE" w:rsidP="12AA12DD" w:rsidRDefault="74C986EE" w14:paraId="5C88B25A" w14:textId="01339B08">
      <w:pPr>
        <w:pStyle w:val="ListParagraph"/>
        <w:numPr>
          <w:ilvl w:val="0"/>
          <w:numId w:val="14"/>
        </w:numPr>
        <w:spacing w:before="0" w:beforeAutospacing="off" w:after="0" w:afterAutospacing="off" w:line="360" w:lineRule="auto"/>
        <w:rPr>
          <w:rFonts w:ascii="Calibri" w:hAnsi="Calibri" w:eastAsia="Calibri" w:cs="Calibri"/>
          <w:noProof w:val="0"/>
          <w:color w:val="1D1D1B"/>
          <w:sz w:val="22"/>
          <w:szCs w:val="22"/>
          <w:lang w:val="en-US"/>
        </w:rPr>
      </w:pPr>
      <w:r w:rsidRPr="12AA12DD" w:rsidR="74C986EE">
        <w:rPr>
          <w:rFonts w:ascii="Calibri" w:hAnsi="Calibri" w:eastAsia="Calibri" w:cs="Calibri"/>
          <w:noProof w:val="0"/>
          <w:color w:val="1D1D1B"/>
          <w:sz w:val="22"/>
          <w:szCs w:val="22"/>
          <w:lang w:val="en-US"/>
        </w:rPr>
        <w:t xml:space="preserve">1.6 million academic survey responses </w:t>
      </w:r>
    </w:p>
    <w:p w:rsidR="74C986EE" w:rsidP="12AA12DD" w:rsidRDefault="74C986EE" w14:paraId="57664525" w14:textId="4456D48A">
      <w:pPr>
        <w:pStyle w:val="ListParagraph"/>
        <w:numPr>
          <w:ilvl w:val="0"/>
          <w:numId w:val="15"/>
        </w:numPr>
        <w:spacing w:before="0" w:beforeAutospacing="off" w:after="0" w:afterAutospacing="off" w:line="360" w:lineRule="auto"/>
        <w:rPr>
          <w:rFonts w:ascii="Calibri" w:hAnsi="Calibri" w:eastAsia="Calibri" w:cs="Calibri"/>
          <w:noProof w:val="0"/>
          <w:color w:val="1D1D1B"/>
          <w:sz w:val="22"/>
          <w:szCs w:val="22"/>
          <w:lang w:val="en-US"/>
        </w:rPr>
      </w:pPr>
      <w:r w:rsidRPr="12AA12DD" w:rsidR="74C986EE">
        <w:rPr>
          <w:rFonts w:ascii="Calibri" w:hAnsi="Calibri" w:eastAsia="Calibri" w:cs="Calibri"/>
          <w:noProof w:val="0"/>
          <w:color w:val="1D1D1B"/>
          <w:sz w:val="22"/>
          <w:szCs w:val="22"/>
          <w:lang w:val="en-US"/>
        </w:rPr>
        <w:t xml:space="preserve">Data from 8,808 institutions </w:t>
      </w:r>
    </w:p>
    <w:p w:rsidR="74C986EE" w:rsidP="12AA12DD" w:rsidRDefault="74C986EE" w14:paraId="44A1024E" w14:textId="57C3C657">
      <w:pPr>
        <w:pStyle w:val="ListParagraph"/>
        <w:numPr>
          <w:ilvl w:val="0"/>
          <w:numId w:val="16"/>
        </w:numPr>
        <w:spacing w:before="0" w:beforeAutospacing="off" w:after="0" w:afterAutospacing="off" w:line="360" w:lineRule="auto"/>
        <w:rPr>
          <w:rFonts w:ascii="Calibri" w:hAnsi="Calibri" w:eastAsia="Calibri" w:cs="Calibri"/>
          <w:noProof w:val="0"/>
          <w:color w:val="1D1D1B"/>
          <w:sz w:val="22"/>
          <w:szCs w:val="22"/>
          <w:lang w:val="en-US"/>
        </w:rPr>
      </w:pPr>
      <w:r w:rsidRPr="12AA12DD" w:rsidR="74C986EE">
        <w:rPr>
          <w:rFonts w:ascii="Calibri" w:hAnsi="Calibri" w:eastAsia="Calibri" w:cs="Calibri"/>
          <w:noProof w:val="0"/>
          <w:color w:val="1D1D1B"/>
          <w:sz w:val="22"/>
          <w:szCs w:val="22"/>
          <w:lang w:val="en-US"/>
        </w:rPr>
        <w:t>Insights from 121,024 academic and 69,432 employers</w:t>
      </w:r>
    </w:p>
    <w:p w:rsidRPr="00B57947" w:rsidR="00B57947" w:rsidP="12AA12DD" w:rsidRDefault="00B57947" w14:paraId="5F56D0EB" w14:textId="528EC09F">
      <w:pPr>
        <w:pStyle w:val="paragraph"/>
        <w:spacing w:before="0" w:beforeAutospacing="off" w:after="160" w:afterAutospacing="off" w:line="360" w:lineRule="auto"/>
        <w:jc w:val="center"/>
        <w:rPr>
          <w:rFonts w:ascii="Calibri" w:hAnsi="Calibri" w:eastAsia="Calibri" w:cs="Calibri"/>
          <w:sz w:val="22"/>
          <w:szCs w:val="22"/>
        </w:rPr>
      </w:pPr>
      <w:r w:rsidRPr="12AA12DD" w:rsidR="00B57947">
        <w:rPr>
          <w:rFonts w:ascii="Calibri" w:hAnsi="Calibri" w:eastAsia="Calibri" w:cs="Calibri"/>
          <w:b w:val="1"/>
          <w:bCs w:val="1"/>
          <w:sz w:val="22"/>
          <w:szCs w:val="22"/>
          <w:u w:val="single"/>
        </w:rPr>
        <w:t>-Ends- </w:t>
      </w:r>
      <w:r w:rsidRPr="12AA12DD" w:rsidR="00B57947">
        <w:rPr>
          <w:rFonts w:ascii="Calibri" w:hAnsi="Calibri" w:eastAsia="Calibri" w:cs="Calibri"/>
          <w:sz w:val="22"/>
          <w:szCs w:val="22"/>
        </w:rPr>
        <w:t>   </w:t>
      </w:r>
    </w:p>
    <w:p w:rsidRPr="00B57947" w:rsidR="00B57947" w:rsidP="12AA12DD" w:rsidRDefault="00B57947" w14:paraId="2099BD89" w14:textId="29A08EC1">
      <w:pPr>
        <w:pStyle w:val="paragraph"/>
        <w:spacing w:before="0" w:beforeAutospacing="off" w:after="160" w:afterAutospacing="off" w:line="360" w:lineRule="auto"/>
        <w:rPr>
          <w:rFonts w:ascii="Calibri" w:hAnsi="Calibri" w:eastAsia="Calibri" w:cs="Calibri"/>
          <w:sz w:val="22"/>
          <w:szCs w:val="22"/>
        </w:rPr>
      </w:pPr>
      <w:r w:rsidRPr="12AA12DD" w:rsidR="00B57947">
        <w:rPr>
          <w:rFonts w:ascii="Calibri" w:hAnsi="Calibri" w:eastAsia="Calibri" w:cs="Calibri"/>
          <w:sz w:val="22"/>
          <w:szCs w:val="22"/>
        </w:rPr>
        <w:t>Detailed methodological information can be found at </w:t>
      </w:r>
      <w:hyperlink r:id="R18fe31393b8449cc">
        <w:r w:rsidRPr="12AA12DD" w:rsidR="00B57947">
          <w:rPr>
            <w:rStyle w:val="Hyperlink"/>
            <w:rFonts w:ascii="Calibri" w:hAnsi="Calibri" w:eastAsia="Calibri" w:cs="Calibri"/>
            <w:sz w:val="22"/>
            <w:szCs w:val="22"/>
          </w:rPr>
          <w:t>https://www.</w:t>
        </w:r>
        <w:r w:rsidRPr="12AA12DD" w:rsidR="2B3A4B9E">
          <w:rPr>
            <w:rStyle w:val="Hyperlink"/>
            <w:rFonts w:ascii="Calibri" w:hAnsi="Calibri" w:eastAsia="Calibri" w:cs="Calibri"/>
            <w:sz w:val="22"/>
            <w:szCs w:val="22"/>
          </w:rPr>
          <w:t>topuniversities.com/world-university</w:t>
        </w:r>
        <w:r w:rsidRPr="12AA12DD" w:rsidR="00B57947">
          <w:rPr>
            <w:rStyle w:val="Hyperlink"/>
            <w:rFonts w:ascii="Calibri" w:hAnsi="Calibri" w:eastAsia="Calibri" w:cs="Calibri"/>
            <w:sz w:val="22"/>
            <w:szCs w:val="22"/>
          </w:rPr>
          <w:t>-rankings/methodology</w:t>
        </w:r>
      </w:hyperlink>
      <w:r w:rsidRPr="12AA12DD" w:rsidR="00B57947">
        <w:rPr>
          <w:rFonts w:ascii="Calibri" w:hAnsi="Calibri" w:eastAsia="Calibri" w:cs="Calibri"/>
          <w:sz w:val="22"/>
          <w:szCs w:val="22"/>
          <w:u w:val="single"/>
        </w:rPr>
        <w:t>. </w:t>
      </w:r>
      <w:r w:rsidRPr="12AA12DD" w:rsidR="00B57947">
        <w:rPr>
          <w:rFonts w:ascii="Calibri" w:hAnsi="Calibri" w:eastAsia="Calibri" w:cs="Calibri"/>
          <w:sz w:val="22"/>
          <w:szCs w:val="22"/>
        </w:rPr>
        <w:t>          </w:t>
      </w:r>
    </w:p>
    <w:p w:rsidRPr="00B57947" w:rsidR="00B57947" w:rsidP="12AA12DD" w:rsidRDefault="00B57947" w14:paraId="4508F567" w14:textId="6DF62F2C">
      <w:pPr>
        <w:pStyle w:val="paragraph"/>
        <w:spacing w:before="0" w:beforeAutospacing="off" w:after="160" w:afterAutospacing="off" w:line="360" w:lineRule="auto"/>
        <w:rPr>
          <w:rFonts w:ascii="Calibri" w:hAnsi="Calibri" w:eastAsia="Calibri" w:cs="Calibri"/>
          <w:sz w:val="22"/>
          <w:szCs w:val="22"/>
        </w:rPr>
      </w:pPr>
      <w:r w:rsidRPr="12AA12DD" w:rsidR="00B57947">
        <w:rPr>
          <w:rFonts w:ascii="Calibri" w:hAnsi="Calibri" w:eastAsia="Calibri" w:cs="Calibri"/>
          <w:sz w:val="22"/>
          <w:szCs w:val="22"/>
          <w:lang w:val="en-US"/>
        </w:rPr>
        <w:t>The full </w:t>
      </w:r>
      <w:r w:rsidRPr="12AA12DD" w:rsidR="00B57947">
        <w:rPr>
          <w:rFonts w:ascii="Calibri" w:hAnsi="Calibri" w:eastAsia="Calibri" w:cs="Calibri"/>
          <w:b w:val="1"/>
          <w:bCs w:val="1"/>
          <w:sz w:val="22"/>
          <w:szCs w:val="22"/>
          <w:lang w:val="en-US"/>
        </w:rPr>
        <w:t>QS World University Rankings</w:t>
      </w:r>
      <w:r w:rsidRPr="12AA12DD" w:rsidR="52A97468">
        <w:rPr>
          <w:rFonts w:ascii="Calibri" w:hAnsi="Calibri" w:eastAsia="Calibri" w:cs="Calibri"/>
          <w:b w:val="1"/>
          <w:bCs w:val="1"/>
          <w:sz w:val="22"/>
          <w:szCs w:val="22"/>
          <w:lang w:val="en-US"/>
        </w:rPr>
        <w:t xml:space="preserve"> </w:t>
      </w:r>
      <w:r w:rsidRPr="12AA12DD" w:rsidR="00B57947">
        <w:rPr>
          <w:rFonts w:ascii="Calibri" w:hAnsi="Calibri" w:eastAsia="Calibri" w:cs="Calibri"/>
          <w:sz w:val="22"/>
          <w:szCs w:val="22"/>
          <w:lang w:val="en-US"/>
        </w:rPr>
        <w:t xml:space="preserve">will be published when the embargo lifts and will be available </w:t>
      </w:r>
      <w:r w:rsidRPr="12AA12DD" w:rsidR="00B57947">
        <w:rPr>
          <w:rFonts w:ascii="Calibri" w:hAnsi="Calibri" w:eastAsia="Calibri" w:cs="Calibri"/>
          <w:sz w:val="22"/>
          <w:szCs w:val="22"/>
          <w:lang w:val="en-US"/>
        </w:rPr>
        <w:t>at </w:t>
      </w:r>
      <w:r w:rsidRPr="12AA12DD" w:rsidR="1E029443">
        <w:rPr>
          <w:rFonts w:ascii="Calibri" w:hAnsi="Calibri" w:eastAsia="Calibri" w:cs="Calibri"/>
          <w:sz w:val="22"/>
          <w:szCs w:val="22"/>
          <w:lang w:val="en-US"/>
        </w:rPr>
        <w:t xml:space="preserve"> </w:t>
      </w:r>
      <w:hyperlink r:id="Re1cdb36b21204c24">
        <w:r w:rsidRPr="12AA12DD" w:rsidR="1E029443">
          <w:rPr>
            <w:rStyle w:val="Hyperlink"/>
            <w:rFonts w:ascii="Calibri" w:hAnsi="Calibri" w:eastAsia="Calibri" w:cs="Calibri"/>
            <w:sz w:val="22"/>
            <w:szCs w:val="22"/>
            <w:lang w:val="en-US"/>
          </w:rPr>
          <w:t>https://www.topuniversities.com/world-university-rankings</w:t>
        </w:r>
      </w:hyperlink>
      <w:r w:rsidRPr="12AA12DD" w:rsidR="1E029443">
        <w:rPr>
          <w:rFonts w:ascii="Calibri" w:hAnsi="Calibri" w:eastAsia="Calibri" w:cs="Calibri"/>
          <w:sz w:val="22"/>
          <w:szCs w:val="22"/>
          <w:lang w:val="en-US"/>
        </w:rPr>
        <w:t xml:space="preserve"> </w:t>
      </w:r>
      <w:r w:rsidRPr="12AA12DD" w:rsidR="1E029443">
        <w:rPr>
          <w:rFonts w:ascii="Calibri" w:hAnsi="Calibri" w:eastAsia="Calibri" w:cs="Calibri"/>
          <w:sz w:val="22"/>
          <w:szCs w:val="22"/>
          <w:lang w:val="en-US"/>
        </w:rPr>
        <w:t xml:space="preserve"> </w:t>
      </w:r>
      <w:r w:rsidRPr="12AA12DD" w:rsidR="00B57947">
        <w:rPr>
          <w:rFonts w:ascii="Calibri" w:hAnsi="Calibri" w:eastAsia="Calibri" w:cs="Calibri"/>
          <w:sz w:val="22"/>
          <w:szCs w:val="22"/>
        </w:rPr>
        <w:t>      </w:t>
      </w:r>
    </w:p>
    <w:p w:rsidRPr="00B57947" w:rsidR="00B57947" w:rsidP="12AA12DD" w:rsidRDefault="00B57947" w14:paraId="03BB58F2" w14:textId="15E0F8C3">
      <w:pPr>
        <w:pStyle w:val="paragraph"/>
        <w:spacing w:before="0" w:beforeAutospacing="off" w:after="160" w:afterAutospacing="off" w:line="360" w:lineRule="auto"/>
        <w:rPr>
          <w:rFonts w:ascii="Calibri" w:hAnsi="Calibri" w:eastAsia="Calibri" w:cs="Calibri"/>
          <w:sz w:val="22"/>
          <w:szCs w:val="22"/>
        </w:rPr>
      </w:pPr>
      <w:r w:rsidRPr="12AA12DD" w:rsidR="00B57947">
        <w:rPr>
          <w:rFonts w:ascii="Calibri" w:hAnsi="Calibri" w:eastAsia="Calibri" w:cs="Calibri"/>
          <w:sz w:val="22"/>
          <w:szCs w:val="22"/>
        </w:rPr>
        <w:t>For further information or to request interviews with QS’ analysts, please contact:</w:t>
      </w:r>
      <w:r w:rsidRPr="12AA12DD" w:rsidR="00B57947">
        <w:rPr>
          <w:rFonts w:ascii="Calibri" w:hAnsi="Calibri" w:eastAsia="Calibri" w:cs="Calibri"/>
          <w:sz w:val="22"/>
          <w:szCs w:val="22"/>
        </w:rPr>
        <w:t>            </w:t>
      </w:r>
    </w:p>
    <w:p w:rsidRPr="00B57947" w:rsidR="00B57947" w:rsidP="12AA12DD" w:rsidRDefault="00B57947" w14:paraId="28DBA744" w14:textId="1CF1BF2E">
      <w:pPr>
        <w:pStyle w:val="paragraph"/>
        <w:rPr>
          <w:rFonts w:ascii="Calibri" w:hAnsi="Calibri" w:eastAsia="Calibri" w:cs="Calibri"/>
          <w:sz w:val="22"/>
          <w:szCs w:val="22"/>
        </w:rPr>
      </w:pPr>
      <w:r w:rsidRPr="12AA12DD" w:rsidR="00B57947">
        <w:rPr>
          <w:rFonts w:ascii="Calibri" w:hAnsi="Calibri" w:eastAsia="Calibri" w:cs="Calibri"/>
          <w:b w:val="1"/>
          <w:bCs w:val="1"/>
          <w:sz w:val="22"/>
          <w:szCs w:val="22"/>
          <w:lang w:val="en-US"/>
        </w:rPr>
        <w:t>Simona Bizzozero</w:t>
      </w:r>
      <w:r w:rsidRPr="12AA12DD" w:rsidR="00B57947">
        <w:rPr>
          <w:rFonts w:ascii="Calibri" w:hAnsi="Calibri" w:eastAsia="Calibri" w:cs="Calibri"/>
          <w:sz w:val="22"/>
          <w:szCs w:val="22"/>
          <w:lang w:val="en-US"/>
        </w:rPr>
        <w:t> </w:t>
      </w:r>
      <w:r w:rsidRPr="12AA12DD" w:rsidR="00B57947">
        <w:rPr>
          <w:rFonts w:ascii="Calibri" w:hAnsi="Calibri" w:eastAsia="Calibri" w:cs="Calibri"/>
          <w:sz w:val="22"/>
          <w:szCs w:val="22"/>
        </w:rPr>
        <w:t>                </w:t>
      </w:r>
      <w:r>
        <w:br/>
      </w:r>
      <w:r w:rsidRPr="12AA12DD" w:rsidR="00B57947">
        <w:rPr>
          <w:rFonts w:ascii="Calibri" w:hAnsi="Calibri" w:eastAsia="Calibri" w:cs="Calibri"/>
          <w:sz w:val="22"/>
          <w:szCs w:val="22"/>
          <w:lang w:val="en-US"/>
        </w:rPr>
        <w:t>Director of Communications, QS </w:t>
      </w:r>
      <w:r w:rsidRPr="12AA12DD" w:rsidR="00B57947">
        <w:rPr>
          <w:rFonts w:ascii="Calibri" w:hAnsi="Calibri" w:eastAsia="Calibri" w:cs="Calibri"/>
          <w:sz w:val="22"/>
          <w:szCs w:val="22"/>
        </w:rPr>
        <w:t>                </w:t>
      </w:r>
      <w:r>
        <w:br/>
      </w:r>
      <w:r w:rsidRPr="12AA12DD" w:rsidR="00B57947">
        <w:rPr>
          <w:rFonts w:ascii="Calibri" w:hAnsi="Calibri" w:eastAsia="Calibri" w:cs="Calibri"/>
          <w:sz w:val="22"/>
          <w:szCs w:val="22"/>
          <w:lang w:val="en-US"/>
        </w:rPr>
        <w:t>simona@qs.com | +44 (0) 7880 620856 |</w:t>
      </w:r>
      <w:r w:rsidRPr="12AA12DD" w:rsidR="00B57947">
        <w:rPr>
          <w:rFonts w:ascii="Calibri" w:hAnsi="Calibri" w:eastAsia="Calibri" w:cs="Calibri"/>
          <w:sz w:val="22"/>
          <w:szCs w:val="22"/>
        </w:rPr>
        <w:t> </w:t>
      </w:r>
      <w:hyperlink r:id="Re16787c9b0ad416e">
        <w:r w:rsidRPr="12AA12DD" w:rsidR="00B57947">
          <w:rPr>
            <w:rStyle w:val="Hyperlink"/>
            <w:rFonts w:ascii="Calibri" w:hAnsi="Calibri" w:eastAsia="Calibri" w:cs="Calibri"/>
            <w:sz w:val="22"/>
            <w:szCs w:val="22"/>
            <w:lang w:val="en-US"/>
          </w:rPr>
          <w:t>LinkedIn</w:t>
        </w:r>
      </w:hyperlink>
      <w:r w:rsidRPr="12AA12DD" w:rsidR="00B57947">
        <w:rPr>
          <w:rFonts w:ascii="Calibri" w:hAnsi="Calibri" w:eastAsia="Calibri" w:cs="Calibri"/>
          <w:sz w:val="22"/>
          <w:szCs w:val="22"/>
          <w:lang w:val="en-US"/>
        </w:rPr>
        <w:t> </w:t>
      </w:r>
      <w:r w:rsidRPr="12AA12DD" w:rsidR="00B57947">
        <w:rPr>
          <w:rFonts w:ascii="Calibri" w:hAnsi="Calibri" w:eastAsia="Calibri" w:cs="Calibri"/>
          <w:sz w:val="22"/>
          <w:szCs w:val="22"/>
        </w:rPr>
        <w:t>       </w:t>
      </w:r>
    </w:p>
    <w:p w:rsidRPr="00B57947" w:rsidR="00B57947" w:rsidP="12AA12DD" w:rsidRDefault="00B57947" w14:paraId="0DACA6A3" w14:textId="77777777">
      <w:pPr>
        <w:pStyle w:val="paragraph"/>
        <w:spacing w:before="0" w:beforeAutospacing="off" w:after="0" w:afterAutospacing="off"/>
        <w:rPr>
          <w:rFonts w:ascii="Calibri" w:hAnsi="Calibri" w:eastAsia="Calibri" w:cs="Calibri"/>
          <w:sz w:val="22"/>
          <w:szCs w:val="22"/>
        </w:rPr>
      </w:pPr>
      <w:r w:rsidRPr="12AA12DD" w:rsidR="00B57947">
        <w:rPr>
          <w:rFonts w:ascii="Calibri" w:hAnsi="Calibri" w:eastAsia="Calibri" w:cs="Calibri"/>
          <w:b w:val="1"/>
          <w:bCs w:val="1"/>
          <w:sz w:val="22"/>
          <w:szCs w:val="22"/>
        </w:rPr>
        <w:t>Will Barbieri</w:t>
      </w:r>
      <w:r w:rsidRPr="12AA12DD" w:rsidR="00B57947">
        <w:rPr>
          <w:rFonts w:ascii="Calibri" w:hAnsi="Calibri" w:eastAsia="Calibri" w:cs="Calibri"/>
          <w:sz w:val="22"/>
          <w:szCs w:val="22"/>
        </w:rPr>
        <w:t>          </w:t>
      </w:r>
    </w:p>
    <w:p w:rsidRPr="00B57947" w:rsidR="00B57947" w:rsidP="12AA12DD" w:rsidRDefault="00B57947" w14:paraId="338160E8" w14:textId="77777777">
      <w:pPr>
        <w:pStyle w:val="paragraph"/>
        <w:spacing w:before="0" w:beforeAutospacing="off" w:after="0" w:afterAutospacing="off"/>
        <w:rPr>
          <w:rFonts w:ascii="Calibri" w:hAnsi="Calibri" w:eastAsia="Calibri" w:cs="Calibri"/>
          <w:sz w:val="22"/>
          <w:szCs w:val="22"/>
        </w:rPr>
      </w:pPr>
      <w:r w:rsidRPr="12AA12DD" w:rsidR="00B57947">
        <w:rPr>
          <w:rFonts w:ascii="Calibri" w:hAnsi="Calibri" w:eastAsia="Calibri" w:cs="Calibri"/>
          <w:sz w:val="22"/>
          <w:szCs w:val="22"/>
        </w:rPr>
        <w:t>Communications Manager          </w:t>
      </w:r>
    </w:p>
    <w:p w:rsidRPr="00B57947" w:rsidR="00B57947" w:rsidP="12AA12DD" w:rsidRDefault="00B57947" w14:paraId="1DA006F8" w14:textId="34D1EF25">
      <w:pPr>
        <w:pStyle w:val="paragraph"/>
        <w:spacing w:before="0" w:beforeAutospacing="off" w:after="0" w:afterAutospacing="off"/>
        <w:rPr>
          <w:rFonts w:ascii="Calibri" w:hAnsi="Calibri" w:eastAsia="Calibri" w:cs="Calibri"/>
          <w:sz w:val="22"/>
          <w:szCs w:val="22"/>
        </w:rPr>
      </w:pPr>
      <w:hyperlink r:id="Rcdbfe80b162d4054">
        <w:r w:rsidRPr="12AA12DD" w:rsidR="00B57947">
          <w:rPr>
            <w:rStyle w:val="Hyperlink"/>
            <w:rFonts w:ascii="Calibri" w:hAnsi="Calibri" w:eastAsia="Calibri" w:cs="Calibri"/>
            <w:sz w:val="22"/>
            <w:szCs w:val="22"/>
          </w:rPr>
          <w:t>William.barbieri@qs.com</w:t>
        </w:r>
      </w:hyperlink>
    </w:p>
    <w:p w:rsidR="12AA12DD" w:rsidP="12AA12DD" w:rsidRDefault="12AA12DD" w14:paraId="0898613D" w14:textId="04A679AE">
      <w:pPr>
        <w:pStyle w:val="paragraph"/>
        <w:spacing w:before="0" w:beforeAutospacing="off" w:after="160" w:afterAutospacing="off" w:line="360" w:lineRule="auto"/>
        <w:rPr>
          <w:rFonts w:ascii="Calibri" w:hAnsi="Calibri" w:eastAsia="Calibri" w:cs="Calibri"/>
          <w:b w:val="1"/>
          <w:bCs w:val="1"/>
          <w:sz w:val="22"/>
          <w:szCs w:val="22"/>
          <w:u w:val="single"/>
          <w:lang w:val="en-US"/>
        </w:rPr>
      </w:pPr>
    </w:p>
    <w:p w:rsidRPr="00B57947" w:rsidR="00B57947" w:rsidP="12AA12DD" w:rsidRDefault="00B57947" w14:paraId="1F3807C0" w14:textId="77777777">
      <w:pPr>
        <w:pStyle w:val="paragraph"/>
        <w:spacing w:before="0" w:beforeAutospacing="off" w:after="160" w:afterAutospacing="off" w:line="360" w:lineRule="auto"/>
        <w:rPr>
          <w:rFonts w:ascii="Calibri" w:hAnsi="Calibri" w:eastAsia="Calibri" w:cs="Calibri"/>
          <w:sz w:val="22"/>
          <w:szCs w:val="22"/>
        </w:rPr>
      </w:pPr>
      <w:r w:rsidRPr="12AA12DD" w:rsidR="00B57947">
        <w:rPr>
          <w:rFonts w:ascii="Calibri" w:hAnsi="Calibri" w:eastAsia="Calibri" w:cs="Calibri"/>
          <w:b w:val="1"/>
          <w:bCs w:val="1"/>
          <w:sz w:val="22"/>
          <w:szCs w:val="22"/>
          <w:u w:val="single"/>
          <w:lang w:val="en-US"/>
        </w:rPr>
        <w:t>Notes for Editors</w:t>
      </w:r>
      <w:r w:rsidRPr="12AA12DD" w:rsidR="00B57947">
        <w:rPr>
          <w:rFonts w:ascii="Calibri" w:hAnsi="Calibri" w:eastAsia="Calibri" w:cs="Calibri"/>
          <w:sz w:val="22"/>
          <w:szCs w:val="22"/>
        </w:rPr>
        <w:t>        </w:t>
      </w:r>
    </w:p>
    <w:p w:rsidRPr="00B57947" w:rsidR="00B57947" w:rsidP="12AA12DD" w:rsidRDefault="00B57947" w14:paraId="438E184E" w14:textId="28316570">
      <w:pPr>
        <w:pStyle w:val="paragraph"/>
        <w:spacing w:before="0" w:beforeAutospacing="off" w:after="160" w:afterAutospacing="off" w:line="360" w:lineRule="auto"/>
        <w:rPr>
          <w:rFonts w:ascii="Calibri" w:hAnsi="Calibri" w:eastAsia="Calibri" w:cs="Calibri"/>
          <w:sz w:val="22"/>
          <w:szCs w:val="22"/>
        </w:rPr>
      </w:pPr>
      <w:r w:rsidRPr="12AA12DD" w:rsidR="00B57947">
        <w:rPr>
          <w:rFonts w:ascii="Calibri" w:hAnsi="Calibri" w:eastAsia="Calibri" w:cs="Calibri"/>
          <w:b w:val="1"/>
          <w:bCs w:val="1"/>
          <w:sz w:val="22"/>
          <w:szCs w:val="22"/>
        </w:rPr>
        <w:t>QS Quacquarelli Symonds</w:t>
      </w:r>
      <w:r w:rsidRPr="12AA12DD" w:rsidR="00B57947">
        <w:rPr>
          <w:rFonts w:ascii="Calibri" w:hAnsi="Calibri" w:eastAsia="Calibri" w:cs="Calibri"/>
          <w:sz w:val="22"/>
          <w:szCs w:val="22"/>
        </w:rPr>
        <w:t> </w:t>
      </w:r>
      <w:r w:rsidRPr="12AA12DD" w:rsidR="00B57947">
        <w:rPr>
          <w:rFonts w:ascii="Calibri" w:hAnsi="Calibri" w:eastAsia="Calibri" w:cs="Calibri"/>
          <w:sz w:val="22"/>
          <w:szCs w:val="22"/>
          <w:lang w:val="en-US"/>
        </w:rPr>
        <w:t>is the world’s leading provider of services, analytics, and insight to the global higher education sector, whose mission is to </w:t>
      </w:r>
      <w:r w:rsidRPr="12AA12DD" w:rsidR="00B57947">
        <w:rPr>
          <w:rFonts w:ascii="Calibri" w:hAnsi="Calibri" w:eastAsia="Calibri" w:cs="Calibri"/>
          <w:sz w:val="22"/>
          <w:szCs w:val="22"/>
        </w:rPr>
        <w:t>empower motivated people anywhere in the world to fulfil their potential through educational achievement, international mobility, and career development</w:t>
      </w:r>
      <w:r w:rsidRPr="12AA12DD" w:rsidR="00B57947">
        <w:rPr>
          <w:rFonts w:ascii="Calibri" w:hAnsi="Calibri" w:eastAsia="Calibri" w:cs="Calibri"/>
          <w:i w:val="1"/>
          <w:iCs w:val="1"/>
          <w:sz w:val="22"/>
          <w:szCs w:val="22"/>
        </w:rPr>
        <w:t>.</w:t>
      </w:r>
    </w:p>
    <w:p w:rsidRPr="00B57947" w:rsidR="00B57947" w:rsidP="12AA12DD" w:rsidRDefault="00B57947" w14:paraId="3D475415" w14:textId="26506273">
      <w:pPr>
        <w:pStyle w:val="paragraph"/>
        <w:spacing w:before="0" w:beforeAutospacing="off" w:after="160" w:afterAutospacing="off" w:line="360" w:lineRule="auto"/>
        <w:rPr>
          <w:rFonts w:ascii="Calibri" w:hAnsi="Calibri" w:eastAsia="Calibri" w:cs="Calibri"/>
          <w:sz w:val="22"/>
          <w:szCs w:val="22"/>
        </w:rPr>
      </w:pPr>
      <w:r w:rsidRPr="12AA12DD" w:rsidR="00B57947">
        <w:rPr>
          <w:rFonts w:ascii="Calibri" w:hAnsi="Calibri" w:eastAsia="Calibri" w:cs="Calibri"/>
          <w:sz w:val="22"/>
          <w:szCs w:val="22"/>
          <w:lang w:val="en-US"/>
        </w:rPr>
        <w:t>The QS World University Rankings portfolio, inaugurated in 2004, is the world’s most popular source of comparative data about university performance. Their flagship website </w:t>
      </w:r>
      <w:hyperlink r:id="Ref69fd1936424db5">
        <w:r w:rsidRPr="12AA12DD" w:rsidR="00B57947">
          <w:rPr>
            <w:rStyle w:val="Hyperlink"/>
            <w:rFonts w:ascii="Calibri" w:hAnsi="Calibri" w:eastAsia="Calibri" w:cs="Calibri"/>
            <w:sz w:val="22"/>
            <w:szCs w:val="22"/>
            <w:lang w:val="en-US"/>
          </w:rPr>
          <w:t>www.TopUniversities.com</w:t>
        </w:r>
      </w:hyperlink>
      <w:r w:rsidRPr="12AA12DD" w:rsidR="00B57947">
        <w:rPr>
          <w:rFonts w:ascii="Calibri" w:hAnsi="Calibri" w:eastAsia="Calibri" w:cs="Calibri"/>
          <w:sz w:val="22"/>
          <w:szCs w:val="22"/>
          <w:lang w:val="en-US"/>
        </w:rPr>
        <w:t> – the home of their rankings – was viewed more than 120 million times in 2024, and over 135,000 media clippings </w:t>
      </w:r>
      <w:r w:rsidRPr="12AA12DD" w:rsidR="00B57947">
        <w:rPr>
          <w:rFonts w:ascii="Calibri" w:hAnsi="Calibri" w:eastAsia="Calibri" w:cs="Calibri"/>
          <w:sz w:val="22"/>
          <w:szCs w:val="22"/>
          <w:lang w:val="en-US"/>
        </w:rPr>
        <w:t>pertaining to</w:t>
      </w:r>
      <w:r w:rsidRPr="12AA12DD" w:rsidR="00B57947">
        <w:rPr>
          <w:rFonts w:ascii="Calibri" w:hAnsi="Calibri" w:eastAsia="Calibri" w:cs="Calibri"/>
          <w:sz w:val="22"/>
          <w:szCs w:val="22"/>
          <w:lang w:val="en-US"/>
        </w:rPr>
        <w:t>, or mentioning, QS were published by media outlets across the world in 2025.</w:t>
      </w:r>
    </w:p>
    <w:p w:rsidRPr="00F416A9" w:rsidR="00B57947" w:rsidP="12AA12DD" w:rsidRDefault="00B57947" w14:paraId="0421BB40" w14:textId="77777777">
      <w:pPr>
        <w:pStyle w:val="paragraph"/>
        <w:rPr>
          <w:rFonts w:ascii="Calibri" w:hAnsi="Calibri" w:eastAsia="Calibri" w:cs="Calibri"/>
          <w:sz w:val="22"/>
          <w:szCs w:val="22"/>
        </w:rPr>
      </w:pPr>
    </w:p>
    <w:sectPr w:rsidRPr="00F416A9" w:rsidR="00B5794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P Telegraf">
    <w:panose1 w:val="000000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bookmark int2:bookmarkName="_Int_tg87xWRG" int2:invalidationBookmarkName="" int2:hashCode="PHrY9lKq+eWyCg" int2:id="h6EOln0X">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5">
    <w:nsid w:val="27a5d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5babe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8a0dd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4d11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fedf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BF475A"/>
    <w:multiLevelType w:val="multilevel"/>
    <w:tmpl w:val="B1B87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A9525E"/>
    <w:multiLevelType w:val="multilevel"/>
    <w:tmpl w:val="B1B87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A6128B"/>
    <w:multiLevelType w:val="hybridMultilevel"/>
    <w:tmpl w:val="C142B5B4"/>
    <w:lvl w:ilvl="0" w:tplc="9676C290">
      <w:numFmt w:val="bullet"/>
      <w:lvlText w:val=""/>
      <w:lvlJc w:val="left"/>
      <w:pPr>
        <w:ind w:left="720" w:hanging="360"/>
      </w:pPr>
      <w:rPr>
        <w:rFonts w:hint="default" w:ascii="PP Telegraf" w:hAnsi="PP Telegraf"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5421DEB"/>
    <w:multiLevelType w:val="multilevel"/>
    <w:tmpl w:val="E590756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1553EF8"/>
    <w:multiLevelType w:val="multilevel"/>
    <w:tmpl w:val="DD14F4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46C110D8"/>
    <w:multiLevelType w:val="multilevel"/>
    <w:tmpl w:val="B1B877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E400209"/>
    <w:multiLevelType w:val="multilevel"/>
    <w:tmpl w:val="6D2CC3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B196ACC"/>
    <w:multiLevelType w:val="hybridMultilevel"/>
    <w:tmpl w:val="A6045C8C"/>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71CF62B4"/>
    <w:multiLevelType w:val="hybridMultilevel"/>
    <w:tmpl w:val="8370C37C"/>
    <w:lvl w:ilvl="0" w:tplc="F7B6922E">
      <w:numFmt w:val="bullet"/>
      <w:lvlText w:val=""/>
      <w:lvlJc w:val="left"/>
      <w:pPr>
        <w:ind w:left="720" w:hanging="360"/>
      </w:pPr>
      <w:rPr>
        <w:rFonts w:hint="default" w:ascii="PP Telegraf" w:hAnsi="PP Telegraf"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7FD7FC9"/>
    <w:multiLevelType w:val="multilevel"/>
    <w:tmpl w:val="4852FE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87E50D9"/>
    <w:multiLevelType w:val="hybridMultilevel"/>
    <w:tmpl w:val="A392A9B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6">
    <w:abstractNumId w:val="15"/>
  </w:num>
  <w:num w:numId="15">
    <w:abstractNumId w:val="14"/>
  </w:num>
  <w:num w:numId="14">
    <w:abstractNumId w:val="13"/>
  </w:num>
  <w:num w:numId="13">
    <w:abstractNumId w:val="12"/>
  </w:num>
  <w:num w:numId="12">
    <w:abstractNumId w:val="11"/>
  </w:num>
  <w:num w:numId="1" w16cid:durableId="1013997728">
    <w:abstractNumId w:val="5"/>
  </w:num>
  <w:num w:numId="2" w16cid:durableId="1567259790">
    <w:abstractNumId w:val="9"/>
  </w:num>
  <w:num w:numId="3" w16cid:durableId="1178471570">
    <w:abstractNumId w:val="4"/>
  </w:num>
  <w:num w:numId="4" w16cid:durableId="559902389">
    <w:abstractNumId w:val="6"/>
  </w:num>
  <w:num w:numId="5" w16cid:durableId="415515314">
    <w:abstractNumId w:val="1"/>
  </w:num>
  <w:num w:numId="6" w16cid:durableId="1707096050">
    <w:abstractNumId w:val="10"/>
  </w:num>
  <w:num w:numId="7" w16cid:durableId="1557619291">
    <w:abstractNumId w:val="8"/>
  </w:num>
  <w:num w:numId="8" w16cid:durableId="18703038">
    <w:abstractNumId w:val="0"/>
  </w:num>
  <w:num w:numId="9" w16cid:durableId="54789960">
    <w:abstractNumId w:val="3"/>
  </w:num>
  <w:num w:numId="10" w16cid:durableId="1471366718">
    <w:abstractNumId w:val="7"/>
  </w:num>
  <w:num w:numId="11" w16cid:durableId="45209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AD"/>
    <w:rsid w:val="00001EC0"/>
    <w:rsid w:val="000124F5"/>
    <w:rsid w:val="000232AA"/>
    <w:rsid w:val="00031A0E"/>
    <w:rsid w:val="000656F5"/>
    <w:rsid w:val="000B07EB"/>
    <w:rsid w:val="001035BD"/>
    <w:rsid w:val="0012321F"/>
    <w:rsid w:val="00161FA2"/>
    <w:rsid w:val="0018035E"/>
    <w:rsid w:val="00181A17"/>
    <w:rsid w:val="001A55F3"/>
    <w:rsid w:val="001C1A05"/>
    <w:rsid w:val="001D2C96"/>
    <w:rsid w:val="001D2D5F"/>
    <w:rsid w:val="001E6A3F"/>
    <w:rsid w:val="00207994"/>
    <w:rsid w:val="002229E3"/>
    <w:rsid w:val="002316EF"/>
    <w:rsid w:val="002565CE"/>
    <w:rsid w:val="0026496B"/>
    <w:rsid w:val="00267A78"/>
    <w:rsid w:val="00275336"/>
    <w:rsid w:val="002C43FC"/>
    <w:rsid w:val="00316C7E"/>
    <w:rsid w:val="0033681A"/>
    <w:rsid w:val="00336E0F"/>
    <w:rsid w:val="0034380C"/>
    <w:rsid w:val="00373F61"/>
    <w:rsid w:val="003A31AE"/>
    <w:rsid w:val="003C32DA"/>
    <w:rsid w:val="003D73B6"/>
    <w:rsid w:val="003E4FC4"/>
    <w:rsid w:val="00400C24"/>
    <w:rsid w:val="00406301"/>
    <w:rsid w:val="00443451"/>
    <w:rsid w:val="004438B4"/>
    <w:rsid w:val="004668CA"/>
    <w:rsid w:val="00483EE3"/>
    <w:rsid w:val="004849B9"/>
    <w:rsid w:val="004A6DCD"/>
    <w:rsid w:val="004C6627"/>
    <w:rsid w:val="0050619D"/>
    <w:rsid w:val="0052062E"/>
    <w:rsid w:val="00520C53"/>
    <w:rsid w:val="00530E9D"/>
    <w:rsid w:val="00531E2F"/>
    <w:rsid w:val="0055176B"/>
    <w:rsid w:val="00585156"/>
    <w:rsid w:val="005A0024"/>
    <w:rsid w:val="005C169E"/>
    <w:rsid w:val="005C3110"/>
    <w:rsid w:val="005D61B6"/>
    <w:rsid w:val="005F3F2F"/>
    <w:rsid w:val="005F5E30"/>
    <w:rsid w:val="00603D89"/>
    <w:rsid w:val="00612297"/>
    <w:rsid w:val="00613B5E"/>
    <w:rsid w:val="00613D1F"/>
    <w:rsid w:val="00640508"/>
    <w:rsid w:val="0064431C"/>
    <w:rsid w:val="00664D1E"/>
    <w:rsid w:val="006759BA"/>
    <w:rsid w:val="00686ABD"/>
    <w:rsid w:val="0069199E"/>
    <w:rsid w:val="006B38E3"/>
    <w:rsid w:val="006B3E7E"/>
    <w:rsid w:val="006B622B"/>
    <w:rsid w:val="006C0577"/>
    <w:rsid w:val="006D4E89"/>
    <w:rsid w:val="00732149"/>
    <w:rsid w:val="00743FD8"/>
    <w:rsid w:val="007474EF"/>
    <w:rsid w:val="00750E08"/>
    <w:rsid w:val="00767E9F"/>
    <w:rsid w:val="007B104B"/>
    <w:rsid w:val="007B4890"/>
    <w:rsid w:val="007D73DF"/>
    <w:rsid w:val="007E714A"/>
    <w:rsid w:val="007E7B03"/>
    <w:rsid w:val="007F4F25"/>
    <w:rsid w:val="00813959"/>
    <w:rsid w:val="00837DB2"/>
    <w:rsid w:val="0088331F"/>
    <w:rsid w:val="00897703"/>
    <w:rsid w:val="008B424F"/>
    <w:rsid w:val="008F0070"/>
    <w:rsid w:val="008F640C"/>
    <w:rsid w:val="00902565"/>
    <w:rsid w:val="00910827"/>
    <w:rsid w:val="00921BED"/>
    <w:rsid w:val="0092729D"/>
    <w:rsid w:val="009B01A1"/>
    <w:rsid w:val="009E3D13"/>
    <w:rsid w:val="00A1165B"/>
    <w:rsid w:val="00A123BB"/>
    <w:rsid w:val="00A12A7B"/>
    <w:rsid w:val="00A34B55"/>
    <w:rsid w:val="00A375BB"/>
    <w:rsid w:val="00A5192B"/>
    <w:rsid w:val="00A5495C"/>
    <w:rsid w:val="00A73A49"/>
    <w:rsid w:val="00A745D2"/>
    <w:rsid w:val="00AA0C3D"/>
    <w:rsid w:val="00AA7121"/>
    <w:rsid w:val="00AB33A4"/>
    <w:rsid w:val="00AB6915"/>
    <w:rsid w:val="00AD17FB"/>
    <w:rsid w:val="00AD5A5E"/>
    <w:rsid w:val="00AE387B"/>
    <w:rsid w:val="00B12A35"/>
    <w:rsid w:val="00B24B78"/>
    <w:rsid w:val="00B34FA1"/>
    <w:rsid w:val="00B52693"/>
    <w:rsid w:val="00B57947"/>
    <w:rsid w:val="00B603D7"/>
    <w:rsid w:val="00B656F6"/>
    <w:rsid w:val="00B71624"/>
    <w:rsid w:val="00B94A65"/>
    <w:rsid w:val="00BC4926"/>
    <w:rsid w:val="00BD0D2E"/>
    <w:rsid w:val="00C452B7"/>
    <w:rsid w:val="00C605C5"/>
    <w:rsid w:val="00C8332D"/>
    <w:rsid w:val="00C862CB"/>
    <w:rsid w:val="00CA22F3"/>
    <w:rsid w:val="00CB39FD"/>
    <w:rsid w:val="00CB506D"/>
    <w:rsid w:val="00CC0B9F"/>
    <w:rsid w:val="00CC25AD"/>
    <w:rsid w:val="00CC482E"/>
    <w:rsid w:val="00CC63B9"/>
    <w:rsid w:val="00CE6234"/>
    <w:rsid w:val="00CF7330"/>
    <w:rsid w:val="00D66C4B"/>
    <w:rsid w:val="00D929FD"/>
    <w:rsid w:val="00D9346D"/>
    <w:rsid w:val="00DA5243"/>
    <w:rsid w:val="00E3294A"/>
    <w:rsid w:val="00E47F90"/>
    <w:rsid w:val="00E72F18"/>
    <w:rsid w:val="00EA2832"/>
    <w:rsid w:val="00EB0360"/>
    <w:rsid w:val="00F02047"/>
    <w:rsid w:val="00F416A9"/>
    <w:rsid w:val="00F979F3"/>
    <w:rsid w:val="00FB3935"/>
    <w:rsid w:val="00FB52EF"/>
    <w:rsid w:val="00FD002F"/>
    <w:rsid w:val="0131126F"/>
    <w:rsid w:val="034B3C69"/>
    <w:rsid w:val="0434C47E"/>
    <w:rsid w:val="06A24039"/>
    <w:rsid w:val="088C98AB"/>
    <w:rsid w:val="0976FD89"/>
    <w:rsid w:val="0A75B72E"/>
    <w:rsid w:val="0A77A178"/>
    <w:rsid w:val="0A7B8D33"/>
    <w:rsid w:val="0B764490"/>
    <w:rsid w:val="0C3A452D"/>
    <w:rsid w:val="0CF3ECE4"/>
    <w:rsid w:val="0D258329"/>
    <w:rsid w:val="0E1CE12B"/>
    <w:rsid w:val="0EF03D74"/>
    <w:rsid w:val="11C0D72D"/>
    <w:rsid w:val="11C64E78"/>
    <w:rsid w:val="12AA12DD"/>
    <w:rsid w:val="12E64609"/>
    <w:rsid w:val="12E83B2C"/>
    <w:rsid w:val="13BC514B"/>
    <w:rsid w:val="173AC337"/>
    <w:rsid w:val="18A1F581"/>
    <w:rsid w:val="1A92F23C"/>
    <w:rsid w:val="1B9BC917"/>
    <w:rsid w:val="1C037769"/>
    <w:rsid w:val="1E029443"/>
    <w:rsid w:val="1E206E15"/>
    <w:rsid w:val="22C5A848"/>
    <w:rsid w:val="22F105ED"/>
    <w:rsid w:val="247B7823"/>
    <w:rsid w:val="24B1FB64"/>
    <w:rsid w:val="258487CC"/>
    <w:rsid w:val="25B702E1"/>
    <w:rsid w:val="26D37C94"/>
    <w:rsid w:val="284AD4DA"/>
    <w:rsid w:val="296CB91A"/>
    <w:rsid w:val="2B3A4B9E"/>
    <w:rsid w:val="2C356E79"/>
    <w:rsid w:val="2CE759C2"/>
    <w:rsid w:val="2DC3CC66"/>
    <w:rsid w:val="2E03AC70"/>
    <w:rsid w:val="2EF9D778"/>
    <w:rsid w:val="2F55E4BA"/>
    <w:rsid w:val="30E4AEB1"/>
    <w:rsid w:val="315821FD"/>
    <w:rsid w:val="344AAA77"/>
    <w:rsid w:val="353F2E76"/>
    <w:rsid w:val="380ED980"/>
    <w:rsid w:val="382F4551"/>
    <w:rsid w:val="38664630"/>
    <w:rsid w:val="389BEEFB"/>
    <w:rsid w:val="390CBF9F"/>
    <w:rsid w:val="394A3AA4"/>
    <w:rsid w:val="3A3FD78D"/>
    <w:rsid w:val="3A44394B"/>
    <w:rsid w:val="3A8CC71C"/>
    <w:rsid w:val="3B66849C"/>
    <w:rsid w:val="3B6A3901"/>
    <w:rsid w:val="3CDE240A"/>
    <w:rsid w:val="4064C659"/>
    <w:rsid w:val="40BD07B0"/>
    <w:rsid w:val="42777D3B"/>
    <w:rsid w:val="42D25C02"/>
    <w:rsid w:val="4342C13F"/>
    <w:rsid w:val="43721B2A"/>
    <w:rsid w:val="44C09EB2"/>
    <w:rsid w:val="4901D227"/>
    <w:rsid w:val="4A395850"/>
    <w:rsid w:val="4A800458"/>
    <w:rsid w:val="4B4377F7"/>
    <w:rsid w:val="4BB63165"/>
    <w:rsid w:val="4C6CDF0D"/>
    <w:rsid w:val="4F78EBB1"/>
    <w:rsid w:val="514F830C"/>
    <w:rsid w:val="51829740"/>
    <w:rsid w:val="52A97468"/>
    <w:rsid w:val="54530BCA"/>
    <w:rsid w:val="56762087"/>
    <w:rsid w:val="56A3BA46"/>
    <w:rsid w:val="5747F480"/>
    <w:rsid w:val="57A53E9A"/>
    <w:rsid w:val="583A8F44"/>
    <w:rsid w:val="5AE9C652"/>
    <w:rsid w:val="5AF212D1"/>
    <w:rsid w:val="5B0DDC33"/>
    <w:rsid w:val="5F538BB6"/>
    <w:rsid w:val="60570A05"/>
    <w:rsid w:val="60FD5CFC"/>
    <w:rsid w:val="628AF2B3"/>
    <w:rsid w:val="62F01D34"/>
    <w:rsid w:val="633F30CD"/>
    <w:rsid w:val="69B6B011"/>
    <w:rsid w:val="6A1B3188"/>
    <w:rsid w:val="6A42C583"/>
    <w:rsid w:val="6B062A15"/>
    <w:rsid w:val="6C70F62B"/>
    <w:rsid w:val="6E23D18D"/>
    <w:rsid w:val="719C3F7A"/>
    <w:rsid w:val="736826CC"/>
    <w:rsid w:val="73724243"/>
    <w:rsid w:val="7387C290"/>
    <w:rsid w:val="747CFE25"/>
    <w:rsid w:val="74C986EE"/>
    <w:rsid w:val="75B5DB2A"/>
    <w:rsid w:val="763507C7"/>
    <w:rsid w:val="77685862"/>
    <w:rsid w:val="7A97977B"/>
    <w:rsid w:val="7BAC1B3C"/>
    <w:rsid w:val="7C49EAD7"/>
    <w:rsid w:val="7D3CE5AA"/>
    <w:rsid w:val="7DA09CC8"/>
    <w:rsid w:val="7DA8D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05C7"/>
  <w15:chartTrackingRefBased/>
  <w15:docId w15:val="{F315B007-C418-4A1D-8609-7B3490F7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C25A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A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A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C25A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C25A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C25A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C25A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C25A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C25A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C25A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C25A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C25AD"/>
    <w:rPr>
      <w:rFonts w:eastAsiaTheme="majorEastAsia" w:cstheme="majorBidi"/>
      <w:color w:val="272727" w:themeColor="text1" w:themeTint="D8"/>
    </w:rPr>
  </w:style>
  <w:style w:type="paragraph" w:styleId="Title">
    <w:name w:val="Title"/>
    <w:basedOn w:val="Normal"/>
    <w:next w:val="Normal"/>
    <w:link w:val="TitleChar"/>
    <w:uiPriority w:val="10"/>
    <w:qFormat/>
    <w:rsid w:val="00CC25A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C25A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C25A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C2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AD"/>
    <w:pPr>
      <w:spacing w:before="160"/>
      <w:jc w:val="center"/>
    </w:pPr>
    <w:rPr>
      <w:i/>
      <w:iCs/>
      <w:color w:val="404040" w:themeColor="text1" w:themeTint="BF"/>
    </w:rPr>
  </w:style>
  <w:style w:type="character" w:styleId="QuoteChar" w:customStyle="1">
    <w:name w:val="Quote Char"/>
    <w:basedOn w:val="DefaultParagraphFont"/>
    <w:link w:val="Quote"/>
    <w:uiPriority w:val="29"/>
    <w:rsid w:val="00CC25AD"/>
    <w:rPr>
      <w:i/>
      <w:iCs/>
      <w:color w:val="404040" w:themeColor="text1" w:themeTint="BF"/>
    </w:rPr>
  </w:style>
  <w:style w:type="paragraph" w:styleId="ListParagraph">
    <w:name w:val="List Paragraph"/>
    <w:basedOn w:val="Normal"/>
    <w:uiPriority w:val="34"/>
    <w:qFormat/>
    <w:rsid w:val="00CC25AD"/>
    <w:pPr>
      <w:ind w:left="720"/>
      <w:contextualSpacing/>
    </w:pPr>
  </w:style>
  <w:style w:type="character" w:styleId="IntenseEmphasis">
    <w:name w:val="Intense Emphasis"/>
    <w:basedOn w:val="DefaultParagraphFont"/>
    <w:uiPriority w:val="21"/>
    <w:qFormat/>
    <w:rsid w:val="00CC25AD"/>
    <w:rPr>
      <w:i/>
      <w:iCs/>
      <w:color w:val="0F4761" w:themeColor="accent1" w:themeShade="BF"/>
    </w:rPr>
  </w:style>
  <w:style w:type="paragraph" w:styleId="IntenseQuote">
    <w:name w:val="Intense Quote"/>
    <w:basedOn w:val="Normal"/>
    <w:next w:val="Normal"/>
    <w:link w:val="IntenseQuoteChar"/>
    <w:uiPriority w:val="30"/>
    <w:qFormat/>
    <w:rsid w:val="00CC25A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C25AD"/>
    <w:rPr>
      <w:i/>
      <w:iCs/>
      <w:color w:val="0F4761" w:themeColor="accent1" w:themeShade="BF"/>
    </w:rPr>
  </w:style>
  <w:style w:type="character" w:styleId="IntenseReference">
    <w:name w:val="Intense Reference"/>
    <w:basedOn w:val="DefaultParagraphFont"/>
    <w:uiPriority w:val="32"/>
    <w:qFormat/>
    <w:rsid w:val="00CC25AD"/>
    <w:rPr>
      <w:b/>
      <w:bCs/>
      <w:smallCaps/>
      <w:color w:val="0F4761" w:themeColor="accent1" w:themeShade="BF"/>
      <w:spacing w:val="5"/>
    </w:rPr>
  </w:style>
  <w:style w:type="paragraph" w:styleId="paragraph" w:customStyle="1">
    <w:name w:val="paragraph"/>
    <w:basedOn w:val="Normal"/>
    <w:rsid w:val="00CC25AD"/>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CC25AD"/>
  </w:style>
  <w:style w:type="character" w:styleId="eop" w:customStyle="1">
    <w:name w:val="eop"/>
    <w:basedOn w:val="DefaultParagraphFont"/>
    <w:rsid w:val="00CC25AD"/>
  </w:style>
  <w:style w:type="character" w:styleId="CommentReference">
    <w:name w:val="annotation reference"/>
    <w:basedOn w:val="DefaultParagraphFont"/>
    <w:uiPriority w:val="99"/>
    <w:semiHidden/>
    <w:unhideWhenUsed/>
    <w:rsid w:val="00CC25AD"/>
    <w:rPr>
      <w:sz w:val="16"/>
      <w:szCs w:val="16"/>
    </w:rPr>
  </w:style>
  <w:style w:type="paragraph" w:styleId="CommentText">
    <w:name w:val="annotation text"/>
    <w:basedOn w:val="Normal"/>
    <w:link w:val="CommentTextChar"/>
    <w:uiPriority w:val="99"/>
    <w:unhideWhenUsed/>
    <w:rsid w:val="00CC25AD"/>
    <w:pPr>
      <w:spacing w:line="240" w:lineRule="auto"/>
    </w:pPr>
    <w:rPr>
      <w:sz w:val="20"/>
      <w:szCs w:val="20"/>
    </w:rPr>
  </w:style>
  <w:style w:type="character" w:styleId="CommentTextChar" w:customStyle="1">
    <w:name w:val="Comment Text Char"/>
    <w:basedOn w:val="DefaultParagraphFont"/>
    <w:link w:val="CommentText"/>
    <w:uiPriority w:val="99"/>
    <w:rsid w:val="00CC25AD"/>
    <w:rPr>
      <w:sz w:val="20"/>
      <w:szCs w:val="20"/>
    </w:rPr>
  </w:style>
  <w:style w:type="paragraph" w:styleId="CommentSubject">
    <w:name w:val="annotation subject"/>
    <w:basedOn w:val="CommentText"/>
    <w:next w:val="CommentText"/>
    <w:link w:val="CommentSubjectChar"/>
    <w:uiPriority w:val="99"/>
    <w:semiHidden/>
    <w:unhideWhenUsed/>
    <w:rsid w:val="00CC25AD"/>
    <w:rPr>
      <w:b/>
      <w:bCs/>
    </w:rPr>
  </w:style>
  <w:style w:type="character" w:styleId="CommentSubjectChar" w:customStyle="1">
    <w:name w:val="Comment Subject Char"/>
    <w:basedOn w:val="CommentTextChar"/>
    <w:link w:val="CommentSubject"/>
    <w:uiPriority w:val="99"/>
    <w:semiHidden/>
    <w:rsid w:val="00CC25AD"/>
    <w:rPr>
      <w:b/>
      <w:bCs/>
      <w:sz w:val="20"/>
      <w:szCs w:val="20"/>
    </w:rPr>
  </w:style>
  <w:style w:type="character" w:styleId="Hyperlink">
    <w:name w:val="Hyperlink"/>
    <w:basedOn w:val="DefaultParagraphFont"/>
    <w:uiPriority w:val="99"/>
    <w:unhideWhenUsed/>
    <w:rsid w:val="00CC25AD"/>
    <w:rPr>
      <w:color w:val="467886" w:themeColor="hyperlink"/>
      <w:u w:val="single"/>
    </w:rPr>
  </w:style>
  <w:style w:type="character" w:styleId="UnresolvedMention">
    <w:name w:val="Unresolved Mention"/>
    <w:basedOn w:val="DefaultParagraphFont"/>
    <w:uiPriority w:val="99"/>
    <w:semiHidden/>
    <w:unhideWhenUsed/>
    <w:rsid w:val="00CC25AD"/>
    <w:rPr>
      <w:color w:val="605E5C"/>
      <w:shd w:val="clear" w:color="auto" w:fill="E1DFDD"/>
    </w:rPr>
  </w:style>
  <w:style w:type="character" w:styleId="FollowedHyperlink">
    <w:name w:val="FollowedHyperlink"/>
    <w:basedOn w:val="DefaultParagraphFont"/>
    <w:uiPriority w:val="99"/>
    <w:semiHidden/>
    <w:unhideWhenUsed/>
    <w:rsid w:val="00CC25AD"/>
    <w:rPr>
      <w:color w:val="96607D" w:themeColor="followedHyperlink"/>
      <w:u w:val="single"/>
    </w:rPr>
  </w:style>
  <w:style w:type="paragraph" w:styleId="NormalWeb">
    <w:name w:val="Normal (Web)"/>
    <w:basedOn w:val="Normal"/>
    <w:uiPriority w:val="99"/>
    <w:semiHidden/>
    <w:unhideWhenUsed/>
    <w:rsid w:val="001A55F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customXml" Target="../customXml/item2.xml" Id="rId15"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https://www.topuniversities.com/world-university-rankings" TargetMode="External" Id="R423d0508dda14b6b" /><Relationship Type="http://schemas.openxmlformats.org/officeDocument/2006/relationships/hyperlink" Target="https://www.topuniversities.com/world-university-rankings/methodology" TargetMode="External" Id="R80ebae2ad41a4c86" /><Relationship Type="http://schemas.openxmlformats.org/officeDocument/2006/relationships/hyperlink" Target="https://www.topuniversities.com/world-university-rankings/methodology" TargetMode="External" Id="R18fe31393b8449cc" /><Relationship Type="http://schemas.openxmlformats.org/officeDocument/2006/relationships/hyperlink" Target="https://www.topuniversities.com/world-university-rankings" TargetMode="External" Id="Re1cdb36b21204c24" /><Relationship Type="http://schemas.openxmlformats.org/officeDocument/2006/relationships/hyperlink" Target="https://www.linkedin.com/in/simona-bizzozero/" TargetMode="External" Id="Re16787c9b0ad416e" /><Relationship Type="http://schemas.openxmlformats.org/officeDocument/2006/relationships/hyperlink" Target="mailto:William.barbieri@qs.com" TargetMode="External" Id="Rcdbfe80b162d4054" /><Relationship Type="http://schemas.openxmlformats.org/officeDocument/2006/relationships/hyperlink" Target="http://www.topuniversities.com/" TargetMode="External" Id="Ref69fd1936424db5" /><Relationship Type="http://schemas.microsoft.com/office/2020/10/relationships/intelligence" Target="intelligence2.xml" Id="R4e8d4121a4f548a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E7D80358B05498AAD86436FFF3841" ma:contentTypeVersion="18" ma:contentTypeDescription="Create a new document." ma:contentTypeScope="" ma:versionID="aeb23b0220247b39bb13556bfa61ed08">
  <xsd:schema xmlns:xsd="http://www.w3.org/2001/XMLSchema" xmlns:xs="http://www.w3.org/2001/XMLSchema" xmlns:p="http://schemas.microsoft.com/office/2006/metadata/properties" xmlns:ns2="0bfbcbea-6f95-4c61-b234-a6bbe804a9e6" xmlns:ns3="d1395174-bdeb-4ce1-892c-65ecf02aaaf8" targetNamespace="http://schemas.microsoft.com/office/2006/metadata/properties" ma:root="true" ma:fieldsID="443d749eda87b5f1d4b61f95be378174" ns2:_="" ns3:_="">
    <xsd:import namespace="0bfbcbea-6f95-4c61-b234-a6bbe804a9e6"/>
    <xsd:import namespace="d1395174-bdeb-4ce1-892c-65ecf02aaa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cbea-6f95-4c61-b234-a6bbe804a9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a89a7e-35a0-4c85-9e66-9ece76e32d86}" ma:internalName="TaxCatchAll" ma:showField="CatchAllData" ma:web="0bfbcbea-6f95-4c61-b234-a6bbe804a9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395174-bdeb-4ce1-892c-65ecf02aaa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0a45ee-8771-4b9b-8262-76eb4a5fdb7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fbcbea-6f95-4c61-b234-a6bbe804a9e6" xsi:nil="true"/>
    <lcf76f155ced4ddcb4097134ff3c332f xmlns="d1395174-bdeb-4ce1-892c-65ecf02aaa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B3F7DC-C33F-4F57-8AD1-87C0ECA59FE8}"/>
</file>

<file path=customXml/itemProps2.xml><?xml version="1.0" encoding="utf-8"?>
<ds:datastoreItem xmlns:ds="http://schemas.openxmlformats.org/officeDocument/2006/customXml" ds:itemID="{48DBBE4A-0315-409F-A628-F3B3756C9E4C}"/>
</file>

<file path=customXml/itemProps3.xml><?xml version="1.0" encoding="utf-8"?>
<ds:datastoreItem xmlns:ds="http://schemas.openxmlformats.org/officeDocument/2006/customXml" ds:itemID="{F20EC3B1-3BDC-451B-B959-50337FEDF1A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Quacquarelli-Symonds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William Barbieri</dc:creator>
  <keywords/>
  <dc:description/>
  <lastModifiedBy>William Barbieri</lastModifiedBy>
  <revision>10</revision>
  <dcterms:created xsi:type="dcterms:W3CDTF">2026-05-14T15:07:00.0000000Z</dcterms:created>
  <dcterms:modified xsi:type="dcterms:W3CDTF">2026-06-16T09:28:28.4869624Z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0x0101003E0E7D80358B05498AAD86436FFF3841</vt:lpwstr>
  </property>
  <property fmtid="{D5CDD505-2E9C-101B-9397-08002B2CF9AE}" pid="3" name="MediaServiceImageTags">
    <vt:lpwstr/>
  </property>
</Properties>
</file>