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6132" w:rsidR="005A298B" w:rsidP="001C4444" w:rsidRDefault="005A298B" w14:paraId="2B85FDB5" w14:textId="684F6EA7">
      <w:pPr>
        <w:pStyle w:val="paragraph"/>
        <w:spacing w:before="0" w:beforeAutospacing="0" w:after="160" w:afterAutospacing="0" w:line="360" w:lineRule="auto"/>
        <w:jc w:val="center"/>
        <w:textAlignment w:val="baseline"/>
        <w:rPr>
          <w:rFonts w:ascii="Calibri" w:hAnsi="Calibri" w:cs="Calibri"/>
          <w:sz w:val="22"/>
          <w:szCs w:val="22"/>
          <w:lang w:val="es-ES"/>
        </w:rPr>
      </w:pPr>
      <w:r w:rsidRPr="00086132">
        <w:rPr>
          <w:rStyle w:val="normaltextrun"/>
          <w:rFonts w:ascii="Calibri" w:hAnsi="Calibri" w:cs="Calibri"/>
          <w:b/>
          <w:bCs/>
          <w:color w:val="FF0000"/>
          <w:sz w:val="22"/>
          <w:szCs w:val="22"/>
          <w:lang w:val="es-ES"/>
        </w:rPr>
        <w:t>INFORMACIÓN SUJETA A EMBARGO HASTA EL JUEVES 18</w:t>
      </w:r>
      <w:r w:rsidR="00086132">
        <w:rPr>
          <w:rStyle w:val="normaltextrun"/>
          <w:rFonts w:ascii="Calibri" w:hAnsi="Calibri" w:cs="Calibri"/>
          <w:b/>
          <w:bCs/>
          <w:color w:val="FF0000"/>
          <w:sz w:val="22"/>
          <w:szCs w:val="22"/>
          <w:lang w:val="es-ES"/>
        </w:rPr>
        <w:t xml:space="preserve"> DE </w:t>
      </w:r>
      <w:r w:rsidRPr="00086132">
        <w:rPr>
          <w:rStyle w:val="normaltextrun"/>
          <w:rFonts w:ascii="Calibri" w:hAnsi="Calibri" w:cs="Calibri"/>
          <w:b/>
          <w:bCs/>
          <w:color w:val="FF0000"/>
          <w:sz w:val="22"/>
          <w:szCs w:val="22"/>
          <w:lang w:val="es-ES"/>
        </w:rPr>
        <w:t>JUNIO A LAS 01:01 CEST  </w:t>
      </w:r>
    </w:p>
    <w:p w:rsidRPr="00086132" w:rsidR="00086132" w:rsidP="00086132" w:rsidRDefault="00086132" w14:paraId="24922651" w14:textId="77777777">
      <w:pPr>
        <w:pStyle w:val="paragraph"/>
        <w:spacing w:before="0" w:beforeAutospacing="0" w:after="160" w:afterAutospacing="0" w:line="360" w:lineRule="auto"/>
        <w:jc w:val="center"/>
        <w:textAlignment w:val="baseline"/>
        <w:rPr>
          <w:rFonts w:ascii="Calibri" w:hAnsi="Calibri" w:cs="Calibri"/>
          <w:sz w:val="22"/>
          <w:szCs w:val="22"/>
          <w:lang w:val="es-ES"/>
        </w:rPr>
      </w:pPr>
      <w:r w:rsidRPr="00086132">
        <w:rPr>
          <w:rStyle w:val="normaltextrun"/>
          <w:rFonts w:ascii="Calibri" w:hAnsi="Calibri" w:cs="Calibri"/>
          <w:b/>
          <w:bCs/>
          <w:sz w:val="22"/>
          <w:szCs w:val="22"/>
          <w:lang w:val="es-ES"/>
        </w:rPr>
        <w:t>QS World University Rankings 2027</w:t>
      </w:r>
      <w:r w:rsidRPr="00086132">
        <w:rPr>
          <w:rStyle w:val="eop"/>
          <w:rFonts w:ascii="Calibri" w:hAnsi="Calibri" w:cs="Calibri"/>
          <w:sz w:val="22"/>
          <w:szCs w:val="22"/>
          <w:lang w:val="es-ES"/>
        </w:rPr>
        <w:t> </w:t>
      </w:r>
    </w:p>
    <w:p w:rsidR="005A298B" w:rsidP="61E66F8C" w:rsidRDefault="7EF75A12" w14:paraId="408ACAB0" w14:textId="399DF7B5">
      <w:pPr>
        <w:pStyle w:val="paragraph"/>
        <w:spacing w:before="0" w:beforeAutospacing="off" w:after="160" w:afterAutospacing="off" w:line="360" w:lineRule="auto"/>
        <w:jc w:val="center"/>
        <w:textAlignment w:val="baseline"/>
        <w:rPr>
          <w:rStyle w:val="normaltextrun"/>
          <w:rFonts w:ascii="Calibri" w:hAnsi="Calibri" w:cs="Calibri"/>
          <w:b w:val="1"/>
          <w:bCs w:val="1"/>
          <w:sz w:val="22"/>
          <w:szCs w:val="22"/>
          <w:lang w:val="es-ES"/>
        </w:rPr>
      </w:pPr>
      <w:r w:rsidRPr="61E66F8C" w:rsidR="33F7F51A">
        <w:rPr>
          <w:rFonts w:ascii="Calibri" w:hAnsi="Calibri" w:cs="Calibri"/>
          <w:b w:val="1"/>
          <w:bCs w:val="1"/>
          <w:sz w:val="28"/>
          <w:szCs w:val="28"/>
          <w:lang w:val="es-ES"/>
        </w:rPr>
        <w:t xml:space="preserve">España amplía su representación a pesar de los descensos generalizados en el sector y los </w:t>
      </w:r>
      <w:r w:rsidRPr="61E66F8C" w:rsidR="3FA04752">
        <w:rPr>
          <w:rFonts w:ascii="Calibri" w:hAnsi="Calibri" w:cs="Calibri"/>
          <w:b w:val="1"/>
          <w:bCs w:val="1"/>
          <w:sz w:val="28"/>
          <w:szCs w:val="28"/>
          <w:lang w:val="es-ES"/>
        </w:rPr>
        <w:t xml:space="preserve">continuos </w:t>
      </w:r>
      <w:r w:rsidRPr="61E66F8C" w:rsidR="33F7F51A">
        <w:rPr>
          <w:rFonts w:ascii="Calibri" w:hAnsi="Calibri" w:cs="Calibri"/>
          <w:b w:val="1"/>
          <w:bCs w:val="1"/>
          <w:sz w:val="28"/>
          <w:szCs w:val="28"/>
          <w:lang w:val="es-ES"/>
        </w:rPr>
        <w:t>retos en materia de investigación</w:t>
      </w:r>
      <w:r>
        <w:br/>
      </w:r>
      <w:r w:rsidRPr="61E66F8C" w:rsidR="65BF3CD7">
        <w:rPr>
          <w:rStyle w:val="normaltextrun"/>
          <w:rFonts w:ascii="Calibri" w:hAnsi="Calibri" w:cs="Calibri"/>
          <w:b w:val="1"/>
          <w:bCs w:val="1"/>
          <w:sz w:val="22"/>
          <w:szCs w:val="22"/>
          <w:lang w:val="es-ES"/>
        </w:rPr>
        <w:t>#QSWUR</w:t>
      </w:r>
    </w:p>
    <w:p w:rsidR="005A298B" w:rsidP="4AE0A751" w:rsidRDefault="7EF75A12" w14:paraId="278E9256" w14:textId="32ECA515">
      <w:pPr>
        <w:pStyle w:val="paragraph"/>
        <w:spacing w:before="0" w:beforeAutospacing="0" w:after="160" w:afterAutospacing="0" w:line="360" w:lineRule="auto"/>
        <w:textAlignment w:val="baseline"/>
        <w:rPr>
          <w:rFonts w:ascii="Calibri" w:hAnsi="Calibri" w:cs="Calibri"/>
          <w:i/>
          <w:iCs/>
          <w:sz w:val="22"/>
          <w:szCs w:val="22"/>
          <w:lang w:val="es-ES"/>
        </w:rPr>
      </w:pPr>
      <w:r w:rsidRPr="00086132">
        <w:rPr>
          <w:rFonts w:ascii="Calibri" w:hAnsi="Calibri" w:cs="Calibri"/>
          <w:i/>
          <w:iCs/>
          <w:sz w:val="22"/>
          <w:szCs w:val="22"/>
          <w:lang w:val="es-ES"/>
        </w:rPr>
        <w:t xml:space="preserve">España mantiene el segundo mayor número de universidades clasificadas de la UE y suma 10 nuevas incorporaciones este año, pero </w:t>
      </w:r>
      <w:r w:rsidR="00086132">
        <w:rPr>
          <w:rFonts w:ascii="Calibri" w:hAnsi="Calibri" w:cs="Calibri"/>
          <w:i/>
          <w:iCs/>
          <w:sz w:val="22"/>
          <w:szCs w:val="22"/>
          <w:lang w:val="es-ES"/>
        </w:rPr>
        <w:t>los descensos</w:t>
      </w:r>
      <w:r w:rsidRPr="00086132" w:rsidR="00086132">
        <w:rPr>
          <w:rFonts w:ascii="Calibri" w:hAnsi="Calibri" w:cs="Calibri"/>
          <w:i/>
          <w:iCs/>
          <w:sz w:val="22"/>
          <w:szCs w:val="22"/>
          <w:lang w:val="es-ES"/>
        </w:rPr>
        <w:t xml:space="preserve"> generalizados</w:t>
      </w:r>
      <w:r w:rsidRPr="00086132">
        <w:rPr>
          <w:rFonts w:ascii="Calibri" w:hAnsi="Calibri" w:cs="Calibri"/>
          <w:i/>
          <w:iCs/>
          <w:sz w:val="22"/>
          <w:szCs w:val="22"/>
          <w:lang w:val="es-ES"/>
        </w:rPr>
        <w:t xml:space="preserve"> en la clasificación y el escaso impacto de la investigación ponen de</w:t>
      </w:r>
      <w:r w:rsidR="00086132">
        <w:rPr>
          <w:rFonts w:ascii="Calibri" w:hAnsi="Calibri" w:cs="Calibri"/>
          <w:i/>
          <w:iCs/>
          <w:sz w:val="22"/>
          <w:szCs w:val="22"/>
          <w:lang w:val="es-ES"/>
        </w:rPr>
        <w:t xml:space="preserve"> manifiesto</w:t>
      </w:r>
      <w:r w:rsidRPr="00086132">
        <w:rPr>
          <w:rFonts w:ascii="Calibri" w:hAnsi="Calibri" w:cs="Calibri"/>
          <w:i/>
          <w:iCs/>
          <w:sz w:val="22"/>
          <w:szCs w:val="22"/>
          <w:lang w:val="es-ES"/>
        </w:rPr>
        <w:t xml:space="preserve"> la creciente presi</w:t>
      </w:r>
      <w:r w:rsidR="00086132">
        <w:rPr>
          <w:rFonts w:ascii="Calibri" w:hAnsi="Calibri" w:cs="Calibri"/>
          <w:i/>
          <w:iCs/>
          <w:sz w:val="22"/>
          <w:szCs w:val="22"/>
          <w:lang w:val="es-ES"/>
        </w:rPr>
        <w:t>ó</w:t>
      </w:r>
      <w:r w:rsidRPr="00086132">
        <w:rPr>
          <w:rFonts w:ascii="Calibri" w:hAnsi="Calibri" w:cs="Calibri"/>
          <w:i/>
          <w:iCs/>
          <w:sz w:val="22"/>
          <w:szCs w:val="22"/>
          <w:lang w:val="es-ES"/>
        </w:rPr>
        <w:t>n competitiva en todo el sector.</w:t>
      </w:r>
    </w:p>
    <w:p w:rsidRPr="00086132" w:rsidR="005A298B" w:rsidP="4AE0A751" w:rsidRDefault="2C7D2B67" w14:paraId="2390C343" w14:textId="79C9D89E">
      <w:pPr>
        <w:pStyle w:val="paragraph"/>
        <w:spacing w:before="0" w:beforeAutospacing="0" w:after="160" w:afterAutospacing="0" w:line="360" w:lineRule="auto"/>
        <w:textAlignment w:val="baseline"/>
        <w:rPr>
          <w:rFonts w:ascii="Calibri" w:hAnsi="Calibri" w:cs="Calibri"/>
          <w:sz w:val="16"/>
          <w:szCs w:val="16"/>
          <w:lang w:val="es-ES"/>
        </w:rPr>
      </w:pPr>
      <w:r w:rsidRPr="00086132">
        <w:rPr>
          <w:rStyle w:val="normaltextrun"/>
          <w:rFonts w:ascii="Calibri" w:hAnsi="Calibri" w:cs="Calibri"/>
          <w:b/>
          <w:bCs/>
          <w:i/>
          <w:iCs/>
          <w:sz w:val="22"/>
          <w:szCs w:val="22"/>
          <w:lang w:val="es-ES"/>
        </w:rPr>
        <w:t>Londres, 18</w:t>
      </w:r>
      <w:r w:rsidR="00086132">
        <w:rPr>
          <w:rStyle w:val="normaltextrun"/>
          <w:rFonts w:ascii="Calibri" w:hAnsi="Calibri" w:cs="Calibri"/>
          <w:b/>
          <w:bCs/>
          <w:i/>
          <w:iCs/>
          <w:sz w:val="22"/>
          <w:szCs w:val="22"/>
          <w:lang w:val="es-ES"/>
        </w:rPr>
        <w:t xml:space="preserve"> de </w:t>
      </w:r>
      <w:r w:rsidRPr="00086132">
        <w:rPr>
          <w:rStyle w:val="normaltextrun"/>
          <w:rFonts w:ascii="Calibri" w:hAnsi="Calibri" w:cs="Calibri"/>
          <w:b/>
          <w:bCs/>
          <w:i/>
          <w:iCs/>
          <w:sz w:val="22"/>
          <w:szCs w:val="22"/>
          <w:lang w:val="es-ES"/>
        </w:rPr>
        <w:t xml:space="preserve">junio de 2026: </w:t>
      </w:r>
      <w:r w:rsidRPr="00C160B0" w:rsidR="00086132">
        <w:rPr>
          <w:rStyle w:val="normaltextrun"/>
          <w:rFonts w:ascii="Calibri" w:hAnsi="Calibri" w:cs="Calibri" w:eastAsiaTheme="majorEastAsia"/>
          <w:sz w:val="22"/>
          <w:szCs w:val="22"/>
          <w:lang w:val="es-ES"/>
        </w:rPr>
        <w:t xml:space="preserve">QS </w:t>
      </w:r>
      <w:proofErr w:type="spellStart"/>
      <w:r w:rsidRPr="00C160B0" w:rsidR="00086132">
        <w:rPr>
          <w:rStyle w:val="normaltextrun"/>
          <w:rFonts w:ascii="Calibri" w:hAnsi="Calibri" w:cs="Calibri" w:eastAsiaTheme="majorEastAsia"/>
          <w:sz w:val="22"/>
          <w:szCs w:val="22"/>
          <w:lang w:val="es-ES"/>
        </w:rPr>
        <w:t>Quacquarelli</w:t>
      </w:r>
      <w:proofErr w:type="spellEnd"/>
      <w:r w:rsidRPr="00C160B0" w:rsidR="00086132">
        <w:rPr>
          <w:rStyle w:val="normaltextrun"/>
          <w:rFonts w:ascii="Calibri" w:hAnsi="Calibri" w:cs="Calibri" w:eastAsiaTheme="majorEastAsia"/>
          <w:sz w:val="22"/>
          <w:szCs w:val="22"/>
          <w:lang w:val="es-ES"/>
        </w:rPr>
        <w:t xml:space="preserve"> Symonds, expertos mundiales en educación empresarial, han publicado hoy la </w:t>
      </w:r>
      <w:r w:rsidRPr="00086132">
        <w:rPr>
          <w:rStyle w:val="normaltextrun"/>
          <w:rFonts w:ascii="Calibri" w:hAnsi="Calibri" w:cs="Calibri"/>
          <w:sz w:val="22"/>
          <w:szCs w:val="22"/>
          <w:lang w:val="es-ES"/>
        </w:rPr>
        <w:t>23</w:t>
      </w:r>
      <w:r w:rsidR="00086132">
        <w:rPr>
          <w:rStyle w:val="normaltextrun"/>
          <w:rFonts w:ascii="Calibri" w:hAnsi="Calibri" w:cs="Calibri"/>
          <w:sz w:val="22"/>
          <w:szCs w:val="22"/>
          <w:lang w:val="es-ES"/>
        </w:rPr>
        <w:t>.</w:t>
      </w:r>
      <w:r w:rsidRPr="00086132">
        <w:rPr>
          <w:rStyle w:val="normaltextrun"/>
          <w:rFonts w:ascii="Calibri" w:hAnsi="Calibri" w:cs="Calibri"/>
          <w:sz w:val="22"/>
          <w:szCs w:val="22"/>
          <w:vertAlign w:val="superscript"/>
          <w:lang w:val="es-ES"/>
        </w:rPr>
        <w:t>ª</w:t>
      </w:r>
      <w:r w:rsidRPr="00086132">
        <w:rPr>
          <w:rStyle w:val="normaltextrun"/>
          <w:rFonts w:ascii="Calibri" w:hAnsi="Calibri" w:cs="Calibri"/>
          <w:sz w:val="22"/>
          <w:szCs w:val="22"/>
          <w:lang w:val="es-ES"/>
        </w:rPr>
        <w:t xml:space="preserve">edición anual del </w:t>
      </w:r>
      <w:hyperlink r:id="rId8">
        <w:r w:rsidRPr="00086132">
          <w:rPr>
            <w:rStyle w:val="normaltextrun"/>
            <w:rFonts w:ascii="Calibri" w:hAnsi="Calibri" w:cs="Calibri"/>
            <w:color w:val="467886"/>
            <w:sz w:val="22"/>
            <w:szCs w:val="22"/>
            <w:u w:val="single"/>
            <w:lang w:val="es-ES"/>
          </w:rPr>
          <w:t>QS World University Rankings</w:t>
        </w:r>
      </w:hyperlink>
      <w:r w:rsidRPr="00086132">
        <w:rPr>
          <w:rStyle w:val="normaltextrun"/>
          <w:rFonts w:ascii="Calibri" w:hAnsi="Calibri" w:cs="Calibri"/>
          <w:sz w:val="22"/>
          <w:szCs w:val="22"/>
          <w:lang w:val="es-ES"/>
        </w:rPr>
        <w:t xml:space="preserve">*. </w:t>
      </w:r>
      <w:r w:rsidRPr="00086132" w:rsidR="005A298B">
        <w:rPr>
          <w:lang w:val="es-ES"/>
        </w:rPr>
        <w:br/>
      </w:r>
      <w:r w:rsidRPr="00086132">
        <w:rPr>
          <w:rStyle w:val="normaltextrun"/>
          <w:rFonts w:ascii="Calibri" w:hAnsi="Calibri" w:cs="Calibri"/>
          <w:color w:val="C00000"/>
          <w:sz w:val="16"/>
          <w:szCs w:val="16"/>
          <w:lang w:val="es-ES"/>
        </w:rPr>
        <w:t>*El enlace se actualizará con los últimos resultados cuando se levante el embargo.  </w:t>
      </w:r>
    </w:p>
    <w:p w:rsidR="005A298B" w:rsidP="001C4444" w:rsidRDefault="005A298B" w14:paraId="039FA8E6" w14:textId="3768A760">
      <w:pPr>
        <w:pStyle w:val="paragraph"/>
        <w:spacing w:before="0" w:beforeAutospacing="0" w:after="160" w:afterAutospacing="0" w:line="360" w:lineRule="auto"/>
        <w:textAlignment w:val="baseline"/>
        <w:rPr>
          <w:rStyle w:val="normaltextrun"/>
          <w:rFonts w:ascii="Calibri" w:hAnsi="Calibri" w:cs="Calibri"/>
          <w:sz w:val="22"/>
          <w:szCs w:val="22"/>
          <w:lang w:val="es-ES"/>
        </w:rPr>
      </w:pPr>
      <w:r w:rsidRPr="00086132">
        <w:rPr>
          <w:rStyle w:val="normaltextrun"/>
          <w:rFonts w:ascii="Calibri" w:hAnsi="Calibri" w:cs="Calibri"/>
          <w:sz w:val="22"/>
          <w:szCs w:val="22"/>
          <w:lang w:val="es-ES"/>
        </w:rPr>
        <w:t xml:space="preserve">Por decimoquinto año consecutivo, </w:t>
      </w:r>
      <w:r w:rsidRPr="00086132">
        <w:rPr>
          <w:rStyle w:val="normaltextrun"/>
          <w:rFonts w:ascii="Calibri" w:hAnsi="Calibri" w:cs="Calibri"/>
          <w:b/>
          <w:bCs/>
          <w:sz w:val="22"/>
          <w:szCs w:val="22"/>
          <w:lang w:val="es-ES"/>
        </w:rPr>
        <w:t xml:space="preserve">el Instituto Tecnológico de Massachusetts (MIT) </w:t>
      </w:r>
      <w:r w:rsidRPr="00086132">
        <w:rPr>
          <w:rStyle w:val="normaltextrun"/>
          <w:rFonts w:ascii="Calibri" w:hAnsi="Calibri" w:cs="Calibri"/>
          <w:sz w:val="22"/>
          <w:szCs w:val="22"/>
          <w:lang w:val="es-ES"/>
        </w:rPr>
        <w:t xml:space="preserve">conserva el primer puesto. </w:t>
      </w:r>
      <w:r w:rsidRPr="00086132">
        <w:rPr>
          <w:rStyle w:val="normaltextrun"/>
          <w:rFonts w:ascii="Calibri" w:hAnsi="Calibri" w:cs="Calibri"/>
          <w:b/>
          <w:bCs/>
          <w:sz w:val="22"/>
          <w:szCs w:val="22"/>
          <w:lang w:val="es-ES"/>
        </w:rPr>
        <w:t xml:space="preserve">Imperial College de Londres </w:t>
      </w:r>
      <w:r w:rsidRPr="00086132">
        <w:rPr>
          <w:rStyle w:val="normaltextrun"/>
          <w:rFonts w:ascii="Calibri" w:hAnsi="Calibri" w:cs="Calibri"/>
          <w:sz w:val="22"/>
          <w:szCs w:val="22"/>
          <w:lang w:val="es-ES"/>
        </w:rPr>
        <w:t xml:space="preserve">se mantiene en segundo lugar por tercer año consecutivo, compartiendo ahora la posición con </w:t>
      </w:r>
      <w:r w:rsidRPr="00086132">
        <w:rPr>
          <w:rStyle w:val="normaltextrun"/>
          <w:rFonts w:ascii="Calibri" w:hAnsi="Calibri" w:cs="Calibri"/>
          <w:b/>
          <w:bCs/>
          <w:sz w:val="22"/>
          <w:szCs w:val="22"/>
          <w:lang w:val="es-ES"/>
        </w:rPr>
        <w:t>la Universidad de Stanford</w:t>
      </w:r>
      <w:r w:rsidRPr="00086132">
        <w:rPr>
          <w:rStyle w:val="normaltextrun"/>
          <w:rFonts w:ascii="Calibri" w:hAnsi="Calibri" w:cs="Calibri"/>
          <w:sz w:val="22"/>
          <w:szCs w:val="22"/>
          <w:lang w:val="es-ES"/>
        </w:rPr>
        <w:t xml:space="preserve">, que asciende desde el tercer puesto. </w:t>
      </w:r>
    </w:p>
    <w:p w:rsidR="00CB506D" w:rsidP="001C4444" w:rsidRDefault="005A298B" w14:paraId="13DF3C11" w14:textId="003139DD">
      <w:pPr>
        <w:pStyle w:val="paragraph"/>
        <w:spacing w:before="0" w:beforeAutospacing="0" w:after="160" w:afterAutospacing="0" w:line="360" w:lineRule="auto"/>
        <w:textAlignment w:val="baseline"/>
        <w:rPr>
          <w:rFonts w:ascii="Calibri" w:hAnsi="Calibri" w:cs="Calibri"/>
          <w:sz w:val="22"/>
          <w:szCs w:val="22"/>
          <w:lang w:val="es-ES"/>
        </w:rPr>
      </w:pPr>
      <w:r w:rsidRPr="00086132">
        <w:rPr>
          <w:rStyle w:val="normaltextrun"/>
          <w:rFonts w:ascii="Calibri" w:hAnsi="Calibri" w:cs="Calibri"/>
          <w:sz w:val="22"/>
          <w:szCs w:val="22"/>
          <w:lang w:val="es-ES"/>
        </w:rPr>
        <w:t>Los resultados muestran que</w:t>
      </w:r>
      <w:r w:rsidRPr="00086132" w:rsidR="008A5A97">
        <w:rPr>
          <w:rFonts w:ascii="Calibri" w:hAnsi="Calibri" w:cs="Calibri"/>
          <w:b/>
          <w:bCs/>
          <w:sz w:val="22"/>
          <w:szCs w:val="22"/>
          <w:lang w:val="es-ES"/>
        </w:rPr>
        <w:t xml:space="preserve"> 24 de las 38 universidades españolas que figuraban </w:t>
      </w:r>
      <w:r w:rsidR="00FB3D2C">
        <w:rPr>
          <w:rFonts w:ascii="Calibri" w:hAnsi="Calibri" w:cs="Calibri"/>
          <w:b/>
          <w:bCs/>
          <w:sz w:val="22"/>
          <w:szCs w:val="22"/>
          <w:lang w:val="es-ES"/>
        </w:rPr>
        <w:t>en el ranking</w:t>
      </w:r>
      <w:r w:rsidRPr="00086132" w:rsidR="008A5A97">
        <w:rPr>
          <w:rFonts w:ascii="Calibri" w:hAnsi="Calibri" w:cs="Calibri"/>
          <w:b/>
          <w:bCs/>
          <w:sz w:val="22"/>
          <w:szCs w:val="22"/>
          <w:lang w:val="es-ES"/>
        </w:rPr>
        <w:t xml:space="preserve"> anterior </w:t>
      </w:r>
      <w:r w:rsidR="00FB3D2C">
        <w:rPr>
          <w:rFonts w:ascii="Calibri" w:hAnsi="Calibri" w:cs="Calibri"/>
          <w:b/>
          <w:bCs/>
          <w:sz w:val="22"/>
          <w:szCs w:val="22"/>
          <w:lang w:val="es-ES"/>
        </w:rPr>
        <w:t>descienden</w:t>
      </w:r>
      <w:r w:rsidRPr="00086132" w:rsidR="008A5A97">
        <w:rPr>
          <w:rFonts w:ascii="Calibri" w:hAnsi="Calibri" w:cs="Calibri"/>
          <w:b/>
          <w:bCs/>
          <w:sz w:val="22"/>
          <w:szCs w:val="22"/>
          <w:lang w:val="es-ES"/>
        </w:rPr>
        <w:t xml:space="preserve"> puestos, incluidas las cuatro instituciones mejor clasificadas. </w:t>
      </w:r>
      <w:r w:rsidRPr="00086132" w:rsidR="008A5A97">
        <w:rPr>
          <w:rFonts w:ascii="Calibri" w:hAnsi="Calibri" w:cs="Calibri"/>
          <w:sz w:val="22"/>
          <w:szCs w:val="22"/>
          <w:lang w:val="es-ES"/>
        </w:rPr>
        <w:t xml:space="preserve">Sin embargo, en esta edición se incorporan 10 universidades </w:t>
      </w:r>
      <w:r w:rsidR="00FB3D2C">
        <w:rPr>
          <w:rFonts w:ascii="Calibri" w:hAnsi="Calibri" w:cs="Calibri"/>
          <w:sz w:val="22"/>
          <w:szCs w:val="22"/>
          <w:lang w:val="es-ES"/>
        </w:rPr>
        <w:t>al ranking,</w:t>
      </w:r>
      <w:r w:rsidRPr="00086132" w:rsidR="008A5A97">
        <w:rPr>
          <w:rFonts w:ascii="Calibri" w:hAnsi="Calibri" w:cs="Calibri"/>
          <w:sz w:val="22"/>
          <w:szCs w:val="22"/>
          <w:lang w:val="es-ES"/>
        </w:rPr>
        <w:t xml:space="preserve"> </w:t>
      </w:r>
      <w:r w:rsidR="00FB3D2C">
        <w:rPr>
          <w:rFonts w:ascii="Calibri" w:hAnsi="Calibri" w:cs="Calibri"/>
          <w:sz w:val="22"/>
          <w:szCs w:val="22"/>
          <w:lang w:val="es-ES"/>
        </w:rPr>
        <w:t>la tercera cifra</w:t>
      </w:r>
      <w:r w:rsidRPr="00086132" w:rsidR="008A5A97">
        <w:rPr>
          <w:rFonts w:ascii="Calibri" w:hAnsi="Calibri" w:cs="Calibri"/>
          <w:sz w:val="22"/>
          <w:szCs w:val="22"/>
          <w:lang w:val="es-ES"/>
        </w:rPr>
        <w:t xml:space="preserve"> más alt</w:t>
      </w:r>
      <w:r w:rsidR="00FB3D2C">
        <w:rPr>
          <w:rFonts w:ascii="Calibri" w:hAnsi="Calibri" w:cs="Calibri"/>
          <w:sz w:val="22"/>
          <w:szCs w:val="22"/>
          <w:lang w:val="es-ES"/>
        </w:rPr>
        <w:t xml:space="preserve">a </w:t>
      </w:r>
      <w:r w:rsidRPr="00086132" w:rsidR="008A5A97">
        <w:rPr>
          <w:rFonts w:ascii="Calibri" w:hAnsi="Calibri" w:cs="Calibri"/>
          <w:sz w:val="22"/>
          <w:szCs w:val="22"/>
          <w:lang w:val="es-ES"/>
        </w:rPr>
        <w:t>del mundo, solo por detrás de China y Alemania.</w:t>
      </w:r>
    </w:p>
    <w:p w:rsidRPr="00086132" w:rsidR="00714150" w:rsidP="001C4444" w:rsidRDefault="008A5A97" w14:paraId="7666F9D2" w14:textId="67F1B9A3">
      <w:pPr>
        <w:pStyle w:val="paragraph"/>
        <w:spacing w:before="0" w:beforeAutospacing="0" w:after="160" w:afterAutospacing="0" w:line="360" w:lineRule="auto"/>
        <w:textAlignment w:val="baseline"/>
        <w:rPr>
          <w:rFonts w:ascii="Calibri" w:hAnsi="Calibri" w:cs="Calibri"/>
          <w:sz w:val="22"/>
          <w:szCs w:val="22"/>
          <w:lang w:val="es-ES"/>
        </w:rPr>
      </w:pPr>
      <w:r w:rsidRPr="00086132">
        <w:rPr>
          <w:rFonts w:ascii="Calibri" w:hAnsi="Calibri" w:cs="Calibri"/>
          <w:sz w:val="22"/>
          <w:szCs w:val="22"/>
          <w:lang w:val="es-ES"/>
        </w:rPr>
        <w:t xml:space="preserve">La </w:t>
      </w:r>
      <w:proofErr w:type="spellStart"/>
      <w:r w:rsidRPr="00086132">
        <w:rPr>
          <w:rFonts w:ascii="Calibri" w:hAnsi="Calibri" w:cs="Calibri"/>
          <w:sz w:val="22"/>
          <w:szCs w:val="22"/>
          <w:lang w:val="es-ES"/>
        </w:rPr>
        <w:t>Universitat</w:t>
      </w:r>
      <w:proofErr w:type="spellEnd"/>
      <w:r w:rsidRPr="00086132">
        <w:rPr>
          <w:rFonts w:ascii="Calibri" w:hAnsi="Calibri" w:cs="Calibri"/>
          <w:sz w:val="22"/>
          <w:szCs w:val="22"/>
          <w:lang w:val="es-ES"/>
        </w:rPr>
        <w:t xml:space="preserve"> de Barcelona sigue siendo la universidad mejor clasificada de España, situándose</w:t>
      </w:r>
      <w:r w:rsidR="00FB3D2C">
        <w:rPr>
          <w:rFonts w:ascii="Calibri" w:hAnsi="Calibri" w:cs="Calibri"/>
          <w:sz w:val="22"/>
          <w:szCs w:val="22"/>
          <w:lang w:val="es-ES"/>
        </w:rPr>
        <w:t xml:space="preserve"> en el puesto</w:t>
      </w:r>
      <w:r w:rsidRPr="00086132">
        <w:rPr>
          <w:rFonts w:ascii="Calibri" w:hAnsi="Calibri" w:cs="Calibri"/>
          <w:sz w:val="22"/>
          <w:szCs w:val="22"/>
          <w:lang w:val="es-ES"/>
        </w:rPr>
        <w:t xml:space="preserve"> 165, </w:t>
      </w:r>
      <w:r w:rsidR="00FB3D2C">
        <w:rPr>
          <w:rFonts w:ascii="Calibri" w:hAnsi="Calibri" w:cs="Calibri"/>
          <w:sz w:val="22"/>
          <w:szCs w:val="22"/>
          <w:lang w:val="es-ES"/>
        </w:rPr>
        <w:t>frente al</w:t>
      </w:r>
      <w:r w:rsidRPr="00086132">
        <w:rPr>
          <w:rFonts w:ascii="Calibri" w:hAnsi="Calibri" w:cs="Calibri"/>
          <w:sz w:val="22"/>
          <w:szCs w:val="22"/>
          <w:lang w:val="es-ES"/>
        </w:rPr>
        <w:t xml:space="preserve"> 160 </w:t>
      </w:r>
      <w:r w:rsidR="00FB3D2C">
        <w:rPr>
          <w:rFonts w:ascii="Calibri" w:hAnsi="Calibri" w:cs="Calibri"/>
          <w:sz w:val="22"/>
          <w:szCs w:val="22"/>
          <w:lang w:val="es-ES"/>
        </w:rPr>
        <w:t>de</w:t>
      </w:r>
      <w:r w:rsidRPr="00086132">
        <w:rPr>
          <w:rFonts w:ascii="Calibri" w:hAnsi="Calibri" w:cs="Calibri"/>
          <w:sz w:val="22"/>
          <w:szCs w:val="22"/>
          <w:lang w:val="es-ES"/>
        </w:rPr>
        <w:t xml:space="preserve"> la edición anterior. Este año, la Universidad Complutense de Madrid ocupa el segundo puesto, en</w:t>
      </w:r>
      <w:r w:rsidR="00FB3D2C">
        <w:rPr>
          <w:rFonts w:ascii="Calibri" w:hAnsi="Calibri" w:cs="Calibri"/>
          <w:sz w:val="22"/>
          <w:szCs w:val="22"/>
          <w:lang w:val="es-ES"/>
        </w:rPr>
        <w:t xml:space="preserve"> el</w:t>
      </w:r>
      <w:r w:rsidRPr="00086132">
        <w:rPr>
          <w:rFonts w:ascii="Calibri" w:hAnsi="Calibri" w:cs="Calibri"/>
          <w:sz w:val="22"/>
          <w:szCs w:val="22"/>
          <w:lang w:val="es-ES"/>
        </w:rPr>
        <w:t xml:space="preserve"> 199, superando a la </w:t>
      </w:r>
      <w:proofErr w:type="spellStart"/>
      <w:r w:rsidRPr="00086132">
        <w:rPr>
          <w:rFonts w:ascii="Calibri" w:hAnsi="Calibri" w:cs="Calibri"/>
          <w:sz w:val="22"/>
          <w:szCs w:val="22"/>
          <w:lang w:val="es-ES"/>
        </w:rPr>
        <w:t>Universitat</w:t>
      </w:r>
      <w:proofErr w:type="spellEnd"/>
      <w:r w:rsidRPr="00086132">
        <w:rPr>
          <w:rFonts w:ascii="Calibri" w:hAnsi="Calibri" w:cs="Calibri"/>
          <w:sz w:val="22"/>
          <w:szCs w:val="22"/>
          <w:lang w:val="es-ES"/>
        </w:rPr>
        <w:t xml:space="preserve"> </w:t>
      </w:r>
      <w:proofErr w:type="spellStart"/>
      <w:r w:rsidRPr="00086132">
        <w:rPr>
          <w:rFonts w:ascii="Calibri" w:hAnsi="Calibri" w:cs="Calibri"/>
          <w:sz w:val="22"/>
          <w:szCs w:val="22"/>
          <w:lang w:val="es-ES"/>
        </w:rPr>
        <w:t>Autònoma</w:t>
      </w:r>
      <w:proofErr w:type="spellEnd"/>
      <w:r w:rsidRPr="00086132">
        <w:rPr>
          <w:rFonts w:ascii="Calibri" w:hAnsi="Calibri" w:cs="Calibri"/>
          <w:sz w:val="22"/>
          <w:szCs w:val="22"/>
          <w:lang w:val="es-ES"/>
        </w:rPr>
        <w:t xml:space="preserve"> de Barcelona, que se sitúa</w:t>
      </w:r>
      <w:r w:rsidR="00FB3D2C">
        <w:rPr>
          <w:rFonts w:ascii="Calibri" w:hAnsi="Calibri" w:cs="Calibri"/>
          <w:sz w:val="22"/>
          <w:szCs w:val="22"/>
          <w:lang w:val="es-ES"/>
        </w:rPr>
        <w:t xml:space="preserve"> en el</w:t>
      </w:r>
      <w:r w:rsidRPr="00086132">
        <w:rPr>
          <w:rFonts w:ascii="Calibri" w:hAnsi="Calibri" w:cs="Calibri"/>
          <w:sz w:val="22"/>
          <w:szCs w:val="22"/>
          <w:lang w:val="es-ES"/>
        </w:rPr>
        <w:t xml:space="preserve"> 211, quedando fuera del top 200. </w:t>
      </w:r>
    </w:p>
    <w:tbl>
      <w:tblPr>
        <w:tblW w:w="8217" w:type="dxa"/>
        <w:jc w:val="center"/>
        <w:tblLook w:val="04A0" w:firstRow="1" w:lastRow="0" w:firstColumn="1" w:lastColumn="0" w:noHBand="0" w:noVBand="1"/>
      </w:tblPr>
      <w:tblGrid>
        <w:gridCol w:w="1242"/>
        <w:gridCol w:w="1242"/>
        <w:gridCol w:w="5954"/>
      </w:tblGrid>
      <w:tr w:rsidRPr="00086132" w:rsidR="004F60AE" w:rsidTr="006A0633" w14:paraId="3B4FC321" w14:textId="77777777">
        <w:trPr>
          <w:trHeight w:val="300"/>
          <w:jc w:val="center"/>
        </w:trPr>
        <w:tc>
          <w:tcPr>
            <w:tcW w:w="8217" w:type="dxa"/>
            <w:gridSpan w:val="3"/>
            <w:tcBorders>
              <w:top w:val="single" w:color="auto" w:sz="4" w:space="0"/>
              <w:left w:val="single" w:color="auto" w:sz="4" w:space="0"/>
              <w:bottom w:val="single" w:color="auto" w:sz="4" w:space="0"/>
              <w:right w:val="single" w:color="auto" w:sz="4" w:space="0"/>
            </w:tcBorders>
            <w:noWrap/>
            <w:vAlign w:val="bottom"/>
            <w:hideMark/>
          </w:tcPr>
          <w:p w:rsidRPr="00086132" w:rsidR="004F60AE" w:rsidP="004F60AE" w:rsidRDefault="004F60AE" w14:paraId="4D2FBC18" w14:textId="38A0C236">
            <w:pPr>
              <w:spacing w:after="0" w:line="240" w:lineRule="auto"/>
              <w:jc w:val="center"/>
              <w:rPr>
                <w:rFonts w:ascii="Calibri" w:hAnsi="Calibri" w:eastAsia="Times New Roman" w:cs="Calibri"/>
                <w:b/>
                <w:bCs/>
                <w:kern w:val="0"/>
                <w:sz w:val="20"/>
                <w:szCs w:val="20"/>
                <w:lang w:val="es-ES" w:eastAsia="en-GB"/>
                <w14:ligatures w14:val="none"/>
              </w:rPr>
            </w:pPr>
            <w:r w:rsidRPr="00086132">
              <w:rPr>
                <w:rFonts w:ascii="Calibri" w:hAnsi="Calibri" w:eastAsia="Times New Roman" w:cs="Calibri"/>
                <w:b/>
                <w:bCs/>
                <w:kern w:val="0"/>
                <w:sz w:val="20"/>
                <w:szCs w:val="20"/>
                <w:lang w:val="es-ES" w:eastAsia="en-GB"/>
                <w14:ligatures w14:val="none"/>
              </w:rPr>
              <w:t xml:space="preserve">Tabla 1: </w:t>
            </w:r>
            <w:r w:rsidRPr="00086132" w:rsidR="00A92749">
              <w:rPr>
                <w:rFonts w:ascii="Calibri" w:hAnsi="Calibri" w:eastAsia="Times New Roman" w:cs="Calibri"/>
                <w:b/>
                <w:bCs/>
                <w:kern w:val="0"/>
                <w:sz w:val="20"/>
                <w:szCs w:val="20"/>
                <w:lang w:val="es-ES" w:eastAsia="en-GB"/>
                <w14:ligatures w14:val="none"/>
              </w:rPr>
              <w:t xml:space="preserve">España – Universidades </w:t>
            </w:r>
            <w:r w:rsidRPr="00086132">
              <w:rPr>
                <w:rFonts w:ascii="Calibri" w:hAnsi="Calibri" w:eastAsia="Times New Roman" w:cs="Calibri"/>
                <w:b/>
                <w:bCs/>
                <w:kern w:val="0"/>
                <w:sz w:val="20"/>
                <w:szCs w:val="20"/>
                <w:lang w:val="es-ES" w:eastAsia="en-GB"/>
                <w14:ligatures w14:val="none"/>
              </w:rPr>
              <w:t>entre las 500 mejores</w:t>
            </w:r>
          </w:p>
        </w:tc>
      </w:tr>
      <w:tr w:rsidRPr="004F60AE" w:rsidR="004F60AE" w:rsidTr="006A0633" w14:paraId="37D37BB2"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FB3D2C" w:rsidRDefault="00FB3D2C" w14:paraId="7DFD9DBB" w14:textId="6C68DC6D">
            <w:pPr>
              <w:spacing w:after="0" w:line="240" w:lineRule="auto"/>
              <w:rPr>
                <w:rFonts w:ascii="Calibri" w:hAnsi="Calibri" w:eastAsia="Times New Roman" w:cs="Calibri"/>
                <w:b/>
                <w:bCs/>
                <w:kern w:val="0"/>
                <w:sz w:val="20"/>
                <w:szCs w:val="20"/>
                <w:lang w:eastAsia="en-GB"/>
                <w14:ligatures w14:val="none"/>
              </w:rPr>
            </w:pPr>
            <w:proofErr w:type="spellStart"/>
            <w:r w:rsidRPr="004F60AE">
              <w:rPr>
                <w:rFonts w:ascii="Calibri" w:hAnsi="Calibri" w:eastAsia="Times New Roman" w:cs="Calibri"/>
                <w:b/>
                <w:bCs/>
                <w:kern w:val="0"/>
                <w:sz w:val="20"/>
                <w:szCs w:val="20"/>
                <w:lang w:eastAsia="en-GB"/>
                <w14:ligatures w14:val="none"/>
              </w:rPr>
              <w:t>Clasificación</w:t>
            </w:r>
            <w:proofErr w:type="spellEnd"/>
            <w:r w:rsidRPr="004F60AE">
              <w:rPr>
                <w:rFonts w:ascii="Calibri" w:hAnsi="Calibri" w:eastAsia="Times New Roman" w:cs="Calibri"/>
                <w:b/>
                <w:bCs/>
                <w:kern w:val="0"/>
                <w:sz w:val="20"/>
                <w:szCs w:val="20"/>
                <w:lang w:eastAsia="en-GB"/>
                <w14:ligatures w14:val="none"/>
              </w:rPr>
              <w:t xml:space="preserve"> </w:t>
            </w:r>
            <w:proofErr w:type="spellStart"/>
            <w:r>
              <w:rPr>
                <w:rFonts w:ascii="Calibri" w:hAnsi="Calibri" w:eastAsia="Times New Roman" w:cs="Calibri"/>
                <w:b/>
                <w:bCs/>
                <w:kern w:val="0"/>
                <w:sz w:val="20"/>
                <w:szCs w:val="20"/>
                <w:lang w:eastAsia="en-GB"/>
                <w14:ligatures w14:val="none"/>
              </w:rPr>
              <w:t>en</w:t>
            </w:r>
            <w:proofErr w:type="spellEnd"/>
            <w:r w:rsidRPr="004F60AE">
              <w:rPr>
                <w:rFonts w:ascii="Calibri" w:hAnsi="Calibri" w:eastAsia="Times New Roman" w:cs="Calibri"/>
                <w:b/>
                <w:bCs/>
                <w:kern w:val="0"/>
                <w:sz w:val="20"/>
                <w:szCs w:val="20"/>
                <w:lang w:eastAsia="en-GB"/>
                <w14:ligatures w14:val="none"/>
              </w:rPr>
              <w:t xml:space="preserve"> </w:t>
            </w:r>
            <w:r w:rsidRPr="004F60AE" w:rsidR="004F60AE">
              <w:rPr>
                <w:rFonts w:ascii="Calibri" w:hAnsi="Calibri" w:eastAsia="Times New Roman" w:cs="Calibri"/>
                <w:b/>
                <w:bCs/>
                <w:kern w:val="0"/>
                <w:sz w:val="20"/>
                <w:szCs w:val="20"/>
                <w:lang w:eastAsia="en-GB"/>
                <w14:ligatures w14:val="none"/>
              </w:rPr>
              <w:t xml:space="preserve">2027 </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0598F97C" w14:textId="4335312C">
            <w:pPr>
              <w:spacing w:after="0" w:line="240" w:lineRule="auto"/>
              <w:jc w:val="center"/>
              <w:rPr>
                <w:rFonts w:ascii="Calibri" w:hAnsi="Calibri" w:eastAsia="Times New Roman" w:cs="Calibri"/>
                <w:b/>
                <w:bCs/>
                <w:kern w:val="0"/>
                <w:sz w:val="20"/>
                <w:szCs w:val="20"/>
                <w:lang w:eastAsia="en-GB"/>
                <w14:ligatures w14:val="none"/>
              </w:rPr>
            </w:pPr>
            <w:r w:rsidRPr="004F60AE">
              <w:rPr>
                <w:rFonts w:ascii="Calibri" w:hAnsi="Calibri" w:eastAsia="Times New Roman" w:cs="Calibri"/>
                <w:b/>
                <w:bCs/>
                <w:kern w:val="0"/>
                <w:sz w:val="20"/>
                <w:szCs w:val="20"/>
                <w:lang w:eastAsia="en-GB"/>
                <w14:ligatures w14:val="none"/>
              </w:rPr>
              <w:t xml:space="preserve">Clasificación </w:t>
            </w:r>
            <w:r w:rsidR="001C4444">
              <w:rPr>
                <w:rFonts w:ascii="Calibri" w:hAnsi="Calibri" w:eastAsia="Times New Roman" w:cs="Calibri"/>
                <w:b/>
                <w:bCs/>
                <w:kern w:val="0"/>
                <w:sz w:val="20"/>
                <w:szCs w:val="20"/>
                <w:lang w:eastAsia="en-GB"/>
                <w14:ligatures w14:val="none"/>
              </w:rPr>
              <w:t>en 2026</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58A7C8E9" w14:textId="77777777">
            <w:pPr>
              <w:spacing w:after="0" w:line="240" w:lineRule="auto"/>
              <w:rPr>
                <w:rFonts w:ascii="Calibri" w:hAnsi="Calibri" w:eastAsia="Times New Roman" w:cs="Calibri"/>
                <w:b/>
                <w:bCs/>
                <w:kern w:val="0"/>
                <w:sz w:val="20"/>
                <w:szCs w:val="20"/>
                <w:lang w:eastAsia="en-GB"/>
                <w14:ligatures w14:val="none"/>
              </w:rPr>
            </w:pPr>
            <w:r w:rsidRPr="004F60AE">
              <w:rPr>
                <w:rFonts w:ascii="Calibri" w:hAnsi="Calibri" w:eastAsia="Times New Roman" w:cs="Calibri"/>
                <w:b/>
                <w:bCs/>
                <w:kern w:val="0"/>
                <w:sz w:val="20"/>
                <w:szCs w:val="20"/>
                <w:lang w:eastAsia="en-GB"/>
                <w14:ligatures w14:val="none"/>
              </w:rPr>
              <w:t>Institución</w:t>
            </w:r>
          </w:p>
        </w:tc>
      </w:tr>
      <w:tr w:rsidRPr="004F60AE" w:rsidR="004F60AE" w:rsidTr="006A0633" w14:paraId="73A08BD6"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473D2877"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165</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10463E0B"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160</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71C6D32E"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de Barcelona</w:t>
            </w:r>
          </w:p>
        </w:tc>
      </w:tr>
      <w:tr w:rsidRPr="004F60AE" w:rsidR="004F60AE" w:rsidTr="006A0633" w14:paraId="6F32C188"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712181F5"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199</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2D837F87"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187</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28C02AB2"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Complutense de Madrid</w:t>
            </w:r>
          </w:p>
        </w:tc>
      </w:tr>
      <w:tr w:rsidRPr="004F60AE" w:rsidR="004F60AE" w:rsidTr="006A0633" w14:paraId="45EE1397"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09377A91"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211</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3065BF67"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172</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4A6CAB22"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Autónoma de Barcelona</w:t>
            </w:r>
          </w:p>
        </w:tc>
      </w:tr>
      <w:tr w:rsidRPr="004F60AE" w:rsidR="004F60AE" w:rsidTr="006A0633" w14:paraId="2B55FA83"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59725255"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226</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11CD75DA"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206</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122EE00C"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Autónoma de Madrid</w:t>
            </w:r>
          </w:p>
        </w:tc>
      </w:tr>
      <w:tr w:rsidRPr="004F60AE" w:rsidR="004F60AE" w:rsidTr="006A0633" w14:paraId="3BEAA5C6"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1C783860"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263</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4B178AF9"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265</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613B52F7"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Pompeu Fabra (Barcelona)</w:t>
            </w:r>
          </w:p>
        </w:tc>
      </w:tr>
      <w:tr w:rsidRPr="004F60AE" w:rsidR="004F60AE" w:rsidTr="006A0633" w14:paraId="407EAA0A"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33E660D1"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279</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281CFB22"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262</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7ADB0C95"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de Navarra</w:t>
            </w:r>
          </w:p>
        </w:tc>
      </w:tr>
      <w:tr w:rsidRPr="00086132" w:rsidR="004F60AE" w:rsidTr="006A0633" w14:paraId="445A1C4D"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564E097D"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314</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0ACEE1AC"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301</w:t>
            </w:r>
          </w:p>
        </w:tc>
        <w:tc>
          <w:tcPr>
            <w:tcW w:w="5954" w:type="dxa"/>
            <w:tcBorders>
              <w:top w:val="nil"/>
              <w:left w:val="nil"/>
              <w:bottom w:val="single" w:color="auto" w:sz="4" w:space="0"/>
              <w:right w:val="single" w:color="auto" w:sz="4" w:space="0"/>
            </w:tcBorders>
            <w:noWrap/>
            <w:vAlign w:val="bottom"/>
            <w:hideMark/>
          </w:tcPr>
          <w:p w:rsidRPr="00086132" w:rsidR="004F60AE" w:rsidP="004F60AE" w:rsidRDefault="004F60AE" w14:paraId="3DB42E1E" w14:textId="77777777">
            <w:pPr>
              <w:spacing w:after="0" w:line="240" w:lineRule="auto"/>
              <w:rPr>
                <w:rFonts w:ascii="Calibri" w:hAnsi="Calibri" w:eastAsia="Times New Roman" w:cs="Calibri"/>
                <w:kern w:val="0"/>
                <w:sz w:val="20"/>
                <w:szCs w:val="20"/>
                <w:lang w:val="es-ES" w:eastAsia="en-GB"/>
                <w14:ligatures w14:val="none"/>
              </w:rPr>
            </w:pPr>
            <w:r w:rsidRPr="00086132">
              <w:rPr>
                <w:rFonts w:ascii="Calibri" w:hAnsi="Calibri" w:eastAsia="Times New Roman" w:cs="Calibri"/>
                <w:kern w:val="0"/>
                <w:sz w:val="20"/>
                <w:szCs w:val="20"/>
                <w:lang w:val="es-ES" w:eastAsia="en-GB"/>
                <w14:ligatures w14:val="none"/>
              </w:rPr>
              <w:t>Universidad Carlos III de Madrid (UC3M)</w:t>
            </w:r>
          </w:p>
        </w:tc>
      </w:tr>
      <w:tr w:rsidRPr="00086132" w:rsidR="004F60AE" w:rsidTr="006A0633" w14:paraId="47A0A7C9"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4FFC82EC"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364</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2537867B"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334</w:t>
            </w:r>
          </w:p>
        </w:tc>
        <w:tc>
          <w:tcPr>
            <w:tcW w:w="5954" w:type="dxa"/>
            <w:tcBorders>
              <w:top w:val="nil"/>
              <w:left w:val="nil"/>
              <w:bottom w:val="single" w:color="auto" w:sz="4" w:space="0"/>
              <w:right w:val="single" w:color="auto" w:sz="4" w:space="0"/>
            </w:tcBorders>
            <w:noWrap/>
            <w:vAlign w:val="bottom"/>
            <w:hideMark/>
          </w:tcPr>
          <w:p w:rsidRPr="00086132" w:rsidR="004F60AE" w:rsidP="004F60AE" w:rsidRDefault="004F60AE" w14:paraId="5E2EE1FE" w14:textId="77777777">
            <w:pPr>
              <w:spacing w:after="0" w:line="240" w:lineRule="auto"/>
              <w:rPr>
                <w:rFonts w:ascii="Calibri" w:hAnsi="Calibri" w:eastAsia="Times New Roman" w:cs="Calibri"/>
                <w:kern w:val="0"/>
                <w:sz w:val="20"/>
                <w:szCs w:val="20"/>
                <w:lang w:val="es-ES" w:eastAsia="en-GB"/>
                <w14:ligatures w14:val="none"/>
              </w:rPr>
            </w:pPr>
            <w:r w:rsidRPr="00086132">
              <w:rPr>
                <w:rFonts w:ascii="Calibri" w:hAnsi="Calibri" w:eastAsia="Times New Roman" w:cs="Calibri"/>
                <w:kern w:val="0"/>
                <w:sz w:val="20"/>
                <w:szCs w:val="20"/>
                <w:lang w:val="es-ES" w:eastAsia="en-GB"/>
                <w14:ligatures w14:val="none"/>
              </w:rPr>
              <w:t>Universidad Politécnica de Madrid (UPM)</w:t>
            </w:r>
          </w:p>
        </w:tc>
      </w:tr>
      <w:tr w:rsidRPr="00086132" w:rsidR="004F60AE" w:rsidTr="006A0633" w14:paraId="2386BA70"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7951B40A"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434</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4E74E4A9"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392</w:t>
            </w:r>
          </w:p>
        </w:tc>
        <w:tc>
          <w:tcPr>
            <w:tcW w:w="5954" w:type="dxa"/>
            <w:tcBorders>
              <w:top w:val="nil"/>
              <w:left w:val="nil"/>
              <w:bottom w:val="single" w:color="auto" w:sz="4" w:space="0"/>
              <w:right w:val="single" w:color="auto" w:sz="4" w:space="0"/>
            </w:tcBorders>
            <w:noWrap/>
            <w:vAlign w:val="bottom"/>
            <w:hideMark/>
          </w:tcPr>
          <w:p w:rsidRPr="00086132" w:rsidR="004F60AE" w:rsidP="004F60AE" w:rsidRDefault="004F60AE" w14:paraId="7574F923" w14:textId="77777777">
            <w:pPr>
              <w:spacing w:after="0" w:line="240" w:lineRule="auto"/>
              <w:rPr>
                <w:rFonts w:ascii="Calibri" w:hAnsi="Calibri" w:eastAsia="Times New Roman" w:cs="Calibri"/>
                <w:kern w:val="0"/>
                <w:sz w:val="20"/>
                <w:szCs w:val="20"/>
                <w:lang w:val="es-ES" w:eastAsia="en-GB"/>
                <w14:ligatures w14:val="none"/>
              </w:rPr>
            </w:pPr>
            <w:r w:rsidRPr="00086132">
              <w:rPr>
                <w:rFonts w:ascii="Calibri" w:hAnsi="Calibri" w:eastAsia="Times New Roman" w:cs="Calibri"/>
                <w:kern w:val="0"/>
                <w:sz w:val="20"/>
                <w:szCs w:val="20"/>
                <w:lang w:val="es-ES" w:eastAsia="en-GB"/>
                <w14:ligatures w14:val="none"/>
              </w:rPr>
              <w:t xml:space="preserve">Universidad Politécnica de Cataluña · </w:t>
            </w:r>
            <w:proofErr w:type="spellStart"/>
            <w:r w:rsidRPr="00086132">
              <w:rPr>
                <w:rFonts w:ascii="Calibri" w:hAnsi="Calibri" w:eastAsia="Times New Roman" w:cs="Calibri"/>
                <w:kern w:val="0"/>
                <w:sz w:val="20"/>
                <w:szCs w:val="20"/>
                <w:lang w:val="es-ES" w:eastAsia="en-GB"/>
                <w14:ligatures w14:val="none"/>
              </w:rPr>
              <w:t>BarcelonaTech</w:t>
            </w:r>
            <w:proofErr w:type="spellEnd"/>
            <w:r w:rsidRPr="00086132">
              <w:rPr>
                <w:rFonts w:ascii="Calibri" w:hAnsi="Calibri" w:eastAsia="Times New Roman" w:cs="Calibri"/>
                <w:kern w:val="0"/>
                <w:sz w:val="20"/>
                <w:szCs w:val="20"/>
                <w:lang w:val="es-ES" w:eastAsia="en-GB"/>
                <w14:ligatures w14:val="none"/>
              </w:rPr>
              <w:t xml:space="preserve"> (UPC)</w:t>
            </w:r>
          </w:p>
        </w:tc>
      </w:tr>
      <w:tr w:rsidRPr="004F60AE" w:rsidR="004F60AE" w:rsidTr="006A0633" w14:paraId="15D2A711"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02AB24F2"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434</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7AB50B9D"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422</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0E8B6C9E"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Politécnica de Valencia</w:t>
            </w:r>
          </w:p>
        </w:tc>
      </w:tr>
      <w:tr w:rsidRPr="004F60AE" w:rsidR="004F60AE" w:rsidTr="006A0633" w14:paraId="3FD6EBC2"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4D5FFD75"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446</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768B59E0"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438</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5B03E78D"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IE</w:t>
            </w:r>
          </w:p>
        </w:tc>
      </w:tr>
      <w:tr w:rsidRPr="004F60AE" w:rsidR="004F60AE" w:rsidTr="006A0633" w14:paraId="771681CD"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331F3BA8"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447</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50406F20"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401</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52F40952"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de Granada</w:t>
            </w:r>
          </w:p>
        </w:tc>
      </w:tr>
      <w:tr w:rsidRPr="004F60AE" w:rsidR="004F60AE" w:rsidTr="006A0633" w14:paraId="6A0000E7"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357E8EB5"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449</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53358BB2"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430</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483D129E"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de Valencia</w:t>
            </w:r>
          </w:p>
        </w:tc>
      </w:tr>
      <w:tr w:rsidRPr="004F60AE" w:rsidR="004F60AE" w:rsidTr="006A0633" w14:paraId="0A7A8610"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1D2F7F07"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474</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4228F29B"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436</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37EFED97"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Ramon Llull</w:t>
            </w:r>
          </w:p>
        </w:tc>
      </w:tr>
      <w:tr w:rsidRPr="004F60AE" w:rsidR="004F60AE" w:rsidTr="006A0633" w14:paraId="48BA63DC" w14:textId="77777777">
        <w:trPr>
          <w:trHeight w:val="300"/>
          <w:jc w:val="center"/>
        </w:trPr>
        <w:tc>
          <w:tcPr>
            <w:tcW w:w="1129" w:type="dxa"/>
            <w:tcBorders>
              <w:top w:val="nil"/>
              <w:left w:val="single" w:color="auto" w:sz="4" w:space="0"/>
              <w:bottom w:val="single" w:color="auto" w:sz="4" w:space="0"/>
              <w:right w:val="single" w:color="auto" w:sz="4" w:space="0"/>
            </w:tcBorders>
            <w:noWrap/>
            <w:vAlign w:val="bottom"/>
            <w:hideMark/>
          </w:tcPr>
          <w:p w:rsidRPr="004F60AE" w:rsidR="004F60AE" w:rsidP="004F60AE" w:rsidRDefault="004F60AE" w14:paraId="1975BCE0"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485</w:t>
            </w:r>
          </w:p>
        </w:tc>
        <w:tc>
          <w:tcPr>
            <w:tcW w:w="1134" w:type="dxa"/>
            <w:tcBorders>
              <w:top w:val="nil"/>
              <w:left w:val="nil"/>
              <w:bottom w:val="single" w:color="auto" w:sz="4" w:space="0"/>
              <w:right w:val="single" w:color="auto" w:sz="4" w:space="0"/>
            </w:tcBorders>
            <w:noWrap/>
            <w:vAlign w:val="bottom"/>
            <w:hideMark/>
          </w:tcPr>
          <w:p w:rsidRPr="004F60AE" w:rsidR="004F60AE" w:rsidP="004F60AE" w:rsidRDefault="004F60AE" w14:paraId="54DBA588" w14:textId="77777777">
            <w:pPr>
              <w:spacing w:after="0" w:line="240" w:lineRule="auto"/>
              <w:jc w:val="center"/>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469</w:t>
            </w:r>
          </w:p>
        </w:tc>
        <w:tc>
          <w:tcPr>
            <w:tcW w:w="5954" w:type="dxa"/>
            <w:tcBorders>
              <w:top w:val="nil"/>
              <w:left w:val="nil"/>
              <w:bottom w:val="single" w:color="auto" w:sz="4" w:space="0"/>
              <w:right w:val="single" w:color="auto" w:sz="4" w:space="0"/>
            </w:tcBorders>
            <w:noWrap/>
            <w:vAlign w:val="bottom"/>
            <w:hideMark/>
          </w:tcPr>
          <w:p w:rsidRPr="004F60AE" w:rsidR="004F60AE" w:rsidP="004F60AE" w:rsidRDefault="004F60AE" w14:paraId="096A292D" w14:textId="77777777">
            <w:pPr>
              <w:spacing w:after="0" w:line="240" w:lineRule="auto"/>
              <w:rPr>
                <w:rFonts w:ascii="Calibri" w:hAnsi="Calibri" w:eastAsia="Times New Roman" w:cs="Calibri"/>
                <w:kern w:val="0"/>
                <w:sz w:val="20"/>
                <w:szCs w:val="20"/>
                <w:lang w:eastAsia="en-GB"/>
                <w14:ligatures w14:val="none"/>
              </w:rPr>
            </w:pPr>
            <w:r w:rsidRPr="004F60AE">
              <w:rPr>
                <w:rFonts w:ascii="Calibri" w:hAnsi="Calibri" w:eastAsia="Times New Roman" w:cs="Calibri"/>
                <w:kern w:val="0"/>
                <w:sz w:val="20"/>
                <w:szCs w:val="20"/>
                <w:lang w:eastAsia="en-GB"/>
                <w14:ligatures w14:val="none"/>
              </w:rPr>
              <w:t>Universidad de Sevilla</w:t>
            </w:r>
          </w:p>
        </w:tc>
      </w:tr>
    </w:tbl>
    <w:p w:rsidR="008A5A97" w:rsidP="005A298B" w:rsidRDefault="008A5A97" w14:paraId="62B2A2F1" w14:textId="77777777">
      <w:pPr>
        <w:pStyle w:val="paragraph"/>
        <w:spacing w:before="0" w:beforeAutospacing="0" w:after="0" w:afterAutospacing="0"/>
        <w:textAlignment w:val="baseline"/>
        <w:rPr>
          <w:rFonts w:ascii="Segoe UI" w:hAnsi="Segoe UI" w:cs="Segoe UI"/>
          <w:sz w:val="18"/>
          <w:szCs w:val="18"/>
        </w:rPr>
      </w:pPr>
    </w:p>
    <w:p w:rsidR="00A92749" w:rsidP="001C4444" w:rsidRDefault="00A92749" w14:paraId="6D26A4E3" w14:textId="59B5D251">
      <w:pPr>
        <w:pStyle w:val="paragraph"/>
        <w:spacing w:before="0" w:beforeAutospacing="0" w:after="160" w:afterAutospacing="0" w:line="360" w:lineRule="auto"/>
        <w:textAlignment w:val="baseline"/>
        <w:rPr>
          <w:rFonts w:ascii="Calibri" w:hAnsi="Calibri" w:cs="Calibri"/>
          <w:b/>
          <w:bCs/>
          <w:sz w:val="22"/>
          <w:szCs w:val="22"/>
          <w:u w:val="single"/>
        </w:rPr>
      </w:pPr>
      <w:r w:rsidRPr="001C4444">
        <w:rPr>
          <w:rFonts w:ascii="Calibri" w:hAnsi="Calibri" w:cs="Calibri"/>
          <w:b/>
          <w:bCs/>
          <w:sz w:val="22"/>
          <w:szCs w:val="22"/>
          <w:u w:val="single"/>
        </w:rPr>
        <w:t>Resumen ejecutivo: España</w:t>
      </w:r>
    </w:p>
    <w:p w:rsidR="001C4444" w:rsidP="615351E5" w:rsidRDefault="7258E878" w14:paraId="31DA2060" w14:textId="2F3799C1">
      <w:pPr>
        <w:pStyle w:val="paragraph"/>
        <w:numPr>
          <w:ilvl w:val="0"/>
          <w:numId w:val="12"/>
        </w:numPr>
        <w:spacing w:before="0" w:beforeAutospacing="0" w:after="160" w:afterAutospacing="0" w:line="360" w:lineRule="auto"/>
        <w:ind w:left="714" w:hanging="357"/>
        <w:textAlignment w:val="baseline"/>
        <w:rPr>
          <w:rFonts w:ascii="Calibri" w:hAnsi="Calibri" w:cs="Calibri"/>
          <w:sz w:val="22"/>
          <w:szCs w:val="22"/>
          <w:lang w:val="es-ES"/>
        </w:rPr>
      </w:pPr>
      <w:r w:rsidRPr="00086132">
        <w:rPr>
          <w:rFonts w:ascii="Calibri" w:hAnsi="Calibri" w:cs="Calibri"/>
          <w:sz w:val="22"/>
          <w:szCs w:val="22"/>
          <w:lang w:val="es-ES"/>
        </w:rPr>
        <w:t>España es el segundo país de la UE con mayor número de universidades clasificadas, pero carece de una institución entre las 100 mejores del mundo</w:t>
      </w:r>
      <w:r w:rsidRPr="00086132" w:rsidR="17E8E5B5">
        <w:rPr>
          <w:rFonts w:ascii="Calibri" w:hAnsi="Calibri" w:cs="Calibri"/>
          <w:sz w:val="22"/>
          <w:szCs w:val="22"/>
          <w:lang w:val="es-ES"/>
        </w:rPr>
        <w:t>, algo que nunca ha logrado.</w:t>
      </w:r>
    </w:p>
    <w:p w:rsidR="001C4444" w:rsidP="001C4444" w:rsidRDefault="001C4444" w14:paraId="05E4C52B" w14:textId="1B2D7A31">
      <w:pPr>
        <w:numPr>
          <w:ilvl w:val="0"/>
          <w:numId w:val="12"/>
        </w:numPr>
        <w:spacing w:before="100" w:beforeAutospacing="1"/>
        <w:ind w:left="714" w:hanging="357"/>
        <w:rPr>
          <w:rFonts w:ascii="Calibri" w:hAnsi="Calibri" w:eastAsia="Times New Roman" w:cs="Calibri"/>
          <w:kern w:val="0"/>
          <w:sz w:val="22"/>
          <w:szCs w:val="22"/>
          <w:lang w:val="es-ES" w:eastAsia="en-GB"/>
          <w14:ligatures w14:val="none"/>
        </w:rPr>
      </w:pPr>
      <w:r w:rsidRPr="00086132">
        <w:rPr>
          <w:rFonts w:ascii="Calibri" w:hAnsi="Calibri" w:eastAsia="Times New Roman" w:cs="Calibri"/>
          <w:kern w:val="0"/>
          <w:sz w:val="22"/>
          <w:szCs w:val="22"/>
          <w:lang w:val="es-ES" w:eastAsia="en-GB"/>
          <w14:ligatures w14:val="none"/>
        </w:rPr>
        <w:t xml:space="preserve">Veinticuatro universidades españolas bajan en la clasificación, lo que indica una creciente presión competitiva en medio de preocupaciones sobre la financiación y la productividad </w:t>
      </w:r>
      <w:r w:rsidR="0012396D">
        <w:rPr>
          <w:rFonts w:ascii="Calibri" w:hAnsi="Calibri" w:eastAsia="Times New Roman" w:cs="Calibri"/>
          <w:kern w:val="0"/>
          <w:sz w:val="22"/>
          <w:szCs w:val="22"/>
          <w:lang w:val="es-ES" w:eastAsia="en-GB"/>
          <w14:ligatures w14:val="none"/>
        </w:rPr>
        <w:t>de la investigación.</w:t>
      </w:r>
      <w:r w:rsidRPr="00086132">
        <w:rPr>
          <w:rFonts w:ascii="Calibri" w:hAnsi="Calibri" w:eastAsia="Times New Roman" w:cs="Calibri"/>
          <w:kern w:val="0"/>
          <w:sz w:val="22"/>
          <w:szCs w:val="22"/>
          <w:lang w:val="es-ES" w:eastAsia="en-GB"/>
          <w14:ligatures w14:val="none"/>
        </w:rPr>
        <w:t xml:space="preserve"> </w:t>
      </w:r>
    </w:p>
    <w:p w:rsidR="001C4444" w:rsidP="001C4444" w:rsidRDefault="001C4444" w14:paraId="346CA431" w14:textId="1A82D7F0">
      <w:pPr>
        <w:numPr>
          <w:ilvl w:val="0"/>
          <w:numId w:val="12"/>
        </w:numPr>
        <w:spacing w:before="100" w:beforeAutospacing="1"/>
        <w:ind w:left="714" w:hanging="357"/>
        <w:rPr>
          <w:rFonts w:ascii="Calibri" w:hAnsi="Calibri" w:eastAsia="Times New Roman" w:cs="Calibri"/>
          <w:kern w:val="0"/>
          <w:sz w:val="22"/>
          <w:szCs w:val="22"/>
          <w:lang w:val="es-ES" w:eastAsia="en-GB"/>
          <w14:ligatures w14:val="none"/>
        </w:rPr>
      </w:pPr>
      <w:r w:rsidRPr="00086132">
        <w:rPr>
          <w:rFonts w:ascii="Calibri" w:hAnsi="Calibri" w:eastAsia="Times New Roman" w:cs="Calibri"/>
          <w:kern w:val="0"/>
          <w:sz w:val="22"/>
          <w:szCs w:val="22"/>
          <w:lang w:val="es-ES" w:eastAsia="en-GB"/>
          <w14:ligatures w14:val="none"/>
        </w:rPr>
        <w:t xml:space="preserve">España suma 10 nuevas universidades clasificadas —la tercera posición a nivel mundial, por detrás de China y Alemania—, lo que refleja la continua expansión del sector. </w:t>
      </w:r>
    </w:p>
    <w:p w:rsidRPr="0012396D" w:rsidR="001C4444" w:rsidP="001C4444" w:rsidRDefault="001C4444" w14:paraId="46E3ADAA" w14:textId="3851D411">
      <w:pPr>
        <w:numPr>
          <w:ilvl w:val="0"/>
          <w:numId w:val="12"/>
        </w:numPr>
        <w:spacing w:before="100" w:beforeAutospacing="1"/>
        <w:ind w:left="714" w:hanging="357"/>
        <w:rPr>
          <w:rFonts w:ascii="Calibri" w:hAnsi="Calibri" w:eastAsia="Times New Roman" w:cs="Calibri"/>
          <w:kern w:val="0"/>
          <w:sz w:val="22"/>
          <w:szCs w:val="22"/>
          <w:lang w:val="es-ES" w:eastAsia="en-GB"/>
          <w14:ligatures w14:val="none"/>
        </w:rPr>
      </w:pPr>
      <w:r w:rsidRPr="00086132">
        <w:rPr>
          <w:rFonts w:ascii="Calibri" w:hAnsi="Calibri" w:eastAsia="Times New Roman" w:cs="Calibri"/>
          <w:kern w:val="0"/>
          <w:sz w:val="22"/>
          <w:szCs w:val="22"/>
          <w:lang w:val="es-ES" w:eastAsia="en-GB"/>
          <w14:ligatures w14:val="none"/>
        </w:rPr>
        <w:t xml:space="preserve">La </w:t>
      </w:r>
      <w:proofErr w:type="spellStart"/>
      <w:r w:rsidRPr="00086132">
        <w:rPr>
          <w:rFonts w:ascii="Calibri" w:hAnsi="Calibri" w:eastAsia="Times New Roman" w:cs="Calibri"/>
          <w:kern w:val="0"/>
          <w:sz w:val="22"/>
          <w:szCs w:val="22"/>
          <w:lang w:val="es-ES" w:eastAsia="en-GB"/>
          <w14:ligatures w14:val="none"/>
        </w:rPr>
        <w:t>Universitat</w:t>
      </w:r>
      <w:proofErr w:type="spellEnd"/>
      <w:r w:rsidRPr="00086132">
        <w:rPr>
          <w:rFonts w:ascii="Calibri" w:hAnsi="Calibri" w:eastAsia="Times New Roman" w:cs="Calibri"/>
          <w:kern w:val="0"/>
          <w:sz w:val="22"/>
          <w:szCs w:val="22"/>
          <w:lang w:val="es-ES" w:eastAsia="en-GB"/>
          <w14:ligatures w14:val="none"/>
        </w:rPr>
        <w:t xml:space="preserve"> de Barcelona sigue siendo la institución mejor clasificada de España a pesar de haber bajado puestos, mientras que </w:t>
      </w:r>
      <w:r w:rsidRPr="00086132">
        <w:rPr>
          <w:rFonts w:ascii="Calibri" w:hAnsi="Calibri" w:cs="Calibri"/>
          <w:sz w:val="22"/>
          <w:szCs w:val="22"/>
          <w:lang w:val="es-ES"/>
        </w:rPr>
        <w:t>la Universidad Complutense de Madrid ocupa el segundo lugar a nivel nacional.</w:t>
      </w:r>
    </w:p>
    <w:p w:rsidR="001C4444" w:rsidP="001C4444" w:rsidRDefault="001C4444" w14:paraId="278A1FA3" w14:textId="28D0AC59">
      <w:pPr>
        <w:numPr>
          <w:ilvl w:val="0"/>
          <w:numId w:val="12"/>
        </w:numPr>
        <w:spacing w:before="100" w:beforeAutospacing="1"/>
        <w:ind w:left="714" w:hanging="357"/>
        <w:rPr>
          <w:rFonts w:ascii="Calibri" w:hAnsi="Calibri" w:eastAsia="Times New Roman" w:cs="Calibri"/>
          <w:kern w:val="0"/>
          <w:sz w:val="22"/>
          <w:szCs w:val="22"/>
          <w:lang w:val="es-ES" w:eastAsia="en-GB"/>
          <w14:ligatures w14:val="none"/>
        </w:rPr>
      </w:pPr>
      <w:r w:rsidRPr="00086132">
        <w:rPr>
          <w:rFonts w:ascii="Calibri" w:hAnsi="Calibri" w:eastAsia="Times New Roman" w:cs="Calibri"/>
          <w:kern w:val="0"/>
          <w:sz w:val="22"/>
          <w:szCs w:val="22"/>
          <w:lang w:val="es-ES" w:eastAsia="en-GB"/>
          <w14:ligatures w14:val="none"/>
        </w:rPr>
        <w:t xml:space="preserve">El impacto de la investigación sigue siendo un punto débil estratégico, ya que ninguna universidad española alcanza el top 100 mundial en cuanto a </w:t>
      </w:r>
      <w:r w:rsidR="0012396D">
        <w:rPr>
          <w:rFonts w:ascii="Calibri" w:hAnsi="Calibri" w:eastAsia="Times New Roman" w:cs="Calibri"/>
          <w:kern w:val="0"/>
          <w:sz w:val="22"/>
          <w:szCs w:val="22"/>
          <w:lang w:val="es-ES" w:eastAsia="en-GB"/>
          <w14:ligatures w14:val="none"/>
        </w:rPr>
        <w:t>cita</w:t>
      </w:r>
      <w:r w:rsidR="00263D7F">
        <w:rPr>
          <w:rFonts w:ascii="Calibri" w:hAnsi="Calibri" w:eastAsia="Times New Roman" w:cs="Calibri"/>
          <w:kern w:val="0"/>
          <w:sz w:val="22"/>
          <w:szCs w:val="22"/>
          <w:lang w:val="es-ES" w:eastAsia="en-GB"/>
          <w14:ligatures w14:val="none"/>
        </w:rPr>
        <w:t>s</w:t>
      </w:r>
      <w:r w:rsidR="0012396D">
        <w:rPr>
          <w:rFonts w:ascii="Calibri" w:hAnsi="Calibri" w:eastAsia="Times New Roman" w:cs="Calibri"/>
          <w:kern w:val="0"/>
          <w:sz w:val="22"/>
          <w:szCs w:val="22"/>
          <w:lang w:val="es-ES" w:eastAsia="en-GB"/>
          <w14:ligatures w14:val="none"/>
        </w:rPr>
        <w:t>.</w:t>
      </w:r>
      <w:r w:rsidRPr="00086132">
        <w:rPr>
          <w:rFonts w:ascii="Calibri" w:hAnsi="Calibri" w:eastAsia="Times New Roman" w:cs="Calibri"/>
          <w:kern w:val="0"/>
          <w:sz w:val="22"/>
          <w:szCs w:val="22"/>
          <w:lang w:val="es-ES" w:eastAsia="en-GB"/>
          <w14:ligatures w14:val="none"/>
        </w:rPr>
        <w:t xml:space="preserve"> </w:t>
      </w:r>
    </w:p>
    <w:p w:rsidR="001C4444" w:rsidP="001C4444" w:rsidRDefault="001C4444" w14:paraId="78EC71A0" w14:textId="4E43A401">
      <w:pPr>
        <w:numPr>
          <w:ilvl w:val="0"/>
          <w:numId w:val="12"/>
        </w:numPr>
        <w:spacing w:before="100" w:beforeAutospacing="1"/>
        <w:ind w:left="714" w:hanging="357"/>
        <w:rPr>
          <w:rFonts w:ascii="Calibri" w:hAnsi="Calibri" w:eastAsia="Times New Roman" w:cs="Calibri"/>
          <w:kern w:val="0"/>
          <w:sz w:val="22"/>
          <w:szCs w:val="22"/>
          <w:lang w:val="es-ES" w:eastAsia="en-GB"/>
          <w14:ligatures w14:val="none"/>
        </w:rPr>
      </w:pPr>
      <w:r w:rsidRPr="00086132">
        <w:rPr>
          <w:rFonts w:ascii="Calibri" w:hAnsi="Calibri" w:eastAsia="Times New Roman" w:cs="Calibri"/>
          <w:kern w:val="0"/>
          <w:sz w:val="22"/>
          <w:szCs w:val="22"/>
          <w:lang w:val="es-ES" w:eastAsia="en-GB"/>
          <w14:ligatures w14:val="none"/>
        </w:rPr>
        <w:t xml:space="preserve">La internacionalización sigue siendo una ventaja competitiva, liderada por la IE University, que ocupa el tercer puesto a nivel mundial en </w:t>
      </w:r>
      <w:r w:rsidR="0012396D">
        <w:rPr>
          <w:rFonts w:ascii="Calibri" w:hAnsi="Calibri" w:eastAsia="Times New Roman" w:cs="Calibri"/>
          <w:kern w:val="0"/>
          <w:sz w:val="22"/>
          <w:szCs w:val="22"/>
          <w:lang w:val="es-ES" w:eastAsia="en-GB"/>
          <w14:ligatures w14:val="none"/>
        </w:rPr>
        <w:t>ratio</w:t>
      </w:r>
      <w:r w:rsidRPr="00086132">
        <w:rPr>
          <w:rFonts w:ascii="Calibri" w:hAnsi="Calibri" w:eastAsia="Times New Roman" w:cs="Calibri"/>
          <w:kern w:val="0"/>
          <w:sz w:val="22"/>
          <w:szCs w:val="22"/>
          <w:lang w:val="es-ES" w:eastAsia="en-GB"/>
          <w14:ligatures w14:val="none"/>
        </w:rPr>
        <w:t xml:space="preserve"> de estudiantes internacionales. </w:t>
      </w:r>
    </w:p>
    <w:p w:rsidR="001C4444" w:rsidP="001C4444" w:rsidRDefault="001C4444" w14:paraId="21CFF6EC" w14:textId="1836A5AA">
      <w:pPr>
        <w:numPr>
          <w:ilvl w:val="0"/>
          <w:numId w:val="12"/>
        </w:numPr>
        <w:spacing w:before="100" w:beforeAutospacing="1"/>
        <w:ind w:left="714" w:hanging="357"/>
        <w:rPr>
          <w:rFonts w:ascii="Calibri" w:hAnsi="Calibri" w:eastAsia="Times New Roman" w:cs="Calibri"/>
          <w:kern w:val="0"/>
          <w:sz w:val="22"/>
          <w:szCs w:val="22"/>
          <w:lang w:val="es-ES" w:eastAsia="en-GB"/>
          <w14:ligatures w14:val="none"/>
        </w:rPr>
      </w:pPr>
      <w:r w:rsidRPr="00086132">
        <w:rPr>
          <w:rFonts w:ascii="Calibri" w:hAnsi="Calibri" w:eastAsia="Times New Roman" w:cs="Calibri"/>
          <w:kern w:val="0"/>
          <w:sz w:val="22"/>
          <w:szCs w:val="22"/>
          <w:lang w:val="es-ES" w:eastAsia="en-GB"/>
          <w14:ligatures w14:val="none"/>
        </w:rPr>
        <w:t xml:space="preserve">La reputación académica es el único indicador que mejora en España, lo que sugiere que el reconocimiento de la marca institucional supera a los resultados de investigación. </w:t>
      </w:r>
    </w:p>
    <w:p w:rsidRPr="00086132" w:rsidR="00A92749" w:rsidP="05610078" w:rsidRDefault="1B8E0276" w14:paraId="04761701" w14:textId="7CF3D604">
      <w:pPr>
        <w:pStyle w:val="paragraph"/>
        <w:spacing w:before="0" w:beforeAutospacing="0" w:after="160" w:afterAutospacing="0" w:line="360" w:lineRule="auto"/>
        <w:textAlignment w:val="baseline"/>
        <w:rPr>
          <w:rFonts w:ascii="Calibri" w:hAnsi="Calibri" w:cs="Calibri"/>
          <w:sz w:val="22"/>
          <w:szCs w:val="22"/>
          <w:lang w:val="es-ES"/>
        </w:rPr>
      </w:pPr>
      <w:r w:rsidRPr="00086132">
        <w:rPr>
          <w:rFonts w:ascii="Calibri" w:hAnsi="Calibri" w:cs="Calibri"/>
          <w:b/>
          <w:bCs/>
          <w:sz w:val="22"/>
          <w:szCs w:val="22"/>
          <w:lang w:val="es-ES"/>
        </w:rPr>
        <w:t>Ben Sowter, vicepresidente sénior de QS, afirmó</w:t>
      </w:r>
      <w:r w:rsidRPr="00086132">
        <w:rPr>
          <w:rFonts w:ascii="Calibri" w:hAnsi="Calibri" w:cs="Calibri"/>
          <w:sz w:val="22"/>
          <w:szCs w:val="22"/>
          <w:lang w:val="es-ES"/>
        </w:rPr>
        <w:t xml:space="preserve">: </w:t>
      </w:r>
      <w:r w:rsidRPr="00086132" w:rsidR="49F73FBE">
        <w:rPr>
          <w:rFonts w:ascii="Calibri" w:hAnsi="Calibri" w:cs="Calibri"/>
          <w:i/>
          <w:iCs/>
          <w:sz w:val="22"/>
          <w:szCs w:val="22"/>
          <w:lang w:val="es-ES"/>
        </w:rPr>
        <w:t>«La última edición del QS World University Rankings presenta un panorama mixto para la educación superior española en un momento en que los responsables políticos y los</w:t>
      </w:r>
      <w:r w:rsidR="0012396D">
        <w:rPr>
          <w:rFonts w:ascii="Calibri" w:hAnsi="Calibri" w:cs="Calibri"/>
          <w:i/>
          <w:iCs/>
          <w:sz w:val="22"/>
          <w:szCs w:val="22"/>
          <w:lang w:val="es-ES"/>
        </w:rPr>
        <w:t xml:space="preserve"> líderes</w:t>
      </w:r>
      <w:r w:rsidRPr="00086132" w:rsidR="49F73FBE">
        <w:rPr>
          <w:rFonts w:ascii="Calibri" w:hAnsi="Calibri" w:cs="Calibri"/>
          <w:i/>
          <w:iCs/>
          <w:sz w:val="22"/>
          <w:szCs w:val="22"/>
          <w:lang w:val="es-ES"/>
        </w:rPr>
        <w:t xml:space="preserve"> universitarios debaten</w:t>
      </w:r>
      <w:r w:rsidR="0012396D">
        <w:rPr>
          <w:rFonts w:ascii="Calibri" w:hAnsi="Calibri" w:cs="Calibri"/>
          <w:i/>
          <w:iCs/>
          <w:sz w:val="22"/>
          <w:szCs w:val="22"/>
          <w:lang w:val="es-ES"/>
        </w:rPr>
        <w:t xml:space="preserve"> sobre</w:t>
      </w:r>
      <w:r w:rsidRPr="00086132" w:rsidR="49F73FBE">
        <w:rPr>
          <w:rFonts w:ascii="Calibri" w:hAnsi="Calibri" w:cs="Calibri"/>
          <w:i/>
          <w:iCs/>
          <w:sz w:val="22"/>
          <w:szCs w:val="22"/>
          <w:lang w:val="es-ES"/>
        </w:rPr>
        <w:t xml:space="preserve"> </w:t>
      </w:r>
      <w:hyperlink r:id="rId9">
        <w:r w:rsidRPr="00086132" w:rsidR="49F73FBE">
          <w:rPr>
            <w:rStyle w:val="Hyperlink"/>
            <w:rFonts w:ascii="Calibri" w:hAnsi="Calibri" w:cs="Calibri"/>
            <w:i/>
            <w:iCs/>
            <w:sz w:val="22"/>
            <w:szCs w:val="22"/>
            <w:lang w:val="es-ES"/>
          </w:rPr>
          <w:t>las presiones presupuestarias, la reforma de la dotación de personal y la futura estructura del sistema universitario público</w:t>
        </w:r>
      </w:hyperlink>
      <w:r w:rsidRPr="00086132" w:rsidR="49F73FBE">
        <w:rPr>
          <w:rFonts w:ascii="Calibri" w:hAnsi="Calibri" w:cs="Calibri"/>
          <w:i/>
          <w:iCs/>
          <w:sz w:val="22"/>
          <w:szCs w:val="22"/>
          <w:lang w:val="es-ES"/>
        </w:rPr>
        <w:t xml:space="preserve">. España sigue siendo el segundo sistema de educación superior con mayor representación de la UE, pero 24 universidades que antes figuraban en el ranking </w:t>
      </w:r>
      <w:r w:rsidRPr="00086132" w:rsidR="763B86C7">
        <w:rPr>
          <w:rFonts w:ascii="Calibri" w:hAnsi="Calibri" w:cs="Calibri"/>
          <w:i/>
          <w:iCs/>
          <w:sz w:val="22"/>
          <w:szCs w:val="22"/>
          <w:lang w:val="es-ES"/>
        </w:rPr>
        <w:t xml:space="preserve">han bajado de posición, </w:t>
      </w:r>
      <w:r w:rsidRPr="00086132" w:rsidR="49F73FBE">
        <w:rPr>
          <w:rFonts w:ascii="Calibri" w:hAnsi="Calibri" w:cs="Calibri"/>
          <w:i/>
          <w:iCs/>
          <w:sz w:val="22"/>
          <w:szCs w:val="22"/>
          <w:lang w:val="es-ES"/>
        </w:rPr>
        <w:t xml:space="preserve">y el país sigue sin tener ninguna institución entre las 100 mejores del mundo. Al mismo tiempo, España suma 10 nuevas universidades al ranking, el tercer número más alto a nivel mundial por detrás de China y Alemania, </w:t>
      </w:r>
      <w:r w:rsidRPr="00086132" w:rsidR="49F73FBE">
        <w:rPr>
          <w:rFonts w:ascii="Calibri" w:hAnsi="Calibri" w:cs="Calibri"/>
          <w:i/>
          <w:iCs/>
          <w:sz w:val="22"/>
          <w:szCs w:val="22"/>
          <w:lang w:val="es-ES"/>
        </w:rPr>
        <w:t xml:space="preserve">lo que refleja una continua expansión internacional en todo el sector. Sin embargo, el menor rendimiento en los indicadores de citas sigue reflejando preocupaciones más amplias en torno a </w:t>
      </w:r>
      <w:hyperlink r:id="rId10">
        <w:r w:rsidRPr="00086132" w:rsidR="49F73FBE">
          <w:rPr>
            <w:rStyle w:val="Hyperlink"/>
            <w:rFonts w:ascii="Calibri" w:hAnsi="Calibri" w:cs="Calibri"/>
            <w:i/>
            <w:iCs/>
            <w:sz w:val="22"/>
            <w:szCs w:val="22"/>
            <w:lang w:val="es-ES"/>
          </w:rPr>
          <w:t>la financiación de la investigación y la productividad científica</w:t>
        </w:r>
      </w:hyperlink>
      <w:r w:rsidRPr="00086132" w:rsidR="49F73FBE">
        <w:rPr>
          <w:rFonts w:ascii="Calibri" w:hAnsi="Calibri" w:cs="Calibri"/>
          <w:sz w:val="22"/>
          <w:szCs w:val="22"/>
          <w:lang w:val="es-ES"/>
        </w:rPr>
        <w:t>».</w:t>
      </w:r>
    </w:p>
    <w:p w:rsidRPr="00086132" w:rsidR="00A92749" w:rsidP="001C4444" w:rsidRDefault="00A92749" w14:paraId="2187E88B" w14:textId="3665CA31">
      <w:pPr>
        <w:pStyle w:val="paragraph"/>
        <w:spacing w:before="0" w:beforeAutospacing="0" w:after="160" w:afterAutospacing="0" w:line="360" w:lineRule="auto"/>
        <w:textAlignment w:val="baseline"/>
        <w:rPr>
          <w:rFonts w:ascii="Calibri" w:hAnsi="Calibri" w:cs="Calibri"/>
          <w:b/>
          <w:bCs/>
          <w:sz w:val="22"/>
          <w:szCs w:val="22"/>
          <w:u w:val="single"/>
          <w:lang w:val="es-ES"/>
        </w:rPr>
      </w:pPr>
      <w:r w:rsidRPr="00086132">
        <w:rPr>
          <w:rFonts w:ascii="Calibri" w:hAnsi="Calibri" w:cs="Calibri"/>
          <w:b/>
          <w:bCs/>
          <w:sz w:val="22"/>
          <w:szCs w:val="22"/>
          <w:u w:val="single"/>
          <w:lang w:val="es-ES"/>
        </w:rPr>
        <w:t>Panorama general de España</w:t>
      </w:r>
    </w:p>
    <w:p w:rsidRPr="00086132" w:rsidR="00A92749" w:rsidP="001C4444" w:rsidRDefault="00A92749" w14:paraId="542D4874" w14:textId="5254B314">
      <w:pPr>
        <w:pStyle w:val="paragraph"/>
        <w:spacing w:before="0" w:beforeAutospacing="0" w:after="160" w:afterAutospacing="0" w:line="360" w:lineRule="auto"/>
        <w:textAlignment w:val="baseline"/>
        <w:rPr>
          <w:rFonts w:ascii="Calibri" w:hAnsi="Calibri" w:cs="Calibri"/>
          <w:sz w:val="22"/>
          <w:szCs w:val="22"/>
          <w:lang w:val="es-ES"/>
        </w:rPr>
      </w:pPr>
      <w:r w:rsidRPr="00086132">
        <w:rPr>
          <w:rFonts w:ascii="Calibri" w:hAnsi="Calibri" w:cs="Calibri"/>
          <w:sz w:val="22"/>
          <w:szCs w:val="22"/>
          <w:lang w:val="es-ES"/>
        </w:rPr>
        <w:t xml:space="preserve">España </w:t>
      </w:r>
      <w:r w:rsidR="00BC3E1A">
        <w:rPr>
          <w:rFonts w:ascii="Calibri" w:hAnsi="Calibri" w:cs="Calibri"/>
          <w:sz w:val="22"/>
          <w:szCs w:val="22"/>
          <w:lang w:val="es-ES"/>
        </w:rPr>
        <w:t xml:space="preserve">cuenta con </w:t>
      </w:r>
      <w:r w:rsidRPr="00086132">
        <w:rPr>
          <w:rFonts w:ascii="Calibri" w:hAnsi="Calibri" w:cs="Calibri"/>
          <w:sz w:val="22"/>
          <w:szCs w:val="22"/>
          <w:lang w:val="es-ES"/>
        </w:rPr>
        <w:t xml:space="preserve">el segundo sistema de educación superior </w:t>
      </w:r>
      <w:r w:rsidR="00BC3E1A">
        <w:rPr>
          <w:rFonts w:ascii="Calibri" w:hAnsi="Calibri" w:cs="Calibri"/>
          <w:sz w:val="22"/>
          <w:szCs w:val="22"/>
          <w:lang w:val="es-ES"/>
        </w:rPr>
        <w:t>más representado</w:t>
      </w:r>
      <w:r w:rsidRPr="00086132">
        <w:rPr>
          <w:rFonts w:ascii="Calibri" w:hAnsi="Calibri" w:cs="Calibri"/>
          <w:sz w:val="22"/>
          <w:szCs w:val="22"/>
          <w:lang w:val="es-ES"/>
        </w:rPr>
        <w:t xml:space="preserve"> de la UE, solo superado por Alemania en número de instituciones clasificadas. Sin embargo, su </w:t>
      </w:r>
      <w:r w:rsidRPr="00086132" w:rsidR="001C4444">
        <w:rPr>
          <w:rFonts w:ascii="Calibri" w:hAnsi="Calibri" w:cs="Calibri"/>
          <w:sz w:val="22"/>
          <w:szCs w:val="22"/>
          <w:lang w:val="es-ES"/>
        </w:rPr>
        <w:t>sector</w:t>
      </w:r>
      <w:r w:rsidR="00BC3E1A">
        <w:rPr>
          <w:rFonts w:ascii="Calibri" w:hAnsi="Calibri" w:cs="Calibri"/>
          <w:sz w:val="22"/>
          <w:szCs w:val="22"/>
          <w:lang w:val="es-ES"/>
        </w:rPr>
        <w:t xml:space="preserve"> se sitúa por detrás</w:t>
      </w:r>
      <w:r w:rsidRPr="00086132" w:rsidR="001C4444">
        <w:rPr>
          <w:rFonts w:ascii="Calibri" w:hAnsi="Calibri" w:cs="Calibri"/>
          <w:sz w:val="22"/>
          <w:szCs w:val="22"/>
          <w:lang w:val="es-ES"/>
        </w:rPr>
        <w:t xml:space="preserve"> de </w:t>
      </w:r>
      <w:r w:rsidRPr="00086132">
        <w:rPr>
          <w:rFonts w:ascii="Calibri" w:hAnsi="Calibri" w:cs="Calibri"/>
          <w:sz w:val="22"/>
          <w:szCs w:val="22"/>
          <w:lang w:val="es-ES"/>
        </w:rPr>
        <w:t xml:space="preserve">sus competidores globales, sin ninguna universidad entre las 100 mejores y con menos universidades entre las 200 mejores que muchos de sus competidores regionales, </w:t>
      </w:r>
      <w:r w:rsidRPr="00086132" w:rsidR="001C4444">
        <w:rPr>
          <w:rFonts w:ascii="Calibri" w:hAnsi="Calibri" w:cs="Calibri"/>
          <w:sz w:val="22"/>
          <w:szCs w:val="22"/>
          <w:lang w:val="es-ES"/>
        </w:rPr>
        <w:t xml:space="preserve">como Italia, Alemania y Francia, </w:t>
      </w:r>
      <w:r w:rsidR="00BC3E1A">
        <w:rPr>
          <w:rFonts w:ascii="Calibri" w:hAnsi="Calibri" w:cs="Calibri"/>
          <w:sz w:val="22"/>
          <w:szCs w:val="22"/>
          <w:lang w:val="es-ES"/>
        </w:rPr>
        <w:t xml:space="preserve">que cuentan </w:t>
      </w:r>
      <w:r w:rsidRPr="00086132">
        <w:rPr>
          <w:rFonts w:ascii="Calibri" w:hAnsi="Calibri" w:cs="Calibri"/>
          <w:sz w:val="22"/>
          <w:szCs w:val="22"/>
          <w:lang w:val="es-ES"/>
        </w:rPr>
        <w:t>con dos —el octavo número más alto de la UE</w:t>
      </w:r>
      <w:r w:rsidR="00BC3E1A">
        <w:rPr>
          <w:rFonts w:ascii="Calibri" w:hAnsi="Calibri" w:cs="Calibri"/>
          <w:sz w:val="22"/>
          <w:szCs w:val="22"/>
          <w:lang w:val="es-ES"/>
        </w:rPr>
        <w:t>.</w:t>
      </w:r>
    </w:p>
    <w:p w:rsidRPr="00086132" w:rsidR="00714150" w:rsidP="00BC3E1A" w:rsidRDefault="00A92749" w14:paraId="42FCB792" w14:textId="3F6B8B31">
      <w:pPr>
        <w:pStyle w:val="paragraph"/>
        <w:spacing w:before="0" w:beforeAutospacing="0" w:after="160" w:afterAutospacing="0" w:line="360" w:lineRule="auto"/>
        <w:textAlignment w:val="baseline"/>
        <w:rPr>
          <w:rFonts w:ascii="Calibri" w:hAnsi="Calibri" w:cs="Calibri"/>
          <w:sz w:val="22"/>
          <w:szCs w:val="22"/>
          <w:lang w:val="es-ES"/>
        </w:rPr>
      </w:pPr>
      <w:r w:rsidRPr="00086132">
        <w:rPr>
          <w:rFonts w:ascii="Calibri" w:hAnsi="Calibri" w:cs="Calibri"/>
          <w:sz w:val="22"/>
          <w:szCs w:val="22"/>
          <w:lang w:val="es-ES"/>
        </w:rPr>
        <w:t>La clasificación de este año incluye más de 1500 universidades de 106 sistemas de educación superior. QS clasifica</w:t>
      </w:r>
      <w:r w:rsidRPr="00086132" w:rsidR="00793AB0">
        <w:rPr>
          <w:rFonts w:ascii="Calibri" w:hAnsi="Calibri" w:cs="Calibri"/>
          <w:sz w:val="22"/>
          <w:szCs w:val="22"/>
          <w:lang w:val="es-ES"/>
        </w:rPr>
        <w:t xml:space="preserve"> 48 universidades españolas. De ellas</w:t>
      </w:r>
      <w:r w:rsidRPr="00086132" w:rsidR="001C4444">
        <w:rPr>
          <w:rFonts w:ascii="Calibri" w:hAnsi="Calibri" w:cs="Calibri"/>
          <w:sz w:val="22"/>
          <w:szCs w:val="22"/>
          <w:lang w:val="es-ES"/>
        </w:rPr>
        <w:t xml:space="preserve">, </w:t>
      </w:r>
      <w:r w:rsidRPr="00086132" w:rsidR="00793AB0">
        <w:rPr>
          <w:rFonts w:ascii="Calibri" w:hAnsi="Calibri" w:cs="Calibri"/>
          <w:sz w:val="22"/>
          <w:szCs w:val="22"/>
          <w:lang w:val="es-ES"/>
        </w:rPr>
        <w:t>dos suben, 24 bajan, 12 se mantienen estables y 10 aparecen en la clasificación por primera vez.</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79"/>
        <w:gridCol w:w="840"/>
        <w:gridCol w:w="549"/>
        <w:gridCol w:w="669"/>
        <w:gridCol w:w="601"/>
        <w:gridCol w:w="657"/>
        <w:gridCol w:w="1887"/>
        <w:gridCol w:w="644"/>
        <w:gridCol w:w="627"/>
        <w:gridCol w:w="497"/>
        <w:gridCol w:w="497"/>
        <w:gridCol w:w="563"/>
      </w:tblGrid>
      <w:tr w:rsidRPr="00086132" w:rsidR="00A92749" w14:paraId="1892E175" w14:textId="77777777">
        <w:trPr>
          <w:trHeight w:val="285"/>
        </w:trPr>
        <w:tc>
          <w:tcPr>
            <w:tcW w:w="9915" w:type="dxa"/>
            <w:gridSpan w:val="12"/>
            <w:tcBorders>
              <w:top w:val="single" w:color="auto" w:sz="6" w:space="0"/>
              <w:left w:val="single" w:color="auto" w:sz="6" w:space="0"/>
              <w:bottom w:val="single" w:color="auto" w:sz="6" w:space="0"/>
              <w:right w:val="single" w:color="auto" w:sz="6" w:space="0"/>
            </w:tcBorders>
            <w:vAlign w:val="bottom"/>
            <w:hideMark/>
          </w:tcPr>
          <w:p w:rsidRPr="00086132" w:rsidR="00A92749" w:rsidP="00A92749" w:rsidRDefault="00A92749" w14:paraId="22FB2A4F" w14:textId="77777777">
            <w:pPr>
              <w:spacing w:after="0" w:line="240" w:lineRule="auto"/>
              <w:jc w:val="center"/>
              <w:textAlignment w:val="baseline"/>
              <w:rPr>
                <w:rFonts w:ascii="Segoe UI" w:hAnsi="Segoe UI" w:eastAsia="Times New Roman" w:cs="Segoe UI"/>
                <w:kern w:val="0"/>
                <w:sz w:val="18"/>
                <w:szCs w:val="18"/>
                <w:lang w:val="es-ES" w:eastAsia="en-GB"/>
                <w14:ligatures w14:val="none"/>
              </w:rPr>
            </w:pPr>
            <w:r w:rsidRPr="00086132">
              <w:rPr>
                <w:rFonts w:ascii="Calibri" w:hAnsi="Calibri" w:eastAsia="Times New Roman" w:cs="Calibri"/>
                <w:b/>
                <w:bCs/>
                <w:kern w:val="0"/>
                <w:sz w:val="20"/>
                <w:szCs w:val="20"/>
                <w:lang w:val="es-ES" w:eastAsia="en-GB"/>
                <w14:ligatures w14:val="none"/>
              </w:rPr>
              <w:t>Tabla 2: Principales sistemas de educación superior de la UE por número total de universidades clasificadas   </w:t>
            </w:r>
          </w:p>
        </w:tc>
      </w:tr>
      <w:tr w:rsidRPr="00A92749" w:rsidR="00A92749" w14:paraId="3129FAE8" w14:textId="77777777">
        <w:trPr>
          <w:trHeight w:val="225"/>
        </w:trPr>
        <w:tc>
          <w:tcPr>
            <w:tcW w:w="1080" w:type="dxa"/>
            <w:vMerge w:val="restart"/>
            <w:tcBorders>
              <w:top w:val="single" w:color="auto" w:sz="6" w:space="0"/>
              <w:left w:val="single" w:color="auto" w:sz="6" w:space="0"/>
              <w:bottom w:val="single" w:color="auto" w:sz="6" w:space="0"/>
              <w:right w:val="single" w:color="auto" w:sz="6" w:space="0"/>
            </w:tcBorders>
            <w:vAlign w:val="bottom"/>
            <w:hideMark/>
          </w:tcPr>
          <w:p w:rsidRPr="00A92749" w:rsidR="00A92749" w:rsidP="00A92749" w:rsidRDefault="00A92749" w14:paraId="55E0074A"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kern w:val="0"/>
                <w:sz w:val="16"/>
                <w:szCs w:val="16"/>
                <w:lang w:eastAsia="en-GB"/>
                <w14:ligatures w14:val="none"/>
              </w:rPr>
              <w:t xml:space="preserve">Sistema de </w:t>
            </w:r>
            <w:proofErr w:type="spellStart"/>
            <w:r w:rsidRPr="00A92749">
              <w:rPr>
                <w:rFonts w:ascii="Calibri" w:hAnsi="Calibri" w:eastAsia="Times New Roman" w:cs="Calibri"/>
                <w:b/>
                <w:bCs/>
                <w:kern w:val="0"/>
                <w:sz w:val="16"/>
                <w:szCs w:val="16"/>
                <w:lang w:eastAsia="en-GB"/>
                <w14:ligatures w14:val="none"/>
              </w:rPr>
              <w:t>educación</w:t>
            </w:r>
            <w:proofErr w:type="spellEnd"/>
            <w:r w:rsidRPr="00A92749">
              <w:rPr>
                <w:rFonts w:ascii="Calibri" w:hAnsi="Calibri" w:eastAsia="Times New Roman" w:cs="Calibri"/>
                <w:b/>
                <w:bCs/>
                <w:kern w:val="0"/>
                <w:sz w:val="16"/>
                <w:szCs w:val="16"/>
                <w:lang w:eastAsia="en-GB"/>
                <w14:ligatures w14:val="none"/>
              </w:rPr>
              <w:t xml:space="preserve"> superior </w:t>
            </w:r>
          </w:p>
        </w:tc>
        <w:tc>
          <w:tcPr>
            <w:tcW w:w="885" w:type="dxa"/>
            <w:vMerge w:val="restart"/>
            <w:tcBorders>
              <w:top w:val="single" w:color="auto" w:sz="6" w:space="0"/>
              <w:left w:val="single" w:color="auto" w:sz="6" w:space="0"/>
              <w:bottom w:val="single" w:color="auto" w:sz="6" w:space="0"/>
              <w:right w:val="single" w:color="auto" w:sz="6" w:space="0"/>
            </w:tcBorders>
            <w:vAlign w:val="bottom"/>
            <w:hideMark/>
          </w:tcPr>
          <w:p w:rsidRPr="00A92749" w:rsidR="00A92749" w:rsidP="00A92749" w:rsidRDefault="00A92749" w14:paraId="0E848E28"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kern w:val="0"/>
                <w:sz w:val="16"/>
                <w:szCs w:val="16"/>
                <w:lang w:eastAsia="en-GB"/>
                <w14:ligatures w14:val="none"/>
              </w:rPr>
              <w:t xml:space="preserve">Total clasificado </w:t>
            </w:r>
          </w:p>
        </w:tc>
        <w:tc>
          <w:tcPr>
            <w:tcW w:w="555" w:type="dxa"/>
            <w:vMerge w:val="restart"/>
            <w:tcBorders>
              <w:top w:val="single" w:color="auto" w:sz="6" w:space="0"/>
              <w:left w:val="single" w:color="auto" w:sz="6" w:space="0"/>
              <w:bottom w:val="single" w:color="auto" w:sz="6" w:space="0"/>
              <w:right w:val="single" w:color="auto" w:sz="6" w:space="0"/>
            </w:tcBorders>
            <w:vAlign w:val="bottom"/>
            <w:hideMark/>
          </w:tcPr>
          <w:p w:rsidRPr="00A92749" w:rsidR="00A92749" w:rsidP="00A92749" w:rsidRDefault="00A92749" w14:paraId="0E4E5A1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color w:val="00B050"/>
                <w:kern w:val="0"/>
                <w:sz w:val="16"/>
                <w:szCs w:val="16"/>
                <w:lang w:eastAsia="en-GB"/>
                <w14:ligatures w14:val="none"/>
              </w:rPr>
              <w:t xml:space="preserve">Subidas </w:t>
            </w:r>
          </w:p>
        </w:tc>
        <w:tc>
          <w:tcPr>
            <w:tcW w:w="705" w:type="dxa"/>
            <w:vMerge w:val="restart"/>
            <w:tcBorders>
              <w:top w:val="single" w:color="auto" w:sz="6" w:space="0"/>
              <w:left w:val="single" w:color="auto" w:sz="6" w:space="0"/>
              <w:bottom w:val="single" w:color="auto" w:sz="6" w:space="0"/>
              <w:right w:val="single" w:color="auto" w:sz="6" w:space="0"/>
            </w:tcBorders>
            <w:vAlign w:val="bottom"/>
            <w:hideMark/>
          </w:tcPr>
          <w:p w:rsidRPr="00A92749" w:rsidR="00A92749" w:rsidP="00A92749" w:rsidRDefault="00A92749" w14:paraId="6EE2073A"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color w:val="FFC000"/>
                <w:kern w:val="0"/>
                <w:sz w:val="16"/>
                <w:szCs w:val="16"/>
                <w:lang w:eastAsia="en-GB"/>
                <w14:ligatures w14:val="none"/>
              </w:rPr>
              <w:t xml:space="preserve">Sin cambios </w:t>
            </w:r>
          </w:p>
        </w:tc>
        <w:tc>
          <w:tcPr>
            <w:tcW w:w="705" w:type="dxa"/>
            <w:vMerge w:val="restart"/>
            <w:tcBorders>
              <w:top w:val="single" w:color="auto" w:sz="6" w:space="0"/>
              <w:left w:val="single" w:color="auto" w:sz="6" w:space="0"/>
              <w:bottom w:val="single" w:color="auto" w:sz="6" w:space="0"/>
              <w:right w:val="single" w:color="auto" w:sz="6" w:space="0"/>
            </w:tcBorders>
            <w:vAlign w:val="bottom"/>
            <w:hideMark/>
          </w:tcPr>
          <w:p w:rsidRPr="00A92749" w:rsidR="00A92749" w:rsidP="00A92749" w:rsidRDefault="00A92749" w14:paraId="703C4017"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color w:val="C00000"/>
                <w:kern w:val="0"/>
                <w:sz w:val="16"/>
                <w:szCs w:val="16"/>
                <w:lang w:eastAsia="en-GB"/>
                <w14:ligatures w14:val="none"/>
              </w:rPr>
              <w:t xml:space="preserve">Baja </w:t>
            </w:r>
          </w:p>
        </w:tc>
        <w:tc>
          <w:tcPr>
            <w:tcW w:w="705" w:type="dxa"/>
            <w:vMerge w:val="restart"/>
            <w:tcBorders>
              <w:top w:val="single" w:color="auto" w:sz="6" w:space="0"/>
              <w:left w:val="single" w:color="auto" w:sz="6" w:space="0"/>
              <w:bottom w:val="single" w:color="auto" w:sz="6" w:space="0"/>
              <w:right w:val="single" w:color="auto" w:sz="6" w:space="0"/>
            </w:tcBorders>
            <w:vAlign w:val="bottom"/>
            <w:hideMark/>
          </w:tcPr>
          <w:p w:rsidRPr="00A92749" w:rsidR="00A92749" w:rsidP="00A92749" w:rsidRDefault="00A92749" w14:paraId="5273B4A8"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color w:val="0070C0"/>
                <w:kern w:val="0"/>
                <w:sz w:val="16"/>
                <w:szCs w:val="16"/>
                <w:lang w:eastAsia="en-GB"/>
                <w14:ligatures w14:val="none"/>
              </w:rPr>
              <w:t>Nuevo  </w:t>
            </w:r>
          </w:p>
        </w:tc>
        <w:tc>
          <w:tcPr>
            <w:tcW w:w="2970" w:type="dxa"/>
            <w:gridSpan w:val="2"/>
            <w:tcBorders>
              <w:top w:val="single" w:color="auto" w:sz="6" w:space="0"/>
              <w:left w:val="nil"/>
              <w:bottom w:val="single" w:color="auto" w:sz="6" w:space="0"/>
              <w:right w:val="single" w:color="auto" w:sz="6" w:space="0"/>
            </w:tcBorders>
            <w:shd w:val="clear" w:color="auto" w:fill="F2F2F2"/>
            <w:vAlign w:val="bottom"/>
            <w:hideMark/>
          </w:tcPr>
          <w:p w:rsidRPr="00A92749" w:rsidR="00A92749" w:rsidP="00A92749" w:rsidRDefault="00A92749" w14:paraId="3BE66613"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kern w:val="0"/>
                <w:sz w:val="16"/>
                <w:szCs w:val="16"/>
                <w:lang w:eastAsia="en-GB"/>
                <w14:ligatures w14:val="none"/>
              </w:rPr>
              <w:t xml:space="preserve">Las mejores universidades </w:t>
            </w:r>
          </w:p>
        </w:tc>
        <w:tc>
          <w:tcPr>
            <w:tcW w:w="555" w:type="dxa"/>
            <w:vMerge w:val="restart"/>
            <w:tcBorders>
              <w:top w:val="single" w:color="auto" w:sz="6" w:space="0"/>
              <w:left w:val="single" w:color="auto" w:sz="6" w:space="0"/>
              <w:bottom w:val="single" w:color="auto" w:sz="6" w:space="0"/>
              <w:right w:val="single" w:color="auto" w:sz="6" w:space="0"/>
            </w:tcBorders>
            <w:vAlign w:val="bottom"/>
            <w:hideMark/>
          </w:tcPr>
          <w:p w:rsidRPr="00A92749" w:rsidR="00A92749" w:rsidP="00A92749" w:rsidRDefault="00A92749" w14:paraId="10E6C6F7"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kern w:val="0"/>
                <w:sz w:val="16"/>
                <w:szCs w:val="16"/>
                <w:lang w:eastAsia="en-GB"/>
                <w14:ligatures w14:val="none"/>
              </w:rPr>
              <w:t>Las 50 mejores  </w:t>
            </w:r>
          </w:p>
        </w:tc>
        <w:tc>
          <w:tcPr>
            <w:tcW w:w="555" w:type="dxa"/>
            <w:vMerge w:val="restart"/>
            <w:tcBorders>
              <w:top w:val="single" w:color="auto" w:sz="6" w:space="0"/>
              <w:left w:val="single" w:color="auto" w:sz="6" w:space="0"/>
              <w:bottom w:val="single" w:color="auto" w:sz="6" w:space="0"/>
              <w:right w:val="single" w:color="auto" w:sz="6" w:space="0"/>
            </w:tcBorders>
            <w:vAlign w:val="bottom"/>
            <w:hideMark/>
          </w:tcPr>
          <w:p w:rsidRPr="00A92749" w:rsidR="00A92749" w:rsidP="00A92749" w:rsidRDefault="00A92749" w14:paraId="006B9FF7"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kern w:val="0"/>
                <w:sz w:val="16"/>
                <w:szCs w:val="16"/>
                <w:lang w:eastAsia="en-GB"/>
                <w14:ligatures w14:val="none"/>
              </w:rPr>
              <w:t>Top 100  </w:t>
            </w:r>
          </w:p>
        </w:tc>
        <w:tc>
          <w:tcPr>
            <w:tcW w:w="555" w:type="dxa"/>
            <w:vMerge w:val="restart"/>
            <w:tcBorders>
              <w:top w:val="single" w:color="auto" w:sz="6" w:space="0"/>
              <w:left w:val="single" w:color="auto" w:sz="6" w:space="0"/>
              <w:bottom w:val="single" w:color="auto" w:sz="6" w:space="0"/>
              <w:right w:val="single" w:color="auto" w:sz="6" w:space="0"/>
            </w:tcBorders>
            <w:vAlign w:val="bottom"/>
            <w:hideMark/>
          </w:tcPr>
          <w:p w:rsidRPr="00A92749" w:rsidR="00A92749" w:rsidP="00A92749" w:rsidRDefault="00A92749" w14:paraId="3BE47CFB"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kern w:val="0"/>
                <w:sz w:val="16"/>
                <w:szCs w:val="16"/>
                <w:lang w:eastAsia="en-GB"/>
                <w14:ligatures w14:val="none"/>
              </w:rPr>
              <w:t>Top 200  </w:t>
            </w:r>
          </w:p>
        </w:tc>
        <w:tc>
          <w:tcPr>
            <w:tcW w:w="555" w:type="dxa"/>
            <w:vMerge w:val="restart"/>
            <w:tcBorders>
              <w:top w:val="single" w:color="auto" w:sz="6" w:space="0"/>
              <w:left w:val="single" w:color="auto" w:sz="6" w:space="0"/>
              <w:bottom w:val="single" w:color="auto" w:sz="6" w:space="0"/>
              <w:right w:val="single" w:color="auto" w:sz="6" w:space="0"/>
            </w:tcBorders>
            <w:vAlign w:val="bottom"/>
            <w:hideMark/>
          </w:tcPr>
          <w:p w:rsidRPr="00A92749" w:rsidR="00A92749" w:rsidP="00A92749" w:rsidRDefault="00A92749" w14:paraId="479B702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kern w:val="0"/>
                <w:sz w:val="16"/>
                <w:szCs w:val="16"/>
                <w:lang w:eastAsia="en-GB"/>
                <w14:ligatures w14:val="none"/>
              </w:rPr>
              <w:t>Top 500  </w:t>
            </w:r>
          </w:p>
        </w:tc>
      </w:tr>
      <w:tr w:rsidRPr="00A92749" w:rsidR="00A92749" w14:paraId="1545E43A" w14:textId="77777777">
        <w:trPr>
          <w:trHeight w:val="21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A92749" w:rsidR="00A92749" w:rsidP="00A92749" w:rsidRDefault="00A92749" w14:paraId="328B6A5A" w14:textId="77777777">
            <w:pPr>
              <w:spacing w:after="0" w:line="240" w:lineRule="auto"/>
              <w:rPr>
                <w:rFonts w:ascii="Segoe UI" w:hAnsi="Segoe UI" w:eastAsia="Times New Roman" w:cs="Segoe UI"/>
                <w:kern w:val="0"/>
                <w:sz w:val="18"/>
                <w:szCs w:val="18"/>
                <w:lang w:eastAsia="en-GB"/>
                <w14:ligatures w14:val="none"/>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A92749" w:rsidR="00A92749" w:rsidP="00A92749" w:rsidRDefault="00A92749" w14:paraId="297BD0E5" w14:textId="77777777">
            <w:pPr>
              <w:spacing w:after="0" w:line="240" w:lineRule="auto"/>
              <w:rPr>
                <w:rFonts w:ascii="Segoe UI" w:hAnsi="Segoe UI" w:eastAsia="Times New Roman" w:cs="Segoe UI"/>
                <w:kern w:val="0"/>
                <w:sz w:val="18"/>
                <w:szCs w:val="18"/>
                <w:lang w:eastAsia="en-GB"/>
                <w14:ligatures w14:val="none"/>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A92749" w:rsidR="00A92749" w:rsidP="00A92749" w:rsidRDefault="00A92749" w14:paraId="0E099EA3" w14:textId="77777777">
            <w:pPr>
              <w:spacing w:after="0" w:line="240" w:lineRule="auto"/>
              <w:rPr>
                <w:rFonts w:ascii="Segoe UI" w:hAnsi="Segoe UI" w:eastAsia="Times New Roman" w:cs="Segoe UI"/>
                <w:kern w:val="0"/>
                <w:sz w:val="18"/>
                <w:szCs w:val="18"/>
                <w:lang w:eastAsia="en-GB"/>
                <w14:ligatures w14:val="none"/>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A92749" w:rsidR="00A92749" w:rsidP="00A92749" w:rsidRDefault="00A92749" w14:paraId="22178498" w14:textId="77777777">
            <w:pPr>
              <w:spacing w:after="0" w:line="240" w:lineRule="auto"/>
              <w:rPr>
                <w:rFonts w:ascii="Segoe UI" w:hAnsi="Segoe UI" w:eastAsia="Times New Roman" w:cs="Segoe UI"/>
                <w:kern w:val="0"/>
                <w:sz w:val="18"/>
                <w:szCs w:val="18"/>
                <w:lang w:eastAsia="en-GB"/>
                <w14:ligatures w14:val="none"/>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A92749" w:rsidR="00A92749" w:rsidP="00A92749" w:rsidRDefault="00A92749" w14:paraId="7B468997" w14:textId="77777777">
            <w:pPr>
              <w:spacing w:after="0" w:line="240" w:lineRule="auto"/>
              <w:rPr>
                <w:rFonts w:ascii="Segoe UI" w:hAnsi="Segoe UI" w:eastAsia="Times New Roman" w:cs="Segoe UI"/>
                <w:kern w:val="0"/>
                <w:sz w:val="18"/>
                <w:szCs w:val="18"/>
                <w:lang w:eastAsia="en-GB"/>
                <w14:ligatures w14:val="none"/>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A92749" w:rsidR="00A92749" w:rsidP="00A92749" w:rsidRDefault="00A92749" w14:paraId="5C1965E8" w14:textId="77777777">
            <w:pPr>
              <w:spacing w:after="0" w:line="240" w:lineRule="auto"/>
              <w:rPr>
                <w:rFonts w:ascii="Segoe UI" w:hAnsi="Segoe UI" w:eastAsia="Times New Roman" w:cs="Segoe UI"/>
                <w:kern w:val="0"/>
                <w:sz w:val="18"/>
                <w:szCs w:val="18"/>
                <w:lang w:eastAsia="en-GB"/>
                <w14:ligatures w14:val="none"/>
              </w:rPr>
            </w:pP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55675F74"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kern w:val="0"/>
                <w:sz w:val="16"/>
                <w:szCs w:val="16"/>
                <w:lang w:eastAsia="en-GB"/>
                <w14:ligatures w14:val="none"/>
              </w:rPr>
              <w:t xml:space="preserve">Nombre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79C5CDBD"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b/>
                <w:bCs/>
                <w:kern w:val="0"/>
                <w:sz w:val="16"/>
                <w:szCs w:val="16"/>
                <w:lang w:eastAsia="en-GB"/>
                <w14:ligatures w14:val="none"/>
              </w:rPr>
              <w:t xml:space="preserve">Puesto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A92749" w:rsidR="00A92749" w:rsidP="00A92749" w:rsidRDefault="00A92749" w14:paraId="3472BB61" w14:textId="77777777">
            <w:pPr>
              <w:spacing w:after="0" w:line="240" w:lineRule="auto"/>
              <w:rPr>
                <w:rFonts w:ascii="Segoe UI" w:hAnsi="Segoe UI" w:eastAsia="Times New Roman" w:cs="Segoe UI"/>
                <w:kern w:val="0"/>
                <w:sz w:val="18"/>
                <w:szCs w:val="18"/>
                <w:lang w:eastAsia="en-GB"/>
                <w14:ligatures w14:val="none"/>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A92749" w:rsidR="00A92749" w:rsidP="00A92749" w:rsidRDefault="00A92749" w14:paraId="308B4B7C" w14:textId="77777777">
            <w:pPr>
              <w:spacing w:after="0" w:line="240" w:lineRule="auto"/>
              <w:rPr>
                <w:rFonts w:ascii="Segoe UI" w:hAnsi="Segoe UI" w:eastAsia="Times New Roman" w:cs="Segoe UI"/>
                <w:kern w:val="0"/>
                <w:sz w:val="18"/>
                <w:szCs w:val="18"/>
                <w:lang w:eastAsia="en-GB"/>
                <w14:ligatures w14:val="none"/>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A92749" w:rsidR="00A92749" w:rsidP="00A92749" w:rsidRDefault="00A92749" w14:paraId="6ADBA651" w14:textId="77777777">
            <w:pPr>
              <w:spacing w:after="0" w:line="240" w:lineRule="auto"/>
              <w:rPr>
                <w:rFonts w:ascii="Segoe UI" w:hAnsi="Segoe UI" w:eastAsia="Times New Roman" w:cs="Segoe UI"/>
                <w:kern w:val="0"/>
                <w:sz w:val="18"/>
                <w:szCs w:val="18"/>
                <w:lang w:eastAsia="en-GB"/>
                <w14:ligatures w14:val="none"/>
              </w:rPr>
            </w:pP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A92749" w:rsidR="00A92749" w:rsidP="00A92749" w:rsidRDefault="00A92749" w14:paraId="07885C34" w14:textId="77777777">
            <w:pPr>
              <w:spacing w:after="0" w:line="240" w:lineRule="auto"/>
              <w:rPr>
                <w:rFonts w:ascii="Segoe UI" w:hAnsi="Segoe UI" w:eastAsia="Times New Roman" w:cs="Segoe UI"/>
                <w:kern w:val="0"/>
                <w:sz w:val="18"/>
                <w:szCs w:val="18"/>
                <w:lang w:eastAsia="en-GB"/>
                <w14:ligatures w14:val="none"/>
              </w:rPr>
            </w:pPr>
          </w:p>
        </w:tc>
      </w:tr>
      <w:tr w:rsidRPr="00A92749" w:rsidR="00A92749" w14:paraId="77DDE98A"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3551346D"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Alemania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07550BA6"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60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64AC8ECF"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B050"/>
                <w:kern w:val="0"/>
                <w:sz w:val="16"/>
                <w:szCs w:val="16"/>
                <w:lang w:eastAsia="en-GB"/>
                <w14:ligatures w14:val="none"/>
              </w:rPr>
              <w:t xml:space="preserve">16 %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4AEF7B2F"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FFC000"/>
                <w:kern w:val="0"/>
                <w:sz w:val="16"/>
                <w:szCs w:val="16"/>
                <w:lang w:eastAsia="en-GB"/>
                <w14:ligatures w14:val="none"/>
              </w:rPr>
              <w:t xml:space="preserve">6 %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605587B3"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C00000"/>
                <w:kern w:val="0"/>
                <w:sz w:val="16"/>
                <w:szCs w:val="16"/>
                <w:lang w:eastAsia="en-GB"/>
                <w14:ligatures w14:val="none"/>
              </w:rPr>
              <w:t xml:space="preserve">78 %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4C43BEC2"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70C0"/>
                <w:kern w:val="0"/>
                <w:sz w:val="16"/>
                <w:szCs w:val="16"/>
                <w:lang w:eastAsia="en-GB"/>
                <w14:ligatures w14:val="none"/>
              </w:rPr>
              <w:t xml:space="preserve">11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5DFA056C"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Universidad Técnica de Múnich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5BAEDE1E"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25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5E8C1597"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3F2522E3"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4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0EB840ED"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9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4D9F6B23"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28 </w:t>
            </w:r>
          </w:p>
        </w:tc>
      </w:tr>
      <w:tr w:rsidRPr="00A92749" w:rsidR="00A92749" w14:paraId="2C08C912"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17554C72" w14:textId="77777777">
            <w:pPr>
              <w:spacing w:after="0" w:line="240" w:lineRule="auto"/>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kern w:val="0"/>
                <w:sz w:val="16"/>
                <w:szCs w:val="16"/>
                <w:u w:val="single"/>
                <w:lang w:eastAsia="en-GB"/>
                <w14:ligatures w14:val="none"/>
              </w:rPr>
              <w:t xml:space="preserve">España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3E6267E3" w14:textId="77777777">
            <w:pPr>
              <w:spacing w:after="0" w:line="240" w:lineRule="auto"/>
              <w:jc w:val="center"/>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kern w:val="0"/>
                <w:sz w:val="16"/>
                <w:szCs w:val="16"/>
                <w:u w:val="single"/>
                <w:lang w:eastAsia="en-GB"/>
                <w14:ligatures w14:val="none"/>
              </w:rPr>
              <w:t xml:space="preserve">48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60384B53" w14:textId="77777777">
            <w:pPr>
              <w:spacing w:after="0" w:line="240" w:lineRule="auto"/>
              <w:jc w:val="center"/>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color w:val="00B050"/>
                <w:kern w:val="0"/>
                <w:sz w:val="16"/>
                <w:szCs w:val="16"/>
                <w:u w:val="single"/>
                <w:lang w:eastAsia="en-GB"/>
                <w14:ligatures w14:val="none"/>
              </w:rPr>
              <w:t xml:space="preserve">5 %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6AAEA384" w14:textId="77777777">
            <w:pPr>
              <w:spacing w:after="0" w:line="240" w:lineRule="auto"/>
              <w:jc w:val="center"/>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color w:val="FFC000"/>
                <w:kern w:val="0"/>
                <w:sz w:val="16"/>
                <w:szCs w:val="16"/>
                <w:u w:val="single"/>
                <w:lang w:eastAsia="en-GB"/>
                <w14:ligatures w14:val="none"/>
              </w:rPr>
              <w:t xml:space="preserve">32 %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48C3DC2A" w14:textId="77777777">
            <w:pPr>
              <w:spacing w:after="0" w:line="240" w:lineRule="auto"/>
              <w:jc w:val="center"/>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color w:val="C00000"/>
                <w:kern w:val="0"/>
                <w:sz w:val="16"/>
                <w:szCs w:val="16"/>
                <w:u w:val="single"/>
                <w:lang w:eastAsia="en-GB"/>
                <w14:ligatures w14:val="none"/>
              </w:rPr>
              <w:t xml:space="preserve">63 %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1CE20F9A" w14:textId="77777777">
            <w:pPr>
              <w:spacing w:after="0" w:line="240" w:lineRule="auto"/>
              <w:jc w:val="center"/>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color w:val="0070C0"/>
                <w:kern w:val="0"/>
                <w:sz w:val="16"/>
                <w:szCs w:val="16"/>
                <w:u w:val="single"/>
                <w:lang w:eastAsia="en-GB"/>
                <w14:ligatures w14:val="none"/>
              </w:rPr>
              <w:t xml:space="preserve">10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277D4058" w14:textId="77777777">
            <w:pPr>
              <w:spacing w:after="0" w:line="240" w:lineRule="auto"/>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kern w:val="0"/>
                <w:sz w:val="16"/>
                <w:szCs w:val="16"/>
                <w:u w:val="single"/>
                <w:lang w:eastAsia="en-GB"/>
                <w14:ligatures w14:val="none"/>
              </w:rPr>
              <w:t xml:space="preserve">Universidad de Barcelona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0B1A28B1" w14:textId="77777777">
            <w:pPr>
              <w:spacing w:after="0" w:line="240" w:lineRule="auto"/>
              <w:jc w:val="center"/>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kern w:val="0"/>
                <w:sz w:val="16"/>
                <w:szCs w:val="16"/>
                <w:u w:val="single"/>
                <w:lang w:eastAsia="en-GB"/>
                <w14:ligatures w14:val="none"/>
              </w:rPr>
              <w:t xml:space="preserve">165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0597D509" w14:textId="77777777">
            <w:pPr>
              <w:spacing w:after="0" w:line="240" w:lineRule="auto"/>
              <w:jc w:val="center"/>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kern w:val="0"/>
                <w:sz w:val="16"/>
                <w:szCs w:val="16"/>
                <w:u w:val="single"/>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2CD47FBB" w14:textId="77777777">
            <w:pPr>
              <w:spacing w:after="0" w:line="240" w:lineRule="auto"/>
              <w:jc w:val="center"/>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kern w:val="0"/>
                <w:sz w:val="16"/>
                <w:szCs w:val="16"/>
                <w:u w:val="single"/>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6F34EB05" w14:textId="77777777">
            <w:pPr>
              <w:spacing w:after="0" w:line="240" w:lineRule="auto"/>
              <w:jc w:val="center"/>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kern w:val="0"/>
                <w:sz w:val="16"/>
                <w:szCs w:val="16"/>
                <w:u w:val="single"/>
                <w:lang w:eastAsia="en-GB"/>
                <w14:ligatures w14:val="none"/>
              </w:rPr>
              <w:t xml:space="preserve">2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5C290099" w14:textId="77777777">
            <w:pPr>
              <w:spacing w:after="0" w:line="240" w:lineRule="auto"/>
              <w:jc w:val="center"/>
              <w:textAlignment w:val="baseline"/>
              <w:rPr>
                <w:rFonts w:ascii="Segoe UI" w:hAnsi="Segoe UI" w:eastAsia="Times New Roman" w:cs="Segoe UI"/>
                <w:b/>
                <w:bCs/>
                <w:kern w:val="0"/>
                <w:sz w:val="18"/>
                <w:szCs w:val="18"/>
                <w:u w:val="single"/>
                <w:lang w:eastAsia="en-GB"/>
                <w14:ligatures w14:val="none"/>
              </w:rPr>
            </w:pPr>
            <w:r w:rsidRPr="00A92749">
              <w:rPr>
                <w:rFonts w:ascii="Calibri" w:hAnsi="Calibri" w:eastAsia="Times New Roman" w:cs="Calibri"/>
                <w:b/>
                <w:bCs/>
                <w:kern w:val="0"/>
                <w:sz w:val="16"/>
                <w:szCs w:val="16"/>
                <w:u w:val="single"/>
                <w:lang w:eastAsia="en-GB"/>
                <w14:ligatures w14:val="none"/>
              </w:rPr>
              <w:t xml:space="preserve">15 </w:t>
            </w:r>
          </w:p>
        </w:tc>
      </w:tr>
      <w:tr w:rsidRPr="00A92749" w:rsidR="00A92749" w14:paraId="23037793"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6816890F"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Italia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4394F64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47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44B8652C"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B050"/>
                <w:kern w:val="0"/>
                <w:sz w:val="16"/>
                <w:szCs w:val="16"/>
                <w:lang w:eastAsia="en-GB"/>
                <w14:ligatures w14:val="none"/>
              </w:rPr>
              <w:t xml:space="preserve">56 %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710E13FC"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FFC000"/>
                <w:kern w:val="0"/>
                <w:sz w:val="16"/>
                <w:szCs w:val="16"/>
                <w:lang w:eastAsia="en-GB"/>
                <w14:ligatures w14:val="none"/>
              </w:rPr>
              <w:t xml:space="preserve">22 %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4421A3EE"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C00000"/>
                <w:kern w:val="0"/>
                <w:sz w:val="16"/>
                <w:szCs w:val="16"/>
                <w:lang w:eastAsia="en-GB"/>
                <w14:ligatures w14:val="none"/>
              </w:rPr>
              <w:t xml:space="preserve">22 %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599AC53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70C0"/>
                <w:kern w:val="0"/>
                <w:sz w:val="16"/>
                <w:szCs w:val="16"/>
                <w:lang w:eastAsia="en-GB"/>
                <w14:ligatures w14:val="none"/>
              </w:rPr>
              <w:t xml:space="preserve">6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218BB993"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Politecnico di Milano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085B0EE7"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87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285766DF"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3C124045"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233866F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3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45D1F727"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15 </w:t>
            </w:r>
          </w:p>
        </w:tc>
      </w:tr>
      <w:tr w:rsidRPr="00A92749" w:rsidR="00A92749" w14:paraId="5A45B7BD"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570F052A"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Francia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7645F006"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38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7416193A"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B050"/>
                <w:kern w:val="0"/>
                <w:sz w:val="16"/>
                <w:szCs w:val="16"/>
                <w:lang w:eastAsia="en-GB"/>
                <w14:ligatures w14:val="none"/>
              </w:rPr>
              <w:t xml:space="preserve">16 %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0ED2BA7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FFC000"/>
                <w:kern w:val="0"/>
                <w:sz w:val="16"/>
                <w:szCs w:val="16"/>
                <w:lang w:eastAsia="en-GB"/>
                <w14:ligatures w14:val="none"/>
              </w:rPr>
              <w:t xml:space="preserve">23 %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4547119C"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C00000"/>
                <w:kern w:val="0"/>
                <w:sz w:val="16"/>
                <w:szCs w:val="16"/>
                <w:lang w:eastAsia="en-GB"/>
                <w14:ligatures w14:val="none"/>
              </w:rPr>
              <w:t xml:space="preserve">61 %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527B6CFB"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70C0"/>
                <w:kern w:val="0"/>
                <w:sz w:val="16"/>
                <w:szCs w:val="16"/>
                <w:lang w:eastAsia="en-GB"/>
                <w14:ligatures w14:val="none"/>
              </w:rPr>
              <w:t xml:space="preserve">7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6410B4D2"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Universidad PSL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6FF5BBBF"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34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413077F6"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2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7B76EFA8"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4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1CD4F153"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4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303AC935"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13 </w:t>
            </w:r>
          </w:p>
        </w:tc>
      </w:tr>
      <w:tr w:rsidRPr="00A92749" w:rsidR="00A92749" w14:paraId="75F359CB"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3FA6C46C"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Polonia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7BCA394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20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18033A2C"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B050"/>
                <w:kern w:val="0"/>
                <w:sz w:val="16"/>
                <w:szCs w:val="16"/>
                <w:lang w:eastAsia="en-GB"/>
                <w14:ligatures w14:val="none"/>
              </w:rPr>
              <w:t xml:space="preserve">10 %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4EDB6F7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FFC000"/>
                <w:kern w:val="0"/>
                <w:sz w:val="16"/>
                <w:szCs w:val="16"/>
                <w:lang w:eastAsia="en-GB"/>
                <w14:ligatures w14:val="none"/>
              </w:rPr>
              <w:t xml:space="preserve">45 %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534F2A8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C00000"/>
                <w:kern w:val="0"/>
                <w:sz w:val="16"/>
                <w:szCs w:val="16"/>
                <w:lang w:eastAsia="en-GB"/>
                <w14:ligatures w14:val="none"/>
              </w:rPr>
              <w:t xml:space="preserve">45 %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1F1E5249"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70C0"/>
                <w:kern w:val="0"/>
                <w:sz w:val="16"/>
                <w:szCs w:val="16"/>
                <w:lang w:eastAsia="en-GB"/>
                <w14:ligatures w14:val="none"/>
              </w:rPr>
              <w:t>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69476F91"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Universidad de Varsovia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748FFE97"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289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5326DCCB"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14F12DFE"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037E1F6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18865EE6"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2 </w:t>
            </w:r>
          </w:p>
        </w:tc>
      </w:tr>
      <w:tr w:rsidRPr="00A92749" w:rsidR="00A92749" w14:paraId="7378D82A"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13C8C273"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Chequia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17D8797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16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66B79859"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B050"/>
                <w:kern w:val="0"/>
                <w:sz w:val="16"/>
                <w:szCs w:val="16"/>
                <w:lang w:eastAsia="en-GB"/>
                <w14:ligatures w14:val="none"/>
              </w:rPr>
              <w:t xml:space="preserve">7 %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2C5C864B"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FFC000"/>
                <w:kern w:val="0"/>
                <w:sz w:val="16"/>
                <w:szCs w:val="16"/>
                <w:lang w:eastAsia="en-GB"/>
                <w14:ligatures w14:val="none"/>
              </w:rPr>
              <w:t xml:space="preserve">33 %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7498BDAA"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C00000"/>
                <w:kern w:val="0"/>
                <w:sz w:val="16"/>
                <w:szCs w:val="16"/>
                <w:lang w:eastAsia="en-GB"/>
                <w14:ligatures w14:val="none"/>
              </w:rPr>
              <w:t xml:space="preserve">60 %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22B11B78"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70C0"/>
                <w:kern w:val="0"/>
                <w:sz w:val="16"/>
                <w:szCs w:val="16"/>
                <w:lang w:eastAsia="en-GB"/>
                <w14:ligatures w14:val="none"/>
              </w:rPr>
              <w:t xml:space="preserve">1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7F77960B"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Universidad Carolina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29C420D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273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642C302B"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0E40C295"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6575834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68392622"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3 </w:t>
            </w:r>
          </w:p>
        </w:tc>
      </w:tr>
      <w:tr w:rsidRPr="00A92749" w:rsidR="00A92749" w14:paraId="45ADA5CA"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7E09C016"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Países Bajos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571AFD82"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13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417C4542"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B050"/>
                <w:kern w:val="0"/>
                <w:sz w:val="16"/>
                <w:szCs w:val="16"/>
                <w:lang w:eastAsia="en-GB"/>
                <w14:ligatures w14:val="none"/>
              </w:rPr>
              <w:t xml:space="preserve">8 %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5779D76E"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FFC000"/>
                <w:kern w:val="0"/>
                <w:sz w:val="16"/>
                <w:szCs w:val="16"/>
                <w:lang w:eastAsia="en-GB"/>
                <w14:ligatures w14:val="none"/>
              </w:rPr>
              <w:t xml:space="preserve">8 %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784A8AB9"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C00000"/>
                <w:kern w:val="0"/>
                <w:sz w:val="16"/>
                <w:szCs w:val="16"/>
                <w:lang w:eastAsia="en-GB"/>
                <w14:ligatures w14:val="none"/>
              </w:rPr>
              <w:t xml:space="preserve">85 %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5EB8CD65"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70C0"/>
                <w:kern w:val="0"/>
                <w:sz w:val="16"/>
                <w:szCs w:val="16"/>
                <w:lang w:eastAsia="en-GB"/>
                <w14:ligatures w14:val="none"/>
              </w:rPr>
              <w:t>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72AC94FF"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Universidad Tecnológica de Delft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61DCFDC2"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48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75FFF6E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77AF1C28"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2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13D825A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9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6628C8D6"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13 </w:t>
            </w:r>
          </w:p>
        </w:tc>
      </w:tr>
      <w:tr w:rsidRPr="00A92749" w:rsidR="00A92749" w14:paraId="6B253A31"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31BE0D60"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Portugal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6313F14B"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11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0F1CA6C9"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B050"/>
                <w:kern w:val="0"/>
                <w:sz w:val="16"/>
                <w:szCs w:val="16"/>
                <w:lang w:eastAsia="en-GB"/>
                <w14:ligatures w14:val="none"/>
              </w:rPr>
              <w:t xml:space="preserve">11 %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59372D02"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FFC000"/>
                <w:kern w:val="0"/>
                <w:sz w:val="16"/>
                <w:szCs w:val="16"/>
                <w:lang w:eastAsia="en-GB"/>
                <w14:ligatures w14:val="none"/>
              </w:rPr>
              <w:t xml:space="preserve">11 %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34C68436"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C00000"/>
                <w:kern w:val="0"/>
                <w:sz w:val="16"/>
                <w:szCs w:val="16"/>
                <w:lang w:eastAsia="en-GB"/>
                <w14:ligatures w14:val="none"/>
              </w:rPr>
              <w:t xml:space="preserve">78 %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3ECAE75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70C0"/>
                <w:kern w:val="0"/>
                <w:sz w:val="16"/>
                <w:szCs w:val="16"/>
                <w:lang w:eastAsia="en-GB"/>
                <w14:ligatures w14:val="none"/>
              </w:rPr>
              <w:t xml:space="preserve">2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091967F2"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Universidad de Lisboa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2EB56E0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237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0149F3F5"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0D20BE72"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3C36D6FC"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1EE25009"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5 </w:t>
            </w:r>
          </w:p>
        </w:tc>
      </w:tr>
      <w:tr w:rsidRPr="00A92749" w:rsidR="00A92749" w14:paraId="1C6A7207"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0E364A3D"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Bélgica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53CAB0F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10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21F302E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B050"/>
                <w:kern w:val="0"/>
                <w:sz w:val="16"/>
                <w:szCs w:val="16"/>
                <w:lang w:eastAsia="en-GB"/>
                <w14:ligatures w14:val="none"/>
              </w:rPr>
              <w:t xml:space="preserve">40 %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02C2A98B"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FFC000"/>
                <w:kern w:val="0"/>
                <w:sz w:val="16"/>
                <w:szCs w:val="16"/>
                <w:lang w:eastAsia="en-GB"/>
                <w14:ligatures w14:val="none"/>
              </w:rPr>
              <w:t xml:space="preserve">10 %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00EEDC4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C00000"/>
                <w:kern w:val="0"/>
                <w:sz w:val="16"/>
                <w:szCs w:val="16"/>
                <w:lang w:eastAsia="en-GB"/>
                <w14:ligatures w14:val="none"/>
              </w:rPr>
              <w:t xml:space="preserve">50 %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6684DAF8"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70C0"/>
                <w:kern w:val="0"/>
                <w:sz w:val="16"/>
                <w:szCs w:val="16"/>
                <w:lang w:eastAsia="en-GB"/>
                <w14:ligatures w14:val="none"/>
              </w:rPr>
              <w:t>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11D14AC3"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KU Leuven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252DC613"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59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68149952"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794AD77F"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473A14E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3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1A3FCB6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7 </w:t>
            </w:r>
          </w:p>
        </w:tc>
      </w:tr>
      <w:tr w:rsidRPr="00A92749" w:rsidR="00A92749" w14:paraId="4000B8AF"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3AA540F3"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Austria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70B96BE9"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10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146DCE58"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B050"/>
                <w:kern w:val="0"/>
                <w:sz w:val="16"/>
                <w:szCs w:val="16"/>
                <w:lang w:eastAsia="en-GB"/>
                <w14:ligatures w14:val="none"/>
              </w:rPr>
              <w:t xml:space="preserve">88 %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5391D3D2"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FFC000"/>
                <w:kern w:val="0"/>
                <w:sz w:val="16"/>
                <w:szCs w:val="16"/>
                <w:lang w:eastAsia="en-GB"/>
                <w14:ligatures w14:val="none"/>
              </w:rPr>
              <w:t xml:space="preserve">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1C77EE9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C00000"/>
                <w:kern w:val="0"/>
                <w:sz w:val="16"/>
                <w:szCs w:val="16"/>
                <w:lang w:eastAsia="en-GB"/>
                <w14:ligatures w14:val="none"/>
              </w:rPr>
              <w:t xml:space="preserve">13 %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4007EAE5"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70C0"/>
                <w:kern w:val="0"/>
                <w:sz w:val="16"/>
                <w:szCs w:val="16"/>
                <w:lang w:eastAsia="en-GB"/>
                <w14:ligatures w14:val="none"/>
              </w:rPr>
              <w:t xml:space="preserve">2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0ACB3234"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Universidad de Viena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3051B4A8"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140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498C5A9C"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287CFAC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5DAC56B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2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37868DF5"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6 </w:t>
            </w:r>
          </w:p>
        </w:tc>
      </w:tr>
      <w:tr w:rsidRPr="00A92749" w:rsidR="00A92749" w14:paraId="63E986C8"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76B9F2C1"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Grecia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56A2C681"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10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3DA62E63"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B050"/>
                <w:kern w:val="0"/>
                <w:sz w:val="16"/>
                <w:szCs w:val="16"/>
                <w:lang w:eastAsia="en-GB"/>
                <w14:ligatures w14:val="none"/>
              </w:rPr>
              <w:t xml:space="preserve">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2B4E588B"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FFC000"/>
                <w:kern w:val="0"/>
                <w:sz w:val="16"/>
                <w:szCs w:val="16"/>
                <w:lang w:eastAsia="en-GB"/>
                <w14:ligatures w14:val="none"/>
              </w:rPr>
              <w:t xml:space="preserve">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77A79865"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C00000"/>
                <w:kern w:val="0"/>
                <w:sz w:val="16"/>
                <w:szCs w:val="16"/>
                <w:lang w:eastAsia="en-GB"/>
                <w14:ligatures w14:val="none"/>
              </w:rPr>
              <w:t xml:space="preserve">100 %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738E5AF7"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70C0"/>
                <w:kern w:val="0"/>
                <w:sz w:val="16"/>
                <w:szCs w:val="16"/>
                <w:lang w:eastAsia="en-GB"/>
                <w14:ligatures w14:val="none"/>
              </w:rPr>
              <w:t xml:space="preserve">3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3744B4BC"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Universidad Técnica Nacional de Atenas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61D665A3"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378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79061A25"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7A25E7E9"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1B3EDA32"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55457014"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2 </w:t>
            </w:r>
          </w:p>
        </w:tc>
      </w:tr>
      <w:tr w:rsidRPr="00A92749" w:rsidR="00A92749" w14:paraId="0F0CB230" w14:textId="77777777">
        <w:trPr>
          <w:trHeight w:val="285"/>
        </w:trPr>
        <w:tc>
          <w:tcPr>
            <w:tcW w:w="1080" w:type="dxa"/>
            <w:tcBorders>
              <w:top w:val="nil"/>
              <w:left w:val="single" w:color="auto" w:sz="6" w:space="0"/>
              <w:bottom w:val="single" w:color="auto" w:sz="6" w:space="0"/>
              <w:right w:val="single" w:color="auto" w:sz="6" w:space="0"/>
            </w:tcBorders>
            <w:vAlign w:val="bottom"/>
            <w:hideMark/>
          </w:tcPr>
          <w:p w:rsidRPr="00A92749" w:rsidR="00A92749" w:rsidP="00A92749" w:rsidRDefault="00A92749" w14:paraId="10E4867E"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Hungría </w:t>
            </w:r>
          </w:p>
        </w:tc>
        <w:tc>
          <w:tcPr>
            <w:tcW w:w="885" w:type="dxa"/>
            <w:tcBorders>
              <w:top w:val="nil"/>
              <w:left w:val="nil"/>
              <w:bottom w:val="single" w:color="auto" w:sz="6" w:space="0"/>
              <w:right w:val="single" w:color="auto" w:sz="6" w:space="0"/>
            </w:tcBorders>
            <w:vAlign w:val="bottom"/>
            <w:hideMark/>
          </w:tcPr>
          <w:p w:rsidRPr="00A92749" w:rsidR="00A92749" w:rsidP="00A92749" w:rsidRDefault="00A92749" w14:paraId="2A084F77"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10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1BDD4AD8"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B050"/>
                <w:kern w:val="0"/>
                <w:sz w:val="16"/>
                <w:szCs w:val="16"/>
                <w:lang w:eastAsia="en-GB"/>
                <w14:ligatures w14:val="none"/>
              </w:rPr>
              <w:t xml:space="preserve">10 %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138D064E"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FFC000"/>
                <w:kern w:val="0"/>
                <w:sz w:val="16"/>
                <w:szCs w:val="16"/>
                <w:lang w:eastAsia="en-GB"/>
                <w14:ligatures w14:val="none"/>
              </w:rPr>
              <w:t xml:space="preserve">30 %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24379CE7"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C00000"/>
                <w:kern w:val="0"/>
                <w:sz w:val="16"/>
                <w:szCs w:val="16"/>
                <w:lang w:eastAsia="en-GB"/>
                <w14:ligatures w14:val="none"/>
              </w:rPr>
              <w:t xml:space="preserve">60 % </w:t>
            </w:r>
          </w:p>
        </w:tc>
        <w:tc>
          <w:tcPr>
            <w:tcW w:w="705" w:type="dxa"/>
            <w:tcBorders>
              <w:top w:val="nil"/>
              <w:left w:val="nil"/>
              <w:bottom w:val="single" w:color="auto" w:sz="6" w:space="0"/>
              <w:right w:val="single" w:color="auto" w:sz="6" w:space="0"/>
            </w:tcBorders>
            <w:vAlign w:val="bottom"/>
            <w:hideMark/>
          </w:tcPr>
          <w:p w:rsidRPr="00A92749" w:rsidR="00A92749" w:rsidP="00A92749" w:rsidRDefault="00A92749" w14:paraId="048B1719"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color w:val="0070C0"/>
                <w:kern w:val="0"/>
                <w:sz w:val="16"/>
                <w:szCs w:val="16"/>
                <w:lang w:eastAsia="en-GB"/>
                <w14:ligatures w14:val="none"/>
              </w:rPr>
              <w:t>  </w:t>
            </w:r>
          </w:p>
        </w:tc>
        <w:tc>
          <w:tcPr>
            <w:tcW w:w="226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6701D101" w14:textId="77777777">
            <w:pPr>
              <w:spacing w:after="0" w:line="240" w:lineRule="auto"/>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Universidad Eötvös Loránd </w:t>
            </w:r>
          </w:p>
        </w:tc>
        <w:tc>
          <w:tcPr>
            <w:tcW w:w="705" w:type="dxa"/>
            <w:tcBorders>
              <w:top w:val="nil"/>
              <w:left w:val="nil"/>
              <w:bottom w:val="single" w:color="auto" w:sz="6" w:space="0"/>
              <w:right w:val="single" w:color="auto" w:sz="6" w:space="0"/>
            </w:tcBorders>
            <w:shd w:val="clear" w:color="auto" w:fill="F2F2F2"/>
            <w:vAlign w:val="bottom"/>
            <w:hideMark/>
          </w:tcPr>
          <w:p w:rsidRPr="00A92749" w:rsidR="00A92749" w:rsidP="00A92749" w:rsidRDefault="00A92749" w14:paraId="4BBBF2AC"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xml:space="preserve">595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04598C20"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7A6160B8"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04C85C6C"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c>
          <w:tcPr>
            <w:tcW w:w="555" w:type="dxa"/>
            <w:tcBorders>
              <w:top w:val="nil"/>
              <w:left w:val="nil"/>
              <w:bottom w:val="single" w:color="auto" w:sz="6" w:space="0"/>
              <w:right w:val="single" w:color="auto" w:sz="6" w:space="0"/>
            </w:tcBorders>
            <w:vAlign w:val="bottom"/>
            <w:hideMark/>
          </w:tcPr>
          <w:p w:rsidRPr="00A92749" w:rsidR="00A92749" w:rsidP="00A92749" w:rsidRDefault="00A92749" w14:paraId="158E4C2A" w14:textId="77777777">
            <w:pPr>
              <w:spacing w:after="0" w:line="240" w:lineRule="auto"/>
              <w:jc w:val="center"/>
              <w:textAlignment w:val="baseline"/>
              <w:rPr>
                <w:rFonts w:ascii="Segoe UI" w:hAnsi="Segoe UI" w:eastAsia="Times New Roman" w:cs="Segoe UI"/>
                <w:kern w:val="0"/>
                <w:sz w:val="18"/>
                <w:szCs w:val="18"/>
                <w:lang w:eastAsia="en-GB"/>
                <w14:ligatures w14:val="none"/>
              </w:rPr>
            </w:pPr>
            <w:r w:rsidRPr="00A92749">
              <w:rPr>
                <w:rFonts w:ascii="Calibri" w:hAnsi="Calibri" w:eastAsia="Times New Roman" w:cs="Calibri"/>
                <w:kern w:val="0"/>
                <w:sz w:val="16"/>
                <w:szCs w:val="16"/>
                <w:lang w:eastAsia="en-GB"/>
                <w14:ligatures w14:val="none"/>
              </w:rPr>
              <w:t>  </w:t>
            </w:r>
          </w:p>
        </w:tc>
      </w:tr>
    </w:tbl>
    <w:p w:rsidR="00A92749" w:rsidP="005A298B" w:rsidRDefault="00A92749" w14:paraId="020B6C0D" w14:textId="77777777">
      <w:pPr>
        <w:pStyle w:val="paragraph"/>
        <w:spacing w:before="0" w:beforeAutospacing="0" w:after="0" w:afterAutospacing="0"/>
        <w:textAlignment w:val="baseline"/>
        <w:rPr>
          <w:rFonts w:ascii="Segoe UI" w:hAnsi="Segoe UI" w:cs="Segoe UI"/>
          <w:sz w:val="18"/>
          <w:szCs w:val="18"/>
        </w:rPr>
      </w:pPr>
    </w:p>
    <w:p w:rsidR="00714150" w:rsidP="05610078" w:rsidRDefault="00714150" w14:paraId="5B6682F4" w14:textId="77777777">
      <w:pPr>
        <w:pStyle w:val="paragraph"/>
        <w:spacing w:before="0" w:beforeAutospacing="0" w:after="160" w:afterAutospacing="0" w:line="360" w:lineRule="auto"/>
        <w:textAlignment w:val="baseline"/>
        <w:rPr>
          <w:rFonts w:ascii="Calibri" w:hAnsi="Calibri" w:cs="Calibri"/>
          <w:sz w:val="22"/>
          <w:szCs w:val="22"/>
          <w:lang w:val="es-ES"/>
        </w:rPr>
      </w:pPr>
    </w:p>
    <w:p w:rsidRPr="00B03A7C" w:rsidR="00BC3E1A" w:rsidP="05610078" w:rsidRDefault="332083E9" w14:paraId="5036575B" w14:textId="1BC79CA3">
      <w:pPr>
        <w:pStyle w:val="paragraph"/>
        <w:spacing w:before="0" w:beforeAutospacing="0" w:after="160" w:afterAutospacing="0" w:line="360" w:lineRule="auto"/>
        <w:textAlignment w:val="baseline"/>
        <w:rPr>
          <w:rFonts w:ascii="Calibri" w:hAnsi="Calibri" w:cs="Calibri"/>
          <w:sz w:val="22"/>
          <w:szCs w:val="22"/>
          <w:lang w:val="es-ES"/>
        </w:rPr>
      </w:pPr>
      <w:r w:rsidRPr="00BC3E1A">
        <w:rPr>
          <w:rFonts w:ascii="Calibri" w:hAnsi="Calibri" w:cs="Calibri"/>
          <w:i/>
          <w:iCs/>
          <w:sz w:val="22"/>
          <w:szCs w:val="22"/>
          <w:lang w:val="es-ES"/>
        </w:rPr>
        <w:t>QS World University Rankings</w:t>
      </w:r>
      <w:r w:rsidRPr="00086132">
        <w:rPr>
          <w:rFonts w:ascii="Calibri" w:hAnsi="Calibri" w:cs="Calibri"/>
          <w:sz w:val="22"/>
          <w:szCs w:val="22"/>
          <w:lang w:val="es-ES"/>
        </w:rPr>
        <w:t xml:space="preserve"> se determina a partir de las puntuaciones de las instituciones en nueve indicadores clave. La tabla </w:t>
      </w:r>
      <w:r w:rsidR="00BC3E1A">
        <w:rPr>
          <w:rFonts w:ascii="Calibri" w:hAnsi="Calibri" w:cs="Calibri"/>
          <w:sz w:val="22"/>
          <w:szCs w:val="22"/>
          <w:lang w:val="es-ES"/>
        </w:rPr>
        <w:t xml:space="preserve">que aparece a continuación </w:t>
      </w:r>
      <w:r w:rsidRPr="00086132">
        <w:rPr>
          <w:rFonts w:ascii="Calibri" w:hAnsi="Calibri" w:cs="Calibri"/>
          <w:sz w:val="22"/>
          <w:szCs w:val="22"/>
          <w:lang w:val="es-ES"/>
        </w:rPr>
        <w:t xml:space="preserve">muestra la universidad española </w:t>
      </w:r>
      <w:r w:rsidRPr="00086132" w:rsidR="4432C2E3">
        <w:rPr>
          <w:rFonts w:ascii="Calibri" w:hAnsi="Calibri" w:cs="Calibri"/>
          <w:sz w:val="22"/>
          <w:szCs w:val="22"/>
          <w:lang w:val="es-ES"/>
        </w:rPr>
        <w:t>con</w:t>
      </w:r>
      <w:r w:rsidRPr="00086132">
        <w:rPr>
          <w:rFonts w:ascii="Calibri" w:hAnsi="Calibri" w:cs="Calibri"/>
          <w:sz w:val="22"/>
          <w:szCs w:val="22"/>
          <w:lang w:val="es-ES"/>
        </w:rPr>
        <w:t xml:space="preserve"> mejor </w:t>
      </w:r>
      <w:r w:rsidR="00ED786D">
        <w:rPr>
          <w:rFonts w:ascii="Calibri" w:hAnsi="Calibri" w:cs="Calibri"/>
          <w:sz w:val="22"/>
          <w:szCs w:val="22"/>
          <w:lang w:val="es-ES"/>
        </w:rPr>
        <w:t>desempeño</w:t>
      </w:r>
      <w:r w:rsidRPr="00086132">
        <w:rPr>
          <w:rFonts w:ascii="Calibri" w:hAnsi="Calibri" w:cs="Calibri"/>
          <w:sz w:val="22"/>
          <w:szCs w:val="22"/>
          <w:lang w:val="es-ES"/>
        </w:rPr>
        <w:t xml:space="preserve"> en cada indicador</w:t>
      </w:r>
      <w:r w:rsidRPr="00086132" w:rsidR="4432C2E3">
        <w:rPr>
          <w:rFonts w:ascii="Calibri" w:hAnsi="Calibri" w:cs="Calibri"/>
          <w:sz w:val="22"/>
          <w:szCs w:val="22"/>
          <w:lang w:val="es-ES"/>
        </w:rPr>
        <w:t xml:space="preserve">, destacando su fortaleza en la colaboración transfronteriza en investigación y </w:t>
      </w:r>
      <w:r w:rsidR="00ED786D">
        <w:rPr>
          <w:rFonts w:ascii="Calibri" w:hAnsi="Calibri" w:cs="Calibri"/>
          <w:sz w:val="22"/>
          <w:szCs w:val="22"/>
          <w:lang w:val="es-ES"/>
        </w:rPr>
        <w:t>el porcentaje</w:t>
      </w:r>
      <w:r w:rsidRPr="00086132" w:rsidR="4432C2E3">
        <w:rPr>
          <w:rFonts w:ascii="Calibri" w:hAnsi="Calibri" w:cs="Calibri"/>
          <w:sz w:val="22"/>
          <w:szCs w:val="22"/>
          <w:lang w:val="es-ES"/>
        </w:rPr>
        <w:t xml:space="preserve"> de estudiantes internacionales, mientras que la reputación académica es el único indicador en el que España registra una mejora neta global. </w:t>
      </w:r>
      <w:r w:rsidRPr="00BC3E1A">
        <w:rPr>
          <w:rFonts w:ascii="Calibri" w:hAnsi="Calibri" w:cs="Calibri"/>
          <w:sz w:val="22"/>
          <w:szCs w:val="22"/>
          <w:lang w:val="es-ES"/>
        </w:rPr>
        <w:t xml:space="preserve">Puede consultarse </w:t>
      </w:r>
      <w:hyperlink r:id="rId11">
        <w:r w:rsidRPr="00BC3E1A">
          <w:rPr>
            <w:rStyle w:val="Hyperlink"/>
            <w:rFonts w:ascii="Calibri" w:hAnsi="Calibri" w:cs="Calibri"/>
            <w:sz w:val="22"/>
            <w:szCs w:val="22"/>
            <w:lang w:val="es-ES"/>
          </w:rPr>
          <w:t>aquí</w:t>
        </w:r>
      </w:hyperlink>
      <w:r w:rsidRPr="00BC3E1A">
        <w:rPr>
          <w:rFonts w:ascii="Calibri" w:hAnsi="Calibri" w:cs="Calibri"/>
          <w:sz w:val="22"/>
          <w:szCs w:val="22"/>
          <w:lang w:val="es-ES"/>
        </w:rPr>
        <w:t xml:space="preserve"> información metodológica detallada.</w:t>
      </w:r>
    </w:p>
    <w:tbl>
      <w:tblPr>
        <w:tblW w:w="10440" w:type="dxa"/>
        <w:jc w:val="center"/>
        <w:tblLayout w:type="fixed"/>
        <w:tblLook w:val="04A0" w:firstRow="1" w:lastRow="0" w:firstColumn="1" w:lastColumn="0" w:noHBand="0" w:noVBand="1"/>
      </w:tblPr>
      <w:tblGrid>
        <w:gridCol w:w="1615"/>
        <w:gridCol w:w="1080"/>
        <w:gridCol w:w="694"/>
        <w:gridCol w:w="566"/>
        <w:gridCol w:w="630"/>
        <w:gridCol w:w="1080"/>
        <w:gridCol w:w="990"/>
        <w:gridCol w:w="1805"/>
        <w:gridCol w:w="900"/>
        <w:gridCol w:w="1080"/>
      </w:tblGrid>
      <w:tr w:rsidRPr="00086132" w:rsidR="00823001" w:rsidTr="00ED786D" w14:paraId="620AB100" w14:textId="77777777">
        <w:trPr>
          <w:trHeight w:val="300"/>
          <w:jc w:val="center"/>
        </w:trPr>
        <w:tc>
          <w:tcPr>
            <w:tcW w:w="10440" w:type="dxa"/>
            <w:gridSpan w:val="10"/>
            <w:tcBorders>
              <w:top w:val="single" w:color="auto" w:sz="4" w:space="0"/>
              <w:left w:val="single" w:color="auto" w:sz="4" w:space="0"/>
              <w:bottom w:val="single" w:color="auto" w:sz="4" w:space="0"/>
              <w:right w:val="single" w:color="auto" w:sz="4" w:space="0"/>
            </w:tcBorders>
            <w:noWrap/>
            <w:vAlign w:val="center"/>
            <w:hideMark/>
          </w:tcPr>
          <w:p w:rsidRPr="00086132" w:rsidR="00823001" w:rsidP="00823001" w:rsidRDefault="33A88A3C" w14:paraId="117C2100" w14:textId="77777777">
            <w:pPr>
              <w:spacing w:after="0" w:line="240" w:lineRule="auto"/>
              <w:jc w:val="center"/>
              <w:rPr>
                <w:rFonts w:ascii="Calibri" w:hAnsi="Calibri" w:eastAsia="Times New Roman" w:cs="Calibri"/>
                <w:b/>
                <w:bCs/>
                <w:color w:val="1D1D1B"/>
                <w:kern w:val="0"/>
                <w:sz w:val="20"/>
                <w:szCs w:val="20"/>
                <w:lang w:val="es-ES" w:eastAsia="en-GB"/>
                <w14:ligatures w14:val="none"/>
              </w:rPr>
            </w:pPr>
            <w:r w:rsidRPr="00086132">
              <w:rPr>
                <w:rFonts w:ascii="Calibri" w:hAnsi="Calibri" w:eastAsia="Times New Roman" w:cs="Calibri"/>
                <w:b/>
                <w:bCs/>
                <w:color w:val="1D1D1B"/>
                <w:kern w:val="0"/>
                <w:sz w:val="20"/>
                <w:szCs w:val="20"/>
                <w:lang w:val="es-ES" w:eastAsia="en-GB"/>
                <w14:ligatures w14:val="none"/>
              </w:rPr>
              <w:t>Tabla 3: España - Desglose por indicadores</w:t>
            </w:r>
          </w:p>
        </w:tc>
      </w:tr>
      <w:tr w:rsidRPr="00823001" w:rsidR="00823001" w:rsidTr="00ED786D" w14:paraId="7BDF8792" w14:textId="77777777">
        <w:trPr>
          <w:trHeight w:val="300"/>
          <w:jc w:val="center"/>
        </w:trPr>
        <w:tc>
          <w:tcPr>
            <w:tcW w:w="1615" w:type="dxa"/>
            <w:vMerge w:val="restart"/>
            <w:tcBorders>
              <w:top w:val="nil"/>
              <w:left w:val="single" w:color="auto" w:sz="4" w:space="0"/>
              <w:bottom w:val="single" w:color="auto" w:sz="4" w:space="0"/>
              <w:right w:val="single" w:color="auto" w:sz="4" w:space="0"/>
            </w:tcBorders>
            <w:vAlign w:val="center"/>
            <w:hideMark/>
          </w:tcPr>
          <w:p w:rsidRPr="00823001" w:rsidR="00823001" w:rsidP="615351E5" w:rsidRDefault="33A88A3C" w14:paraId="4F352916" w14:textId="77777777">
            <w:pPr>
              <w:spacing w:after="0" w:line="240" w:lineRule="auto"/>
              <w:jc w:val="center"/>
              <w:rPr>
                <w:rFonts w:ascii="Calibri" w:hAnsi="Calibri" w:eastAsia="Times New Roman" w:cs="Calibri"/>
                <w:b/>
                <w:bCs/>
                <w:kern w:val="0"/>
                <w:sz w:val="16"/>
                <w:szCs w:val="16"/>
                <w:lang w:eastAsia="en-GB"/>
                <w14:ligatures w14:val="none"/>
              </w:rPr>
            </w:pPr>
            <w:proofErr w:type="spellStart"/>
            <w:r w:rsidRPr="00823001">
              <w:rPr>
                <w:rFonts w:ascii="Calibri" w:hAnsi="Calibri" w:eastAsia="Times New Roman" w:cs="Calibri"/>
                <w:b/>
                <w:bCs/>
                <w:kern w:val="0"/>
                <w:sz w:val="16"/>
                <w:szCs w:val="16"/>
                <w:lang w:eastAsia="en-GB"/>
                <w14:ligatures w14:val="none"/>
              </w:rPr>
              <w:t>Indicador</w:t>
            </w:r>
            <w:proofErr w:type="spellEnd"/>
          </w:p>
        </w:tc>
        <w:tc>
          <w:tcPr>
            <w:tcW w:w="1080" w:type="dxa"/>
            <w:vMerge w:val="restart"/>
            <w:tcBorders>
              <w:top w:val="nil"/>
              <w:left w:val="single" w:color="auto" w:sz="4" w:space="0"/>
              <w:bottom w:val="single" w:color="auto" w:sz="4" w:space="0"/>
              <w:right w:val="single" w:color="auto" w:sz="4" w:space="0"/>
            </w:tcBorders>
            <w:vAlign w:val="center"/>
            <w:hideMark/>
          </w:tcPr>
          <w:p w:rsidRPr="00823001" w:rsidR="00823001" w:rsidP="00823001" w:rsidRDefault="33A88A3C" w14:paraId="457613E6" w14:textId="77777777">
            <w:pPr>
              <w:spacing w:after="0" w:line="240" w:lineRule="auto"/>
              <w:jc w:val="center"/>
              <w:rPr>
                <w:rFonts w:ascii="Calibri" w:hAnsi="Calibri" w:eastAsia="Times New Roman" w:cs="Calibri"/>
                <w:b/>
                <w:bCs/>
                <w:kern w:val="0"/>
                <w:sz w:val="16"/>
                <w:szCs w:val="16"/>
                <w:lang w:eastAsia="en-GB"/>
                <w14:ligatures w14:val="none"/>
              </w:rPr>
            </w:pPr>
            <w:r w:rsidRPr="00823001">
              <w:rPr>
                <w:rFonts w:ascii="Calibri" w:hAnsi="Calibri" w:eastAsia="Times New Roman" w:cs="Calibri"/>
                <w:b/>
                <w:bCs/>
                <w:kern w:val="0"/>
                <w:sz w:val="16"/>
                <w:szCs w:val="16"/>
                <w:lang w:eastAsia="en-GB"/>
                <w14:ligatures w14:val="none"/>
              </w:rPr>
              <w:t>Ponderación</w:t>
            </w:r>
          </w:p>
        </w:tc>
        <w:tc>
          <w:tcPr>
            <w:tcW w:w="694" w:type="dxa"/>
            <w:vMerge w:val="restart"/>
            <w:tcBorders>
              <w:top w:val="nil"/>
              <w:left w:val="single" w:color="auto" w:sz="4" w:space="0"/>
              <w:bottom w:val="single" w:color="auto" w:sz="4" w:space="0"/>
              <w:right w:val="single" w:color="auto" w:sz="4" w:space="0"/>
            </w:tcBorders>
            <w:vAlign w:val="center"/>
            <w:hideMark/>
          </w:tcPr>
          <w:p w:rsidRPr="00823001" w:rsidR="00823001" w:rsidP="00823001" w:rsidRDefault="33A88A3C" w14:paraId="5DE62F67" w14:textId="77777777">
            <w:pPr>
              <w:spacing w:after="0" w:line="240" w:lineRule="auto"/>
              <w:jc w:val="center"/>
              <w:rPr>
                <w:rFonts w:ascii="Calibri" w:hAnsi="Calibri" w:eastAsia="Times New Roman" w:cs="Calibri"/>
                <w:b/>
                <w:bCs/>
                <w:color w:val="00B050"/>
                <w:kern w:val="0"/>
                <w:sz w:val="16"/>
                <w:szCs w:val="16"/>
                <w:lang w:eastAsia="en-GB"/>
                <w14:ligatures w14:val="none"/>
              </w:rPr>
            </w:pPr>
            <w:r w:rsidRPr="00823001">
              <w:rPr>
                <w:rFonts w:ascii="Calibri" w:hAnsi="Calibri" w:eastAsia="Times New Roman" w:cs="Calibri"/>
                <w:b/>
                <w:bCs/>
                <w:color w:val="00B050"/>
                <w:kern w:val="0"/>
                <w:sz w:val="16"/>
                <w:szCs w:val="16"/>
                <w:lang w:eastAsia="en-GB"/>
                <w14:ligatures w14:val="none"/>
              </w:rPr>
              <w:t>Subida</w:t>
            </w:r>
          </w:p>
        </w:tc>
        <w:tc>
          <w:tcPr>
            <w:tcW w:w="566" w:type="dxa"/>
            <w:vMerge w:val="restart"/>
            <w:tcBorders>
              <w:top w:val="nil"/>
              <w:left w:val="single" w:color="auto" w:sz="4" w:space="0"/>
              <w:bottom w:val="single" w:color="auto" w:sz="4" w:space="0"/>
              <w:right w:val="single" w:color="auto" w:sz="4" w:space="0"/>
            </w:tcBorders>
            <w:vAlign w:val="center"/>
            <w:hideMark/>
          </w:tcPr>
          <w:p w:rsidRPr="00823001" w:rsidR="00823001" w:rsidP="00823001" w:rsidRDefault="33A88A3C" w14:paraId="62B55BE1" w14:textId="77777777">
            <w:pPr>
              <w:spacing w:after="0" w:line="240" w:lineRule="auto"/>
              <w:jc w:val="center"/>
              <w:rPr>
                <w:rFonts w:ascii="Calibri" w:hAnsi="Calibri" w:eastAsia="Times New Roman" w:cs="Calibri"/>
                <w:b/>
                <w:bCs/>
                <w:color w:val="FFC000"/>
                <w:kern w:val="0"/>
                <w:sz w:val="16"/>
                <w:szCs w:val="16"/>
                <w:lang w:eastAsia="en-GB"/>
                <w14:ligatures w14:val="none"/>
              </w:rPr>
            </w:pPr>
            <w:r w:rsidRPr="00823001">
              <w:rPr>
                <w:rFonts w:ascii="Calibri" w:hAnsi="Calibri" w:eastAsia="Times New Roman" w:cs="Calibri"/>
                <w:b/>
                <w:bCs/>
                <w:color w:val="FFC000"/>
                <w:kern w:val="0"/>
                <w:sz w:val="16"/>
                <w:szCs w:val="16"/>
                <w:lang w:eastAsia="en-GB"/>
                <w14:ligatures w14:val="none"/>
              </w:rPr>
              <w:t>Igual</w:t>
            </w:r>
          </w:p>
        </w:tc>
        <w:tc>
          <w:tcPr>
            <w:tcW w:w="630" w:type="dxa"/>
            <w:vMerge w:val="restart"/>
            <w:tcBorders>
              <w:top w:val="nil"/>
              <w:left w:val="single" w:color="auto" w:sz="4" w:space="0"/>
              <w:bottom w:val="single" w:color="auto" w:sz="4" w:space="0"/>
              <w:right w:val="single" w:color="auto" w:sz="4" w:space="0"/>
            </w:tcBorders>
            <w:vAlign w:val="center"/>
            <w:hideMark/>
          </w:tcPr>
          <w:p w:rsidRPr="00823001" w:rsidR="00823001" w:rsidP="00823001" w:rsidRDefault="33A88A3C" w14:paraId="6292C24B" w14:textId="77777777">
            <w:pPr>
              <w:spacing w:after="0" w:line="240" w:lineRule="auto"/>
              <w:jc w:val="center"/>
              <w:rPr>
                <w:rFonts w:ascii="Calibri" w:hAnsi="Calibri" w:eastAsia="Times New Roman" w:cs="Calibri"/>
                <w:b/>
                <w:bCs/>
                <w:color w:val="C00000"/>
                <w:kern w:val="0"/>
                <w:sz w:val="16"/>
                <w:szCs w:val="16"/>
                <w:lang w:eastAsia="en-GB"/>
                <w14:ligatures w14:val="none"/>
              </w:rPr>
            </w:pPr>
            <w:r w:rsidRPr="00823001">
              <w:rPr>
                <w:rFonts w:ascii="Calibri" w:hAnsi="Calibri" w:eastAsia="Times New Roman" w:cs="Calibri"/>
                <w:b/>
                <w:bCs/>
                <w:color w:val="C00000"/>
                <w:kern w:val="0"/>
                <w:sz w:val="16"/>
                <w:szCs w:val="16"/>
                <w:lang w:eastAsia="en-GB"/>
                <w14:ligatures w14:val="none"/>
              </w:rPr>
              <w:t>Baja</w:t>
            </w:r>
          </w:p>
        </w:tc>
        <w:tc>
          <w:tcPr>
            <w:tcW w:w="1080" w:type="dxa"/>
            <w:vMerge w:val="restart"/>
            <w:tcBorders>
              <w:top w:val="nil"/>
              <w:left w:val="single" w:color="auto" w:sz="4" w:space="0"/>
              <w:bottom w:val="single" w:color="auto" w:sz="4" w:space="0"/>
              <w:right w:val="single" w:color="auto" w:sz="4" w:space="0"/>
            </w:tcBorders>
            <w:vAlign w:val="center"/>
            <w:hideMark/>
          </w:tcPr>
          <w:p w:rsidRPr="00823001" w:rsidR="00823001" w:rsidP="00823001" w:rsidRDefault="33A88A3C" w14:paraId="3334A53E" w14:textId="77777777">
            <w:pPr>
              <w:spacing w:after="0" w:line="240" w:lineRule="auto"/>
              <w:jc w:val="center"/>
              <w:rPr>
                <w:rFonts w:ascii="Calibri" w:hAnsi="Calibri" w:eastAsia="Times New Roman" w:cs="Calibri"/>
                <w:b/>
                <w:bCs/>
                <w:kern w:val="0"/>
                <w:sz w:val="16"/>
                <w:szCs w:val="16"/>
                <w:lang w:eastAsia="en-GB"/>
                <w14:ligatures w14:val="none"/>
              </w:rPr>
            </w:pPr>
            <w:r w:rsidRPr="00823001">
              <w:rPr>
                <w:rFonts w:ascii="Calibri" w:hAnsi="Calibri" w:eastAsia="Times New Roman" w:cs="Calibri"/>
                <w:b/>
                <w:bCs/>
                <w:kern w:val="0"/>
                <w:sz w:val="16"/>
                <w:szCs w:val="16"/>
                <w:lang w:eastAsia="en-GB"/>
                <w14:ligatures w14:val="none"/>
              </w:rPr>
              <w:t>Puntuación media global</w:t>
            </w:r>
          </w:p>
        </w:tc>
        <w:tc>
          <w:tcPr>
            <w:tcW w:w="990" w:type="dxa"/>
            <w:vMerge w:val="restart"/>
            <w:tcBorders>
              <w:top w:val="nil"/>
              <w:left w:val="single" w:color="auto" w:sz="4" w:space="0"/>
              <w:bottom w:val="single" w:color="auto" w:sz="4" w:space="0"/>
              <w:right w:val="single" w:color="auto" w:sz="4" w:space="0"/>
            </w:tcBorders>
            <w:vAlign w:val="center"/>
            <w:hideMark/>
          </w:tcPr>
          <w:p w:rsidRPr="00823001" w:rsidR="00823001" w:rsidP="00823001" w:rsidRDefault="33A88A3C" w14:paraId="05B407E1" w14:textId="77777777">
            <w:pPr>
              <w:spacing w:after="0" w:line="240" w:lineRule="auto"/>
              <w:jc w:val="center"/>
              <w:rPr>
                <w:rFonts w:ascii="Calibri" w:hAnsi="Calibri" w:eastAsia="Times New Roman" w:cs="Calibri"/>
                <w:b/>
                <w:bCs/>
                <w:kern w:val="0"/>
                <w:sz w:val="16"/>
                <w:szCs w:val="16"/>
                <w:lang w:eastAsia="en-GB"/>
                <w14:ligatures w14:val="none"/>
              </w:rPr>
            </w:pPr>
            <w:r w:rsidRPr="00823001">
              <w:rPr>
                <w:rFonts w:ascii="Calibri" w:hAnsi="Calibri" w:eastAsia="Times New Roman" w:cs="Calibri"/>
                <w:b/>
                <w:bCs/>
                <w:kern w:val="0"/>
                <w:sz w:val="16"/>
                <w:szCs w:val="16"/>
                <w:lang w:eastAsia="en-GB"/>
                <w14:ligatures w14:val="none"/>
              </w:rPr>
              <w:t>Puntuación media nacional</w:t>
            </w:r>
          </w:p>
        </w:tc>
        <w:tc>
          <w:tcPr>
            <w:tcW w:w="3785" w:type="dxa"/>
            <w:gridSpan w:val="3"/>
            <w:tcBorders>
              <w:top w:val="single" w:color="auto" w:sz="4" w:space="0"/>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669EF9BC" w14:textId="77777777">
            <w:pPr>
              <w:spacing w:after="0" w:line="240" w:lineRule="auto"/>
              <w:jc w:val="center"/>
              <w:rPr>
                <w:rFonts w:ascii="Red Hat Text" w:hAnsi="Red Hat Text" w:eastAsia="Times New Roman" w:cs="Red Hat Text"/>
                <w:b/>
                <w:bCs/>
                <w:kern w:val="0"/>
                <w:sz w:val="16"/>
                <w:szCs w:val="16"/>
                <w:lang w:eastAsia="en-GB"/>
                <w14:ligatures w14:val="none"/>
              </w:rPr>
            </w:pPr>
            <w:r w:rsidRPr="00823001">
              <w:rPr>
                <w:rFonts w:ascii="Red Hat Text" w:hAnsi="Red Hat Text" w:eastAsia="Times New Roman" w:cs="Red Hat Text"/>
                <w:b/>
                <w:bCs/>
                <w:kern w:val="0"/>
                <w:sz w:val="16"/>
                <w:szCs w:val="16"/>
                <w:lang w:eastAsia="en-GB"/>
                <w14:ligatures w14:val="none"/>
              </w:rPr>
              <w:t>Las mejores universidades</w:t>
            </w:r>
          </w:p>
        </w:tc>
      </w:tr>
      <w:tr w:rsidRPr="00823001" w:rsidR="00823001" w:rsidTr="00ED786D" w14:paraId="4D3B4313" w14:textId="77777777">
        <w:trPr>
          <w:trHeight w:val="323"/>
          <w:jc w:val="center"/>
        </w:trPr>
        <w:tc>
          <w:tcPr>
            <w:tcW w:w="1615" w:type="dxa"/>
            <w:vMerge/>
            <w:vAlign w:val="center"/>
            <w:hideMark/>
          </w:tcPr>
          <w:p w:rsidRPr="00823001" w:rsidR="00823001" w:rsidP="00823001" w:rsidRDefault="00823001" w14:paraId="4960E9EB" w14:textId="77777777">
            <w:pPr>
              <w:spacing w:after="0" w:line="240" w:lineRule="auto"/>
              <w:rPr>
                <w:rFonts w:ascii="Calibri" w:hAnsi="Calibri" w:eastAsia="Times New Roman" w:cs="Calibri"/>
                <w:b/>
                <w:bCs/>
                <w:kern w:val="0"/>
                <w:sz w:val="16"/>
                <w:szCs w:val="16"/>
                <w:lang w:eastAsia="en-GB"/>
                <w14:ligatures w14:val="none"/>
              </w:rPr>
            </w:pPr>
          </w:p>
        </w:tc>
        <w:tc>
          <w:tcPr>
            <w:tcW w:w="1080" w:type="dxa"/>
            <w:vMerge/>
            <w:vAlign w:val="center"/>
            <w:hideMark/>
          </w:tcPr>
          <w:p w:rsidRPr="00823001" w:rsidR="00823001" w:rsidP="00823001" w:rsidRDefault="00823001" w14:paraId="25FABC35" w14:textId="77777777">
            <w:pPr>
              <w:spacing w:after="0" w:line="240" w:lineRule="auto"/>
              <w:rPr>
                <w:rFonts w:ascii="Calibri" w:hAnsi="Calibri" w:eastAsia="Times New Roman" w:cs="Calibri"/>
                <w:b/>
                <w:bCs/>
                <w:kern w:val="0"/>
                <w:sz w:val="16"/>
                <w:szCs w:val="16"/>
                <w:lang w:eastAsia="en-GB"/>
                <w14:ligatures w14:val="none"/>
              </w:rPr>
            </w:pPr>
          </w:p>
        </w:tc>
        <w:tc>
          <w:tcPr>
            <w:tcW w:w="694" w:type="dxa"/>
            <w:vMerge/>
            <w:vAlign w:val="center"/>
            <w:hideMark/>
          </w:tcPr>
          <w:p w:rsidRPr="00823001" w:rsidR="00823001" w:rsidP="00823001" w:rsidRDefault="00823001" w14:paraId="1F12FCF2" w14:textId="77777777">
            <w:pPr>
              <w:spacing w:after="0" w:line="240" w:lineRule="auto"/>
              <w:rPr>
                <w:rFonts w:ascii="Calibri" w:hAnsi="Calibri" w:eastAsia="Times New Roman" w:cs="Calibri"/>
                <w:b/>
                <w:bCs/>
                <w:color w:val="00B050"/>
                <w:kern w:val="0"/>
                <w:sz w:val="16"/>
                <w:szCs w:val="16"/>
                <w:lang w:eastAsia="en-GB"/>
                <w14:ligatures w14:val="none"/>
              </w:rPr>
            </w:pPr>
          </w:p>
        </w:tc>
        <w:tc>
          <w:tcPr>
            <w:tcW w:w="566" w:type="dxa"/>
            <w:vMerge/>
            <w:vAlign w:val="center"/>
            <w:hideMark/>
          </w:tcPr>
          <w:p w:rsidRPr="00823001" w:rsidR="00823001" w:rsidP="00823001" w:rsidRDefault="00823001" w14:paraId="367E9287" w14:textId="77777777">
            <w:pPr>
              <w:spacing w:after="0" w:line="240" w:lineRule="auto"/>
              <w:rPr>
                <w:rFonts w:ascii="Calibri" w:hAnsi="Calibri" w:eastAsia="Times New Roman" w:cs="Calibri"/>
                <w:b/>
                <w:bCs/>
                <w:color w:val="FFC000"/>
                <w:kern w:val="0"/>
                <w:sz w:val="16"/>
                <w:szCs w:val="16"/>
                <w:lang w:eastAsia="en-GB"/>
                <w14:ligatures w14:val="none"/>
              </w:rPr>
            </w:pPr>
          </w:p>
        </w:tc>
        <w:tc>
          <w:tcPr>
            <w:tcW w:w="630" w:type="dxa"/>
            <w:vMerge/>
            <w:vAlign w:val="center"/>
            <w:hideMark/>
          </w:tcPr>
          <w:p w:rsidRPr="00823001" w:rsidR="00823001" w:rsidP="00823001" w:rsidRDefault="00823001" w14:paraId="30C80AE1" w14:textId="77777777">
            <w:pPr>
              <w:spacing w:after="0" w:line="240" w:lineRule="auto"/>
              <w:rPr>
                <w:rFonts w:ascii="Calibri" w:hAnsi="Calibri" w:eastAsia="Times New Roman" w:cs="Calibri"/>
                <w:b/>
                <w:bCs/>
                <w:color w:val="C00000"/>
                <w:kern w:val="0"/>
                <w:sz w:val="16"/>
                <w:szCs w:val="16"/>
                <w:lang w:eastAsia="en-GB"/>
                <w14:ligatures w14:val="none"/>
              </w:rPr>
            </w:pPr>
          </w:p>
        </w:tc>
        <w:tc>
          <w:tcPr>
            <w:tcW w:w="1080" w:type="dxa"/>
            <w:vMerge/>
            <w:vAlign w:val="center"/>
            <w:hideMark/>
          </w:tcPr>
          <w:p w:rsidRPr="00823001" w:rsidR="00823001" w:rsidP="00823001" w:rsidRDefault="00823001" w14:paraId="0556184F" w14:textId="77777777">
            <w:pPr>
              <w:spacing w:after="0" w:line="240" w:lineRule="auto"/>
              <w:rPr>
                <w:rFonts w:ascii="Calibri" w:hAnsi="Calibri" w:eastAsia="Times New Roman" w:cs="Calibri"/>
                <w:b/>
                <w:bCs/>
                <w:kern w:val="0"/>
                <w:sz w:val="16"/>
                <w:szCs w:val="16"/>
                <w:lang w:eastAsia="en-GB"/>
                <w14:ligatures w14:val="none"/>
              </w:rPr>
            </w:pPr>
          </w:p>
        </w:tc>
        <w:tc>
          <w:tcPr>
            <w:tcW w:w="990" w:type="dxa"/>
            <w:vMerge/>
            <w:vAlign w:val="center"/>
            <w:hideMark/>
          </w:tcPr>
          <w:p w:rsidRPr="00823001" w:rsidR="00823001" w:rsidP="00823001" w:rsidRDefault="00823001" w14:paraId="52EF3583" w14:textId="77777777">
            <w:pPr>
              <w:spacing w:after="0" w:line="240" w:lineRule="auto"/>
              <w:rPr>
                <w:rFonts w:ascii="Calibri" w:hAnsi="Calibri" w:eastAsia="Times New Roman" w:cs="Calibri"/>
                <w:b/>
                <w:bCs/>
                <w:kern w:val="0"/>
                <w:sz w:val="16"/>
                <w:szCs w:val="16"/>
                <w:lang w:eastAsia="en-GB"/>
                <w14:ligatures w14:val="none"/>
              </w:rPr>
            </w:pPr>
          </w:p>
        </w:tc>
        <w:tc>
          <w:tcPr>
            <w:tcW w:w="1805" w:type="dxa"/>
            <w:tcBorders>
              <w:top w:val="nil"/>
              <w:left w:val="nil"/>
              <w:bottom w:val="single" w:color="auto" w:sz="4" w:space="0"/>
              <w:right w:val="single" w:color="auto" w:sz="4" w:space="0"/>
            </w:tcBorders>
            <w:shd w:val="clear" w:color="auto" w:fill="F2F2F2" w:themeFill="background1" w:themeFillShade="F2"/>
            <w:vAlign w:val="center"/>
            <w:hideMark/>
          </w:tcPr>
          <w:p w:rsidRPr="00823001" w:rsidR="00823001" w:rsidP="615351E5" w:rsidRDefault="33A88A3C" w14:paraId="3DE4BFE0" w14:textId="77777777">
            <w:pPr>
              <w:spacing w:after="0" w:line="240" w:lineRule="auto"/>
              <w:jc w:val="center"/>
              <w:rPr>
                <w:rFonts w:ascii="Calibri" w:hAnsi="Calibri" w:eastAsia="Times New Roman" w:cs="Calibri"/>
                <w:b/>
                <w:bCs/>
                <w:kern w:val="0"/>
                <w:sz w:val="16"/>
                <w:szCs w:val="16"/>
                <w:lang w:eastAsia="en-GB"/>
                <w14:ligatures w14:val="none"/>
              </w:rPr>
            </w:pPr>
            <w:r w:rsidRPr="00823001">
              <w:rPr>
                <w:rFonts w:ascii="Calibri" w:hAnsi="Calibri" w:eastAsia="Times New Roman" w:cs="Calibri"/>
                <w:b/>
                <w:bCs/>
                <w:kern w:val="0"/>
                <w:sz w:val="16"/>
                <w:szCs w:val="16"/>
                <w:lang w:eastAsia="en-GB"/>
                <w14:ligatures w14:val="none"/>
              </w:rPr>
              <w:t>Nombre</w:t>
            </w:r>
          </w:p>
        </w:tc>
        <w:tc>
          <w:tcPr>
            <w:tcW w:w="900" w:type="dxa"/>
            <w:tcBorders>
              <w:top w:val="nil"/>
              <w:left w:val="nil"/>
              <w:bottom w:val="single" w:color="auto" w:sz="4" w:space="0"/>
              <w:right w:val="single" w:color="auto" w:sz="4" w:space="0"/>
            </w:tcBorders>
            <w:shd w:val="clear" w:color="auto" w:fill="F2F2F2" w:themeFill="background1" w:themeFillShade="F2"/>
            <w:vAlign w:val="center"/>
            <w:hideMark/>
          </w:tcPr>
          <w:p w:rsidRPr="00823001" w:rsidR="00823001" w:rsidP="00823001" w:rsidRDefault="33A88A3C" w14:paraId="0BA1D3B0" w14:textId="77777777">
            <w:pPr>
              <w:spacing w:after="0" w:line="240" w:lineRule="auto"/>
              <w:jc w:val="center"/>
              <w:rPr>
                <w:rFonts w:ascii="Calibri" w:hAnsi="Calibri" w:eastAsia="Times New Roman" w:cs="Calibri"/>
                <w:b/>
                <w:bCs/>
                <w:kern w:val="0"/>
                <w:sz w:val="16"/>
                <w:szCs w:val="16"/>
                <w:lang w:eastAsia="en-GB"/>
                <w14:ligatures w14:val="none"/>
              </w:rPr>
            </w:pPr>
            <w:r w:rsidRPr="00823001">
              <w:rPr>
                <w:rFonts w:ascii="Calibri" w:hAnsi="Calibri" w:eastAsia="Times New Roman" w:cs="Calibri"/>
                <w:b/>
                <w:bCs/>
                <w:kern w:val="0"/>
                <w:sz w:val="16"/>
                <w:szCs w:val="16"/>
                <w:lang w:eastAsia="en-GB"/>
                <w14:ligatures w14:val="none"/>
              </w:rPr>
              <w:t>Indicador</w:t>
            </w:r>
          </w:p>
        </w:tc>
        <w:tc>
          <w:tcPr>
            <w:tcW w:w="1080" w:type="dxa"/>
            <w:tcBorders>
              <w:top w:val="nil"/>
              <w:left w:val="nil"/>
              <w:bottom w:val="single" w:color="auto" w:sz="4" w:space="0"/>
              <w:right w:val="single" w:color="auto" w:sz="4" w:space="0"/>
            </w:tcBorders>
            <w:shd w:val="clear" w:color="auto" w:fill="F2F2F2" w:themeFill="background1" w:themeFillShade="F2"/>
            <w:vAlign w:val="center"/>
            <w:hideMark/>
          </w:tcPr>
          <w:p w:rsidRPr="00823001" w:rsidR="00823001" w:rsidP="00823001" w:rsidRDefault="33A88A3C" w14:paraId="5A42BC36" w14:textId="77777777">
            <w:pPr>
              <w:spacing w:after="0" w:line="240" w:lineRule="auto"/>
              <w:jc w:val="center"/>
              <w:rPr>
                <w:rFonts w:ascii="Calibri" w:hAnsi="Calibri" w:eastAsia="Times New Roman" w:cs="Calibri"/>
                <w:b/>
                <w:bCs/>
                <w:kern w:val="0"/>
                <w:sz w:val="16"/>
                <w:szCs w:val="16"/>
                <w:lang w:eastAsia="en-GB"/>
                <w14:ligatures w14:val="none"/>
              </w:rPr>
            </w:pPr>
            <w:r w:rsidRPr="00823001">
              <w:rPr>
                <w:rFonts w:ascii="Calibri" w:hAnsi="Calibri" w:eastAsia="Times New Roman" w:cs="Calibri"/>
                <w:b/>
                <w:bCs/>
                <w:kern w:val="0"/>
                <w:sz w:val="16"/>
                <w:szCs w:val="16"/>
                <w:lang w:eastAsia="en-GB"/>
                <w14:ligatures w14:val="none"/>
              </w:rPr>
              <w:t>Clasificación general</w:t>
            </w:r>
          </w:p>
        </w:tc>
      </w:tr>
      <w:tr w:rsidRPr="00823001" w:rsidR="00823001" w:rsidTr="00ED786D" w14:paraId="45937AD6"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823001" w:rsidR="00823001" w:rsidP="615351E5" w:rsidRDefault="33A88A3C" w14:paraId="75891979" w14:textId="77777777">
            <w:pPr>
              <w:spacing w:after="0" w:line="240" w:lineRule="auto"/>
              <w:jc w:val="center"/>
              <w:rPr>
                <w:rFonts w:ascii="Calibri" w:hAnsi="Calibri" w:eastAsia="Times New Roman" w:cs="Calibri"/>
                <w:kern w:val="0"/>
                <w:sz w:val="16"/>
                <w:szCs w:val="16"/>
                <w:lang w:eastAsia="en-GB"/>
                <w14:ligatures w14:val="none"/>
              </w:rPr>
            </w:pPr>
            <w:proofErr w:type="spellStart"/>
            <w:r w:rsidRPr="00823001">
              <w:rPr>
                <w:rFonts w:ascii="Calibri" w:hAnsi="Calibri" w:eastAsia="Times New Roman" w:cs="Calibri"/>
                <w:kern w:val="0"/>
                <w:sz w:val="16"/>
                <w:szCs w:val="16"/>
                <w:lang w:eastAsia="en-GB"/>
                <w14:ligatures w14:val="none"/>
              </w:rPr>
              <w:t>Reputación</w:t>
            </w:r>
            <w:proofErr w:type="spellEnd"/>
            <w:r w:rsidRPr="00823001">
              <w:rPr>
                <w:rFonts w:ascii="Calibri" w:hAnsi="Calibri" w:eastAsia="Times New Roman" w:cs="Calibri"/>
                <w:kern w:val="0"/>
                <w:sz w:val="16"/>
                <w:szCs w:val="16"/>
                <w:lang w:eastAsia="en-GB"/>
                <w14:ligatures w14:val="none"/>
              </w:rPr>
              <w:t xml:space="preserve"> </w:t>
            </w:r>
            <w:proofErr w:type="spellStart"/>
            <w:r w:rsidRPr="00823001">
              <w:rPr>
                <w:rFonts w:ascii="Calibri" w:hAnsi="Calibri" w:eastAsia="Times New Roman" w:cs="Calibri"/>
                <w:kern w:val="0"/>
                <w:sz w:val="16"/>
                <w:szCs w:val="16"/>
                <w:lang w:eastAsia="en-GB"/>
                <w14:ligatures w14:val="none"/>
              </w:rPr>
              <w:t>académica</w:t>
            </w:r>
            <w:proofErr w:type="spellEnd"/>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27A3348A"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30 %</w:t>
            </w:r>
          </w:p>
        </w:tc>
        <w:tc>
          <w:tcPr>
            <w:tcW w:w="694" w:type="dxa"/>
            <w:tcBorders>
              <w:top w:val="nil"/>
              <w:left w:val="nil"/>
              <w:bottom w:val="single" w:color="auto" w:sz="4" w:space="0"/>
              <w:right w:val="single" w:color="auto" w:sz="4" w:space="0"/>
            </w:tcBorders>
            <w:noWrap/>
            <w:vAlign w:val="center"/>
            <w:hideMark/>
          </w:tcPr>
          <w:p w:rsidRPr="00823001" w:rsidR="00823001" w:rsidP="00823001" w:rsidRDefault="33A88A3C" w14:paraId="3B235618" w14:textId="77777777">
            <w:pPr>
              <w:spacing w:after="0" w:line="240" w:lineRule="auto"/>
              <w:jc w:val="center"/>
              <w:rPr>
                <w:rFonts w:ascii="Calibri" w:hAnsi="Calibri" w:eastAsia="Times New Roman" w:cs="Calibri"/>
                <w:color w:val="00B050"/>
                <w:kern w:val="0"/>
                <w:sz w:val="16"/>
                <w:szCs w:val="16"/>
                <w:lang w:eastAsia="en-GB"/>
                <w14:ligatures w14:val="none"/>
              </w:rPr>
            </w:pPr>
            <w:r w:rsidRPr="00823001">
              <w:rPr>
                <w:rFonts w:ascii="Calibri" w:hAnsi="Calibri" w:eastAsia="Times New Roman" w:cs="Calibri"/>
                <w:color w:val="00B050"/>
                <w:kern w:val="0"/>
                <w:sz w:val="16"/>
                <w:szCs w:val="16"/>
                <w:lang w:eastAsia="en-GB"/>
                <w14:ligatures w14:val="none"/>
              </w:rPr>
              <w:t>29 %</w:t>
            </w:r>
          </w:p>
        </w:tc>
        <w:tc>
          <w:tcPr>
            <w:tcW w:w="566" w:type="dxa"/>
            <w:tcBorders>
              <w:top w:val="nil"/>
              <w:left w:val="nil"/>
              <w:bottom w:val="single" w:color="auto" w:sz="4" w:space="0"/>
              <w:right w:val="single" w:color="auto" w:sz="4" w:space="0"/>
            </w:tcBorders>
            <w:noWrap/>
            <w:vAlign w:val="center"/>
            <w:hideMark/>
          </w:tcPr>
          <w:p w:rsidRPr="00823001" w:rsidR="00823001" w:rsidP="00823001" w:rsidRDefault="33A88A3C" w14:paraId="55AAA6E4" w14:textId="77777777">
            <w:pPr>
              <w:spacing w:after="0" w:line="240" w:lineRule="auto"/>
              <w:jc w:val="center"/>
              <w:rPr>
                <w:rFonts w:ascii="Calibri" w:hAnsi="Calibri" w:eastAsia="Times New Roman" w:cs="Calibri"/>
                <w:color w:val="FFC000"/>
                <w:kern w:val="0"/>
                <w:sz w:val="16"/>
                <w:szCs w:val="16"/>
                <w:lang w:eastAsia="en-GB"/>
                <w14:ligatures w14:val="none"/>
              </w:rPr>
            </w:pPr>
            <w:r w:rsidRPr="00823001">
              <w:rPr>
                <w:rFonts w:ascii="Calibri" w:hAnsi="Calibri" w:eastAsia="Times New Roman" w:cs="Calibri"/>
                <w:color w:val="FFC000"/>
                <w:kern w:val="0"/>
                <w:sz w:val="16"/>
                <w:szCs w:val="16"/>
                <w:lang w:eastAsia="en-GB"/>
                <w14:ligatures w14:val="none"/>
              </w:rPr>
              <w:t>47</w:t>
            </w:r>
          </w:p>
        </w:tc>
        <w:tc>
          <w:tcPr>
            <w:tcW w:w="630" w:type="dxa"/>
            <w:tcBorders>
              <w:top w:val="nil"/>
              <w:left w:val="nil"/>
              <w:bottom w:val="single" w:color="auto" w:sz="4" w:space="0"/>
              <w:right w:val="single" w:color="auto" w:sz="4" w:space="0"/>
            </w:tcBorders>
            <w:noWrap/>
            <w:vAlign w:val="center"/>
            <w:hideMark/>
          </w:tcPr>
          <w:p w:rsidRPr="00823001" w:rsidR="00823001" w:rsidP="00823001" w:rsidRDefault="33A88A3C" w14:paraId="0ED1604F" w14:textId="77777777">
            <w:pPr>
              <w:spacing w:after="0" w:line="240" w:lineRule="auto"/>
              <w:jc w:val="center"/>
              <w:rPr>
                <w:rFonts w:ascii="Calibri" w:hAnsi="Calibri" w:eastAsia="Times New Roman" w:cs="Calibri"/>
                <w:color w:val="C00000"/>
                <w:kern w:val="0"/>
                <w:sz w:val="16"/>
                <w:szCs w:val="16"/>
                <w:lang w:eastAsia="en-GB"/>
                <w14:ligatures w14:val="none"/>
              </w:rPr>
            </w:pPr>
            <w:r w:rsidRPr="00823001">
              <w:rPr>
                <w:rFonts w:ascii="Calibri" w:hAnsi="Calibri" w:eastAsia="Times New Roman" w:cs="Calibri"/>
                <w:color w:val="C00000"/>
                <w:kern w:val="0"/>
                <w:sz w:val="16"/>
                <w:szCs w:val="16"/>
                <w:lang w:eastAsia="en-GB"/>
                <w14:ligatures w14:val="none"/>
              </w:rPr>
              <w:t>24 %</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11686442"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25,7</w:t>
            </w:r>
          </w:p>
        </w:tc>
        <w:tc>
          <w:tcPr>
            <w:tcW w:w="990" w:type="dxa"/>
            <w:tcBorders>
              <w:top w:val="nil"/>
              <w:left w:val="nil"/>
              <w:bottom w:val="single" w:color="auto" w:sz="4" w:space="0"/>
              <w:right w:val="single" w:color="auto" w:sz="4" w:space="0"/>
            </w:tcBorders>
            <w:noWrap/>
            <w:vAlign w:val="center"/>
            <w:hideMark/>
          </w:tcPr>
          <w:p w:rsidRPr="00823001" w:rsidR="00823001" w:rsidP="00823001" w:rsidRDefault="33A88A3C" w14:paraId="6CDAFC3C"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25,1</w:t>
            </w:r>
          </w:p>
        </w:tc>
        <w:tc>
          <w:tcPr>
            <w:tcW w:w="1805"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615351E5" w:rsidRDefault="33A88A3C" w14:paraId="280B75D8"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Universidad de Barcelona</w:t>
            </w:r>
          </w:p>
        </w:tc>
        <w:tc>
          <w:tcPr>
            <w:tcW w:w="90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5AB4B69C"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80</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61CE6206"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165</w:t>
            </w:r>
          </w:p>
        </w:tc>
      </w:tr>
      <w:tr w:rsidRPr="00823001" w:rsidR="00823001" w:rsidTr="00ED786D" w14:paraId="4065861D"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823001" w:rsidR="00823001" w:rsidP="615351E5" w:rsidRDefault="33A88A3C" w14:paraId="45DC4AD8"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Reputación del empleador</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2F3017E9"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15 %</w:t>
            </w:r>
          </w:p>
        </w:tc>
        <w:tc>
          <w:tcPr>
            <w:tcW w:w="694" w:type="dxa"/>
            <w:tcBorders>
              <w:top w:val="nil"/>
              <w:left w:val="nil"/>
              <w:bottom w:val="single" w:color="auto" w:sz="4" w:space="0"/>
              <w:right w:val="single" w:color="auto" w:sz="4" w:space="0"/>
            </w:tcBorders>
            <w:noWrap/>
            <w:vAlign w:val="center"/>
            <w:hideMark/>
          </w:tcPr>
          <w:p w:rsidRPr="00823001" w:rsidR="00823001" w:rsidP="00823001" w:rsidRDefault="33A88A3C" w14:paraId="63121E82" w14:textId="77777777">
            <w:pPr>
              <w:spacing w:after="0" w:line="240" w:lineRule="auto"/>
              <w:jc w:val="center"/>
              <w:rPr>
                <w:rFonts w:ascii="Calibri" w:hAnsi="Calibri" w:eastAsia="Times New Roman" w:cs="Calibri"/>
                <w:color w:val="00B050"/>
                <w:kern w:val="0"/>
                <w:sz w:val="16"/>
                <w:szCs w:val="16"/>
                <w:lang w:eastAsia="en-GB"/>
                <w14:ligatures w14:val="none"/>
              </w:rPr>
            </w:pPr>
            <w:r w:rsidRPr="00823001">
              <w:rPr>
                <w:rFonts w:ascii="Calibri" w:hAnsi="Calibri" w:eastAsia="Times New Roman" w:cs="Calibri"/>
                <w:color w:val="00B050"/>
                <w:kern w:val="0"/>
                <w:sz w:val="16"/>
                <w:szCs w:val="16"/>
                <w:lang w:eastAsia="en-GB"/>
                <w14:ligatures w14:val="none"/>
              </w:rPr>
              <w:t>8 %</w:t>
            </w:r>
          </w:p>
        </w:tc>
        <w:tc>
          <w:tcPr>
            <w:tcW w:w="566" w:type="dxa"/>
            <w:tcBorders>
              <w:top w:val="nil"/>
              <w:left w:val="nil"/>
              <w:bottom w:val="single" w:color="auto" w:sz="4" w:space="0"/>
              <w:right w:val="single" w:color="auto" w:sz="4" w:space="0"/>
            </w:tcBorders>
            <w:noWrap/>
            <w:vAlign w:val="center"/>
            <w:hideMark/>
          </w:tcPr>
          <w:p w:rsidRPr="00823001" w:rsidR="00823001" w:rsidP="00823001" w:rsidRDefault="33A88A3C" w14:paraId="49294B66" w14:textId="77777777">
            <w:pPr>
              <w:spacing w:after="0" w:line="240" w:lineRule="auto"/>
              <w:jc w:val="center"/>
              <w:rPr>
                <w:rFonts w:ascii="Calibri" w:hAnsi="Calibri" w:eastAsia="Times New Roman" w:cs="Calibri"/>
                <w:color w:val="FFC000"/>
                <w:kern w:val="0"/>
                <w:sz w:val="16"/>
                <w:szCs w:val="16"/>
                <w:lang w:eastAsia="en-GB"/>
                <w14:ligatures w14:val="none"/>
              </w:rPr>
            </w:pPr>
            <w:r w:rsidRPr="00823001">
              <w:rPr>
                <w:rFonts w:ascii="Calibri" w:hAnsi="Calibri" w:eastAsia="Times New Roman" w:cs="Calibri"/>
                <w:color w:val="FFC000"/>
                <w:kern w:val="0"/>
                <w:sz w:val="16"/>
                <w:szCs w:val="16"/>
                <w:lang w:eastAsia="en-GB"/>
                <w14:ligatures w14:val="none"/>
              </w:rPr>
              <w:t>50 %</w:t>
            </w:r>
          </w:p>
        </w:tc>
        <w:tc>
          <w:tcPr>
            <w:tcW w:w="630" w:type="dxa"/>
            <w:tcBorders>
              <w:top w:val="nil"/>
              <w:left w:val="nil"/>
              <w:bottom w:val="single" w:color="auto" w:sz="4" w:space="0"/>
              <w:right w:val="single" w:color="auto" w:sz="4" w:space="0"/>
            </w:tcBorders>
            <w:noWrap/>
            <w:vAlign w:val="center"/>
            <w:hideMark/>
          </w:tcPr>
          <w:p w:rsidRPr="00823001" w:rsidR="00823001" w:rsidP="00823001" w:rsidRDefault="33A88A3C" w14:paraId="503E70A7" w14:textId="77777777">
            <w:pPr>
              <w:spacing w:after="0" w:line="240" w:lineRule="auto"/>
              <w:jc w:val="center"/>
              <w:rPr>
                <w:rFonts w:ascii="Calibri" w:hAnsi="Calibri" w:eastAsia="Times New Roman" w:cs="Calibri"/>
                <w:color w:val="C00000"/>
                <w:kern w:val="0"/>
                <w:sz w:val="16"/>
                <w:szCs w:val="16"/>
                <w:lang w:eastAsia="en-GB"/>
                <w14:ligatures w14:val="none"/>
              </w:rPr>
            </w:pPr>
            <w:r w:rsidRPr="00823001">
              <w:rPr>
                <w:rFonts w:ascii="Calibri" w:hAnsi="Calibri" w:eastAsia="Times New Roman" w:cs="Calibri"/>
                <w:color w:val="C00000"/>
                <w:kern w:val="0"/>
                <w:sz w:val="16"/>
                <w:szCs w:val="16"/>
                <w:lang w:eastAsia="en-GB"/>
                <w14:ligatures w14:val="none"/>
              </w:rPr>
              <w:t>42 %</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0674A664"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27</w:t>
            </w:r>
          </w:p>
        </w:tc>
        <w:tc>
          <w:tcPr>
            <w:tcW w:w="990" w:type="dxa"/>
            <w:tcBorders>
              <w:top w:val="nil"/>
              <w:left w:val="nil"/>
              <w:bottom w:val="single" w:color="auto" w:sz="4" w:space="0"/>
              <w:right w:val="single" w:color="auto" w:sz="4" w:space="0"/>
            </w:tcBorders>
            <w:noWrap/>
            <w:vAlign w:val="center"/>
            <w:hideMark/>
          </w:tcPr>
          <w:p w:rsidRPr="00823001" w:rsidR="00823001" w:rsidP="00823001" w:rsidRDefault="33A88A3C" w14:paraId="441FF723"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21,2</w:t>
            </w:r>
          </w:p>
        </w:tc>
        <w:tc>
          <w:tcPr>
            <w:tcW w:w="1805"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615351E5" w:rsidRDefault="33A88A3C" w14:paraId="1958C505"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Universidad Complutense de Madrid</w:t>
            </w:r>
          </w:p>
        </w:tc>
        <w:tc>
          <w:tcPr>
            <w:tcW w:w="90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7D8B1958"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148</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5C583E93"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199</w:t>
            </w:r>
          </w:p>
        </w:tc>
      </w:tr>
      <w:tr w:rsidRPr="00823001" w:rsidR="00823001" w:rsidTr="00ED786D" w14:paraId="69775FAF"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086132" w:rsidR="00823001" w:rsidP="615351E5" w:rsidRDefault="33A88A3C" w14:paraId="11D6D1EB" w14:textId="77777777">
            <w:pPr>
              <w:spacing w:after="0" w:line="240" w:lineRule="auto"/>
              <w:jc w:val="center"/>
              <w:rPr>
                <w:rFonts w:ascii="Calibri" w:hAnsi="Calibri" w:eastAsia="Times New Roman" w:cs="Calibri"/>
                <w:kern w:val="0"/>
                <w:sz w:val="16"/>
                <w:szCs w:val="16"/>
                <w:lang w:val="es-ES" w:eastAsia="en-GB"/>
                <w14:ligatures w14:val="none"/>
              </w:rPr>
            </w:pPr>
            <w:r w:rsidRPr="00086132">
              <w:rPr>
                <w:rFonts w:ascii="Calibri" w:hAnsi="Calibri" w:eastAsia="Times New Roman" w:cs="Calibri"/>
                <w:kern w:val="0"/>
                <w:sz w:val="16"/>
                <w:szCs w:val="16"/>
                <w:lang w:val="es-ES" w:eastAsia="en-GB"/>
                <w14:ligatures w14:val="none"/>
              </w:rPr>
              <w:t>Proporción de profesores por alumno</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793FCD81"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10 %</w:t>
            </w:r>
          </w:p>
        </w:tc>
        <w:tc>
          <w:tcPr>
            <w:tcW w:w="694" w:type="dxa"/>
            <w:tcBorders>
              <w:top w:val="nil"/>
              <w:left w:val="nil"/>
              <w:bottom w:val="single" w:color="auto" w:sz="4" w:space="0"/>
              <w:right w:val="single" w:color="auto" w:sz="4" w:space="0"/>
            </w:tcBorders>
            <w:noWrap/>
            <w:vAlign w:val="center"/>
            <w:hideMark/>
          </w:tcPr>
          <w:p w:rsidRPr="00823001" w:rsidR="00823001" w:rsidP="00823001" w:rsidRDefault="33A88A3C" w14:paraId="1FBBC35A" w14:textId="77777777">
            <w:pPr>
              <w:spacing w:after="0" w:line="240" w:lineRule="auto"/>
              <w:jc w:val="center"/>
              <w:rPr>
                <w:rFonts w:ascii="Calibri" w:hAnsi="Calibri" w:eastAsia="Times New Roman" w:cs="Calibri"/>
                <w:color w:val="00B050"/>
                <w:kern w:val="0"/>
                <w:sz w:val="16"/>
                <w:szCs w:val="16"/>
                <w:lang w:eastAsia="en-GB"/>
                <w14:ligatures w14:val="none"/>
              </w:rPr>
            </w:pPr>
            <w:r w:rsidRPr="00823001">
              <w:rPr>
                <w:rFonts w:ascii="Calibri" w:hAnsi="Calibri" w:eastAsia="Times New Roman" w:cs="Calibri"/>
                <w:color w:val="00B050"/>
                <w:kern w:val="0"/>
                <w:sz w:val="16"/>
                <w:szCs w:val="16"/>
                <w:lang w:eastAsia="en-GB"/>
                <w14:ligatures w14:val="none"/>
              </w:rPr>
              <w:t>21 %</w:t>
            </w:r>
          </w:p>
        </w:tc>
        <w:tc>
          <w:tcPr>
            <w:tcW w:w="566" w:type="dxa"/>
            <w:tcBorders>
              <w:top w:val="nil"/>
              <w:left w:val="nil"/>
              <w:bottom w:val="single" w:color="auto" w:sz="4" w:space="0"/>
              <w:right w:val="single" w:color="auto" w:sz="4" w:space="0"/>
            </w:tcBorders>
            <w:noWrap/>
            <w:vAlign w:val="center"/>
            <w:hideMark/>
          </w:tcPr>
          <w:p w:rsidRPr="00823001" w:rsidR="00823001" w:rsidP="00823001" w:rsidRDefault="33A88A3C" w14:paraId="01422658" w14:textId="77777777">
            <w:pPr>
              <w:spacing w:after="0" w:line="240" w:lineRule="auto"/>
              <w:jc w:val="center"/>
              <w:rPr>
                <w:rFonts w:ascii="Calibri" w:hAnsi="Calibri" w:eastAsia="Times New Roman" w:cs="Calibri"/>
                <w:color w:val="FFC000"/>
                <w:kern w:val="0"/>
                <w:sz w:val="16"/>
                <w:szCs w:val="16"/>
                <w:lang w:eastAsia="en-GB"/>
                <w14:ligatures w14:val="none"/>
              </w:rPr>
            </w:pPr>
            <w:r w:rsidRPr="00823001">
              <w:rPr>
                <w:rFonts w:ascii="Calibri" w:hAnsi="Calibri" w:eastAsia="Times New Roman" w:cs="Calibri"/>
                <w:color w:val="FFC000"/>
                <w:kern w:val="0"/>
                <w:sz w:val="16"/>
                <w:szCs w:val="16"/>
                <w:lang w:eastAsia="en-GB"/>
                <w14:ligatures w14:val="none"/>
              </w:rPr>
              <w:t>34 %</w:t>
            </w:r>
          </w:p>
        </w:tc>
        <w:tc>
          <w:tcPr>
            <w:tcW w:w="630" w:type="dxa"/>
            <w:tcBorders>
              <w:top w:val="nil"/>
              <w:left w:val="nil"/>
              <w:bottom w:val="single" w:color="auto" w:sz="4" w:space="0"/>
              <w:right w:val="single" w:color="auto" w:sz="4" w:space="0"/>
            </w:tcBorders>
            <w:noWrap/>
            <w:vAlign w:val="center"/>
            <w:hideMark/>
          </w:tcPr>
          <w:p w:rsidRPr="00823001" w:rsidR="00823001" w:rsidP="00823001" w:rsidRDefault="33A88A3C" w14:paraId="61C5BEDB" w14:textId="77777777">
            <w:pPr>
              <w:spacing w:after="0" w:line="240" w:lineRule="auto"/>
              <w:jc w:val="center"/>
              <w:rPr>
                <w:rFonts w:ascii="Calibri" w:hAnsi="Calibri" w:eastAsia="Times New Roman" w:cs="Calibri"/>
                <w:color w:val="C00000"/>
                <w:kern w:val="0"/>
                <w:sz w:val="16"/>
                <w:szCs w:val="16"/>
                <w:lang w:eastAsia="en-GB"/>
                <w14:ligatures w14:val="none"/>
              </w:rPr>
            </w:pPr>
            <w:r w:rsidRPr="00823001">
              <w:rPr>
                <w:rFonts w:ascii="Calibri" w:hAnsi="Calibri" w:eastAsia="Times New Roman" w:cs="Calibri"/>
                <w:color w:val="C00000"/>
                <w:kern w:val="0"/>
                <w:sz w:val="16"/>
                <w:szCs w:val="16"/>
                <w:lang w:eastAsia="en-GB"/>
                <w14:ligatures w14:val="none"/>
              </w:rPr>
              <w:t>45 %</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7A37BCEF"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33,3</w:t>
            </w:r>
          </w:p>
        </w:tc>
        <w:tc>
          <w:tcPr>
            <w:tcW w:w="990" w:type="dxa"/>
            <w:tcBorders>
              <w:top w:val="nil"/>
              <w:left w:val="nil"/>
              <w:bottom w:val="single" w:color="auto" w:sz="4" w:space="0"/>
              <w:right w:val="single" w:color="auto" w:sz="4" w:space="0"/>
            </w:tcBorders>
            <w:noWrap/>
            <w:vAlign w:val="center"/>
            <w:hideMark/>
          </w:tcPr>
          <w:p w:rsidRPr="00823001" w:rsidR="00823001" w:rsidP="00823001" w:rsidRDefault="33A88A3C" w14:paraId="47581F46"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30,2</w:t>
            </w:r>
          </w:p>
        </w:tc>
        <w:tc>
          <w:tcPr>
            <w:tcW w:w="1805"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615351E5" w:rsidRDefault="33A88A3C" w14:paraId="1AB4A36A"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Universidad Internacional de Cataluña</w:t>
            </w:r>
          </w:p>
        </w:tc>
        <w:tc>
          <w:tcPr>
            <w:tcW w:w="90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1EEDCAF6"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56</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239014B6"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901-950</w:t>
            </w:r>
          </w:p>
        </w:tc>
      </w:tr>
      <w:tr w:rsidRPr="00823001" w:rsidR="00823001" w:rsidTr="00ED786D" w14:paraId="14EFA98D"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823001" w:rsidR="00823001" w:rsidP="615351E5" w:rsidRDefault="33A88A3C" w14:paraId="239EA70D"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Citas por profesor</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187B5579"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20 %</w:t>
            </w:r>
          </w:p>
        </w:tc>
        <w:tc>
          <w:tcPr>
            <w:tcW w:w="694" w:type="dxa"/>
            <w:tcBorders>
              <w:top w:val="nil"/>
              <w:left w:val="nil"/>
              <w:bottom w:val="single" w:color="auto" w:sz="4" w:space="0"/>
              <w:right w:val="single" w:color="auto" w:sz="4" w:space="0"/>
            </w:tcBorders>
            <w:noWrap/>
            <w:vAlign w:val="center"/>
            <w:hideMark/>
          </w:tcPr>
          <w:p w:rsidRPr="00823001" w:rsidR="00823001" w:rsidP="00823001" w:rsidRDefault="33A88A3C" w14:paraId="4E8ABBD4" w14:textId="77777777">
            <w:pPr>
              <w:spacing w:after="0" w:line="240" w:lineRule="auto"/>
              <w:jc w:val="center"/>
              <w:rPr>
                <w:rFonts w:ascii="Calibri" w:hAnsi="Calibri" w:eastAsia="Times New Roman" w:cs="Calibri"/>
                <w:color w:val="00B050"/>
                <w:kern w:val="0"/>
                <w:sz w:val="16"/>
                <w:szCs w:val="16"/>
                <w:lang w:eastAsia="en-GB"/>
                <w14:ligatures w14:val="none"/>
              </w:rPr>
            </w:pPr>
            <w:r w:rsidRPr="00823001">
              <w:rPr>
                <w:rFonts w:ascii="Calibri" w:hAnsi="Calibri" w:eastAsia="Times New Roman" w:cs="Calibri"/>
                <w:color w:val="00B050"/>
                <w:kern w:val="0"/>
                <w:sz w:val="16"/>
                <w:szCs w:val="16"/>
                <w:lang w:eastAsia="en-GB"/>
                <w14:ligatures w14:val="none"/>
              </w:rPr>
              <w:t>8 %</w:t>
            </w:r>
          </w:p>
        </w:tc>
        <w:tc>
          <w:tcPr>
            <w:tcW w:w="566" w:type="dxa"/>
            <w:tcBorders>
              <w:top w:val="nil"/>
              <w:left w:val="nil"/>
              <w:bottom w:val="single" w:color="auto" w:sz="4" w:space="0"/>
              <w:right w:val="single" w:color="auto" w:sz="4" w:space="0"/>
            </w:tcBorders>
            <w:noWrap/>
            <w:vAlign w:val="center"/>
            <w:hideMark/>
          </w:tcPr>
          <w:p w:rsidRPr="00823001" w:rsidR="00823001" w:rsidP="00823001" w:rsidRDefault="33A88A3C" w14:paraId="3B5488AF" w14:textId="77777777">
            <w:pPr>
              <w:spacing w:after="0" w:line="240" w:lineRule="auto"/>
              <w:jc w:val="center"/>
              <w:rPr>
                <w:rFonts w:ascii="Calibri" w:hAnsi="Calibri" w:eastAsia="Times New Roman" w:cs="Calibri"/>
                <w:color w:val="FFC000"/>
                <w:kern w:val="0"/>
                <w:sz w:val="16"/>
                <w:szCs w:val="16"/>
                <w:lang w:eastAsia="en-GB"/>
                <w14:ligatures w14:val="none"/>
              </w:rPr>
            </w:pPr>
            <w:r w:rsidRPr="00823001">
              <w:rPr>
                <w:rFonts w:ascii="Calibri" w:hAnsi="Calibri" w:eastAsia="Times New Roman" w:cs="Calibri"/>
                <w:color w:val="FFC000"/>
                <w:kern w:val="0"/>
                <w:sz w:val="16"/>
                <w:szCs w:val="16"/>
                <w:lang w:eastAsia="en-GB"/>
                <w14:ligatures w14:val="none"/>
              </w:rPr>
              <w:t>50 %</w:t>
            </w:r>
          </w:p>
        </w:tc>
        <w:tc>
          <w:tcPr>
            <w:tcW w:w="630" w:type="dxa"/>
            <w:tcBorders>
              <w:top w:val="nil"/>
              <w:left w:val="nil"/>
              <w:bottom w:val="single" w:color="auto" w:sz="4" w:space="0"/>
              <w:right w:val="single" w:color="auto" w:sz="4" w:space="0"/>
            </w:tcBorders>
            <w:noWrap/>
            <w:vAlign w:val="center"/>
            <w:hideMark/>
          </w:tcPr>
          <w:p w:rsidRPr="00823001" w:rsidR="00823001" w:rsidP="00823001" w:rsidRDefault="33A88A3C" w14:paraId="350C8528" w14:textId="77777777">
            <w:pPr>
              <w:spacing w:after="0" w:line="240" w:lineRule="auto"/>
              <w:jc w:val="center"/>
              <w:rPr>
                <w:rFonts w:ascii="Calibri" w:hAnsi="Calibri" w:eastAsia="Times New Roman" w:cs="Calibri"/>
                <w:color w:val="C00000"/>
                <w:kern w:val="0"/>
                <w:sz w:val="16"/>
                <w:szCs w:val="16"/>
                <w:lang w:eastAsia="en-GB"/>
                <w14:ligatures w14:val="none"/>
              </w:rPr>
            </w:pPr>
            <w:r w:rsidRPr="00823001">
              <w:rPr>
                <w:rFonts w:ascii="Calibri" w:hAnsi="Calibri" w:eastAsia="Times New Roman" w:cs="Calibri"/>
                <w:color w:val="C00000"/>
                <w:kern w:val="0"/>
                <w:sz w:val="16"/>
                <w:szCs w:val="16"/>
                <w:lang w:eastAsia="en-GB"/>
                <w14:ligatures w14:val="none"/>
              </w:rPr>
              <w:t>42 %</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3C5D125E"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30,9</w:t>
            </w:r>
          </w:p>
        </w:tc>
        <w:tc>
          <w:tcPr>
            <w:tcW w:w="990" w:type="dxa"/>
            <w:tcBorders>
              <w:top w:val="nil"/>
              <w:left w:val="nil"/>
              <w:bottom w:val="single" w:color="auto" w:sz="4" w:space="0"/>
              <w:right w:val="single" w:color="auto" w:sz="4" w:space="0"/>
            </w:tcBorders>
            <w:noWrap/>
            <w:vAlign w:val="center"/>
            <w:hideMark/>
          </w:tcPr>
          <w:p w:rsidRPr="00823001" w:rsidR="00823001" w:rsidP="00823001" w:rsidRDefault="33A88A3C" w14:paraId="59967AE3"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18,6</w:t>
            </w:r>
          </w:p>
        </w:tc>
        <w:tc>
          <w:tcPr>
            <w:tcW w:w="1805"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615351E5" w:rsidRDefault="33A88A3C" w14:paraId="7CF52F07"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Universidad Pompeu Fabra (Barcelona)</w:t>
            </w:r>
          </w:p>
        </w:tc>
        <w:tc>
          <w:tcPr>
            <w:tcW w:w="90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651A1434"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189</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3486080D"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263</w:t>
            </w:r>
          </w:p>
        </w:tc>
      </w:tr>
      <w:tr w:rsidRPr="00823001" w:rsidR="00823001" w:rsidTr="00ED786D" w14:paraId="3FD3AED1"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823001" w:rsidR="00823001" w:rsidP="615351E5" w:rsidRDefault="33A88A3C" w14:paraId="49483CFF"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Porcentaje de profesorado internacional</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7358D402"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5 %</w:t>
            </w:r>
          </w:p>
        </w:tc>
        <w:tc>
          <w:tcPr>
            <w:tcW w:w="694" w:type="dxa"/>
            <w:tcBorders>
              <w:top w:val="nil"/>
              <w:left w:val="nil"/>
              <w:bottom w:val="single" w:color="auto" w:sz="4" w:space="0"/>
              <w:right w:val="single" w:color="auto" w:sz="4" w:space="0"/>
            </w:tcBorders>
            <w:noWrap/>
            <w:vAlign w:val="center"/>
            <w:hideMark/>
          </w:tcPr>
          <w:p w:rsidRPr="00823001" w:rsidR="00823001" w:rsidP="00823001" w:rsidRDefault="33A88A3C" w14:paraId="31CA349B" w14:textId="77777777">
            <w:pPr>
              <w:spacing w:after="0" w:line="240" w:lineRule="auto"/>
              <w:jc w:val="center"/>
              <w:rPr>
                <w:rFonts w:ascii="Calibri" w:hAnsi="Calibri" w:eastAsia="Times New Roman" w:cs="Calibri"/>
                <w:color w:val="00B050"/>
                <w:kern w:val="0"/>
                <w:sz w:val="16"/>
                <w:szCs w:val="16"/>
                <w:lang w:eastAsia="en-GB"/>
                <w14:ligatures w14:val="none"/>
              </w:rPr>
            </w:pPr>
            <w:r w:rsidRPr="00823001">
              <w:rPr>
                <w:rFonts w:ascii="Calibri" w:hAnsi="Calibri" w:eastAsia="Times New Roman" w:cs="Calibri"/>
                <w:color w:val="00B050"/>
                <w:kern w:val="0"/>
                <w:sz w:val="16"/>
                <w:szCs w:val="16"/>
                <w:lang w:eastAsia="en-GB"/>
                <w14:ligatures w14:val="none"/>
              </w:rPr>
              <w:t>17 %</w:t>
            </w:r>
          </w:p>
        </w:tc>
        <w:tc>
          <w:tcPr>
            <w:tcW w:w="566" w:type="dxa"/>
            <w:tcBorders>
              <w:top w:val="nil"/>
              <w:left w:val="nil"/>
              <w:bottom w:val="single" w:color="auto" w:sz="4" w:space="0"/>
              <w:right w:val="single" w:color="auto" w:sz="4" w:space="0"/>
            </w:tcBorders>
            <w:noWrap/>
            <w:vAlign w:val="center"/>
            <w:hideMark/>
          </w:tcPr>
          <w:p w:rsidRPr="00823001" w:rsidR="00823001" w:rsidP="00823001" w:rsidRDefault="33A88A3C" w14:paraId="3550FD18" w14:textId="77777777">
            <w:pPr>
              <w:spacing w:after="0" w:line="240" w:lineRule="auto"/>
              <w:jc w:val="center"/>
              <w:rPr>
                <w:rFonts w:ascii="Calibri" w:hAnsi="Calibri" w:eastAsia="Times New Roman" w:cs="Calibri"/>
                <w:color w:val="FFC000"/>
                <w:kern w:val="0"/>
                <w:sz w:val="16"/>
                <w:szCs w:val="16"/>
                <w:lang w:eastAsia="en-GB"/>
                <w14:ligatures w14:val="none"/>
              </w:rPr>
            </w:pPr>
            <w:r w:rsidRPr="00823001">
              <w:rPr>
                <w:rFonts w:ascii="Calibri" w:hAnsi="Calibri" w:eastAsia="Times New Roman" w:cs="Calibri"/>
                <w:color w:val="FFC000"/>
                <w:kern w:val="0"/>
                <w:sz w:val="16"/>
                <w:szCs w:val="16"/>
                <w:lang w:eastAsia="en-GB"/>
                <w14:ligatures w14:val="none"/>
              </w:rPr>
              <w:t>64 %</w:t>
            </w:r>
          </w:p>
        </w:tc>
        <w:tc>
          <w:tcPr>
            <w:tcW w:w="630" w:type="dxa"/>
            <w:tcBorders>
              <w:top w:val="nil"/>
              <w:left w:val="nil"/>
              <w:bottom w:val="single" w:color="auto" w:sz="4" w:space="0"/>
              <w:right w:val="single" w:color="auto" w:sz="4" w:space="0"/>
            </w:tcBorders>
            <w:noWrap/>
            <w:vAlign w:val="center"/>
            <w:hideMark/>
          </w:tcPr>
          <w:p w:rsidRPr="00823001" w:rsidR="00823001" w:rsidP="00823001" w:rsidRDefault="33A88A3C" w14:paraId="7F0A52F0" w14:textId="77777777">
            <w:pPr>
              <w:spacing w:after="0" w:line="240" w:lineRule="auto"/>
              <w:jc w:val="center"/>
              <w:rPr>
                <w:rFonts w:ascii="Calibri" w:hAnsi="Calibri" w:eastAsia="Times New Roman" w:cs="Calibri"/>
                <w:color w:val="C00000"/>
                <w:kern w:val="0"/>
                <w:sz w:val="16"/>
                <w:szCs w:val="16"/>
                <w:lang w:eastAsia="en-GB"/>
                <w14:ligatures w14:val="none"/>
              </w:rPr>
            </w:pPr>
            <w:r w:rsidRPr="00823001">
              <w:rPr>
                <w:rFonts w:ascii="Calibri" w:hAnsi="Calibri" w:eastAsia="Times New Roman" w:cs="Calibri"/>
                <w:color w:val="C00000"/>
                <w:kern w:val="0"/>
                <w:sz w:val="16"/>
                <w:szCs w:val="16"/>
                <w:lang w:eastAsia="en-GB"/>
                <w14:ligatures w14:val="none"/>
              </w:rPr>
              <w:t>19 %</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4A1CBD7E"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36,9</w:t>
            </w:r>
          </w:p>
        </w:tc>
        <w:tc>
          <w:tcPr>
            <w:tcW w:w="990" w:type="dxa"/>
            <w:tcBorders>
              <w:top w:val="nil"/>
              <w:left w:val="nil"/>
              <w:bottom w:val="single" w:color="auto" w:sz="4" w:space="0"/>
              <w:right w:val="single" w:color="auto" w:sz="4" w:space="0"/>
            </w:tcBorders>
            <w:noWrap/>
            <w:vAlign w:val="center"/>
            <w:hideMark/>
          </w:tcPr>
          <w:p w:rsidRPr="00823001" w:rsidR="00823001" w:rsidP="00823001" w:rsidRDefault="33A88A3C" w14:paraId="4B9E71CD"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17,6</w:t>
            </w:r>
          </w:p>
        </w:tc>
        <w:tc>
          <w:tcPr>
            <w:tcW w:w="1805"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615351E5" w:rsidRDefault="33A88A3C" w14:paraId="188095F3"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IE University</w:t>
            </w:r>
          </w:p>
        </w:tc>
        <w:tc>
          <w:tcPr>
            <w:tcW w:w="90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180541E7"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199</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1CBDFE5B"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446</w:t>
            </w:r>
          </w:p>
        </w:tc>
      </w:tr>
      <w:tr w:rsidRPr="00823001" w:rsidR="00823001" w:rsidTr="00ED786D" w14:paraId="1F6B4FB9"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823001" w:rsidR="00823001" w:rsidP="615351E5" w:rsidRDefault="33A88A3C" w14:paraId="36E665E3"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Porcentaje de estudiantes internacionales</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3FDF86C3"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5 %</w:t>
            </w:r>
          </w:p>
        </w:tc>
        <w:tc>
          <w:tcPr>
            <w:tcW w:w="694" w:type="dxa"/>
            <w:tcBorders>
              <w:top w:val="nil"/>
              <w:left w:val="nil"/>
              <w:bottom w:val="single" w:color="auto" w:sz="4" w:space="0"/>
              <w:right w:val="single" w:color="auto" w:sz="4" w:space="0"/>
            </w:tcBorders>
            <w:noWrap/>
            <w:vAlign w:val="center"/>
            <w:hideMark/>
          </w:tcPr>
          <w:p w:rsidRPr="00823001" w:rsidR="00823001" w:rsidP="00823001" w:rsidRDefault="33A88A3C" w14:paraId="7D41C3BF" w14:textId="77777777">
            <w:pPr>
              <w:spacing w:after="0" w:line="240" w:lineRule="auto"/>
              <w:jc w:val="center"/>
              <w:rPr>
                <w:rFonts w:ascii="Calibri" w:hAnsi="Calibri" w:eastAsia="Times New Roman" w:cs="Calibri"/>
                <w:color w:val="00B050"/>
                <w:kern w:val="0"/>
                <w:sz w:val="16"/>
                <w:szCs w:val="16"/>
                <w:lang w:eastAsia="en-GB"/>
                <w14:ligatures w14:val="none"/>
              </w:rPr>
            </w:pPr>
            <w:r w:rsidRPr="00823001">
              <w:rPr>
                <w:rFonts w:ascii="Calibri" w:hAnsi="Calibri" w:eastAsia="Times New Roman" w:cs="Calibri"/>
                <w:color w:val="00B050"/>
                <w:kern w:val="0"/>
                <w:sz w:val="16"/>
                <w:szCs w:val="16"/>
                <w:lang w:eastAsia="en-GB"/>
                <w14:ligatures w14:val="none"/>
              </w:rPr>
              <w:t>19 %</w:t>
            </w:r>
          </w:p>
        </w:tc>
        <w:tc>
          <w:tcPr>
            <w:tcW w:w="566" w:type="dxa"/>
            <w:tcBorders>
              <w:top w:val="nil"/>
              <w:left w:val="nil"/>
              <w:bottom w:val="single" w:color="auto" w:sz="4" w:space="0"/>
              <w:right w:val="single" w:color="auto" w:sz="4" w:space="0"/>
            </w:tcBorders>
            <w:noWrap/>
            <w:vAlign w:val="center"/>
            <w:hideMark/>
          </w:tcPr>
          <w:p w:rsidRPr="00823001" w:rsidR="00823001" w:rsidP="00823001" w:rsidRDefault="33A88A3C" w14:paraId="5EFF7F94" w14:textId="77777777">
            <w:pPr>
              <w:spacing w:after="0" w:line="240" w:lineRule="auto"/>
              <w:jc w:val="center"/>
              <w:rPr>
                <w:rFonts w:ascii="Calibri" w:hAnsi="Calibri" w:eastAsia="Times New Roman" w:cs="Calibri"/>
                <w:color w:val="FFC000"/>
                <w:kern w:val="0"/>
                <w:sz w:val="16"/>
                <w:szCs w:val="16"/>
                <w:lang w:eastAsia="en-GB"/>
                <w14:ligatures w14:val="none"/>
              </w:rPr>
            </w:pPr>
            <w:r w:rsidRPr="00823001">
              <w:rPr>
                <w:rFonts w:ascii="Calibri" w:hAnsi="Calibri" w:eastAsia="Times New Roman" w:cs="Calibri"/>
                <w:color w:val="FFC000"/>
                <w:kern w:val="0"/>
                <w:sz w:val="16"/>
                <w:szCs w:val="16"/>
                <w:lang w:eastAsia="en-GB"/>
                <w14:ligatures w14:val="none"/>
              </w:rPr>
              <w:t>30 %</w:t>
            </w:r>
          </w:p>
        </w:tc>
        <w:tc>
          <w:tcPr>
            <w:tcW w:w="630" w:type="dxa"/>
            <w:tcBorders>
              <w:top w:val="nil"/>
              <w:left w:val="nil"/>
              <w:bottom w:val="single" w:color="auto" w:sz="4" w:space="0"/>
              <w:right w:val="single" w:color="auto" w:sz="4" w:space="0"/>
            </w:tcBorders>
            <w:noWrap/>
            <w:vAlign w:val="center"/>
            <w:hideMark/>
          </w:tcPr>
          <w:p w:rsidRPr="00823001" w:rsidR="00823001" w:rsidP="00823001" w:rsidRDefault="33A88A3C" w14:paraId="0ACE4116" w14:textId="77777777">
            <w:pPr>
              <w:spacing w:after="0" w:line="240" w:lineRule="auto"/>
              <w:jc w:val="center"/>
              <w:rPr>
                <w:rFonts w:ascii="Calibri" w:hAnsi="Calibri" w:eastAsia="Times New Roman" w:cs="Calibri"/>
                <w:color w:val="C00000"/>
                <w:kern w:val="0"/>
                <w:sz w:val="16"/>
                <w:szCs w:val="16"/>
                <w:lang w:eastAsia="en-GB"/>
                <w14:ligatures w14:val="none"/>
              </w:rPr>
            </w:pPr>
            <w:r w:rsidRPr="00823001">
              <w:rPr>
                <w:rFonts w:ascii="Calibri" w:hAnsi="Calibri" w:eastAsia="Times New Roman" w:cs="Calibri"/>
                <w:color w:val="C00000"/>
                <w:kern w:val="0"/>
                <w:sz w:val="16"/>
                <w:szCs w:val="16"/>
                <w:lang w:eastAsia="en-GB"/>
                <w14:ligatures w14:val="none"/>
              </w:rPr>
              <w:t>51 %</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25A3A72F"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34,1</w:t>
            </w:r>
          </w:p>
        </w:tc>
        <w:tc>
          <w:tcPr>
            <w:tcW w:w="990" w:type="dxa"/>
            <w:tcBorders>
              <w:top w:val="nil"/>
              <w:left w:val="nil"/>
              <w:bottom w:val="single" w:color="auto" w:sz="4" w:space="0"/>
              <w:right w:val="single" w:color="auto" w:sz="4" w:space="0"/>
            </w:tcBorders>
            <w:noWrap/>
            <w:vAlign w:val="center"/>
            <w:hideMark/>
          </w:tcPr>
          <w:p w:rsidRPr="00823001" w:rsidR="00823001" w:rsidP="00823001" w:rsidRDefault="33A88A3C" w14:paraId="125186C6"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33,1</w:t>
            </w:r>
          </w:p>
        </w:tc>
        <w:tc>
          <w:tcPr>
            <w:tcW w:w="1805"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615351E5" w:rsidRDefault="33A88A3C" w14:paraId="5CAC2575"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IE University</w:t>
            </w:r>
          </w:p>
        </w:tc>
        <w:tc>
          <w:tcPr>
            <w:tcW w:w="90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5325D6F0"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3</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6DB3A26E"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446</w:t>
            </w:r>
          </w:p>
        </w:tc>
      </w:tr>
      <w:tr w:rsidRPr="00823001" w:rsidR="00823001" w:rsidTr="00ED786D" w14:paraId="65F94D24"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823001" w:rsidR="00823001" w:rsidP="615351E5" w:rsidRDefault="33A88A3C" w14:paraId="72DE2620"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Red Internacional de Investigación</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4F698320"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5 %</w:t>
            </w:r>
          </w:p>
        </w:tc>
        <w:tc>
          <w:tcPr>
            <w:tcW w:w="694" w:type="dxa"/>
            <w:tcBorders>
              <w:top w:val="nil"/>
              <w:left w:val="nil"/>
              <w:bottom w:val="single" w:color="auto" w:sz="4" w:space="0"/>
              <w:right w:val="single" w:color="auto" w:sz="4" w:space="0"/>
            </w:tcBorders>
            <w:noWrap/>
            <w:vAlign w:val="center"/>
            <w:hideMark/>
          </w:tcPr>
          <w:p w:rsidRPr="00823001" w:rsidR="00823001" w:rsidP="00823001" w:rsidRDefault="33A88A3C" w14:paraId="1DD832E0" w14:textId="77777777">
            <w:pPr>
              <w:spacing w:after="0" w:line="240" w:lineRule="auto"/>
              <w:jc w:val="center"/>
              <w:rPr>
                <w:rFonts w:ascii="Calibri" w:hAnsi="Calibri" w:eastAsia="Times New Roman" w:cs="Calibri"/>
                <w:color w:val="00B050"/>
                <w:kern w:val="0"/>
                <w:sz w:val="16"/>
                <w:szCs w:val="16"/>
                <w:lang w:eastAsia="en-GB"/>
                <w14:ligatures w14:val="none"/>
              </w:rPr>
            </w:pPr>
            <w:r w:rsidRPr="00823001">
              <w:rPr>
                <w:rFonts w:ascii="Calibri" w:hAnsi="Calibri" w:eastAsia="Times New Roman" w:cs="Calibri"/>
                <w:color w:val="00B050"/>
                <w:kern w:val="0"/>
                <w:sz w:val="16"/>
                <w:szCs w:val="16"/>
                <w:lang w:eastAsia="en-GB"/>
                <w14:ligatures w14:val="none"/>
              </w:rPr>
              <w:t>26 %</w:t>
            </w:r>
          </w:p>
        </w:tc>
        <w:tc>
          <w:tcPr>
            <w:tcW w:w="566" w:type="dxa"/>
            <w:tcBorders>
              <w:top w:val="nil"/>
              <w:left w:val="nil"/>
              <w:bottom w:val="single" w:color="auto" w:sz="4" w:space="0"/>
              <w:right w:val="single" w:color="auto" w:sz="4" w:space="0"/>
            </w:tcBorders>
            <w:noWrap/>
            <w:vAlign w:val="center"/>
            <w:hideMark/>
          </w:tcPr>
          <w:p w:rsidRPr="00823001" w:rsidR="00823001" w:rsidP="00823001" w:rsidRDefault="33A88A3C" w14:paraId="0A248376" w14:textId="77777777">
            <w:pPr>
              <w:spacing w:after="0" w:line="240" w:lineRule="auto"/>
              <w:jc w:val="center"/>
              <w:rPr>
                <w:rFonts w:ascii="Calibri" w:hAnsi="Calibri" w:eastAsia="Times New Roman" w:cs="Calibri"/>
                <w:color w:val="FFC000"/>
                <w:kern w:val="0"/>
                <w:sz w:val="16"/>
                <w:szCs w:val="16"/>
                <w:lang w:eastAsia="en-GB"/>
                <w14:ligatures w14:val="none"/>
              </w:rPr>
            </w:pPr>
            <w:r w:rsidRPr="00823001">
              <w:rPr>
                <w:rFonts w:ascii="Calibri" w:hAnsi="Calibri" w:eastAsia="Times New Roman" w:cs="Calibri"/>
                <w:color w:val="FFC000"/>
                <w:kern w:val="0"/>
                <w:sz w:val="16"/>
                <w:szCs w:val="16"/>
                <w:lang w:eastAsia="en-GB"/>
                <w14:ligatures w14:val="none"/>
              </w:rPr>
              <w:t>24 %</w:t>
            </w:r>
          </w:p>
        </w:tc>
        <w:tc>
          <w:tcPr>
            <w:tcW w:w="630" w:type="dxa"/>
            <w:tcBorders>
              <w:top w:val="nil"/>
              <w:left w:val="nil"/>
              <w:bottom w:val="single" w:color="auto" w:sz="4" w:space="0"/>
              <w:right w:val="single" w:color="auto" w:sz="4" w:space="0"/>
            </w:tcBorders>
            <w:noWrap/>
            <w:vAlign w:val="center"/>
            <w:hideMark/>
          </w:tcPr>
          <w:p w:rsidRPr="00823001" w:rsidR="00823001" w:rsidP="00823001" w:rsidRDefault="33A88A3C" w14:paraId="35D3EF4E" w14:textId="77777777">
            <w:pPr>
              <w:spacing w:after="0" w:line="240" w:lineRule="auto"/>
              <w:jc w:val="center"/>
              <w:rPr>
                <w:rFonts w:ascii="Calibri" w:hAnsi="Calibri" w:eastAsia="Times New Roman" w:cs="Calibri"/>
                <w:color w:val="C00000"/>
                <w:kern w:val="0"/>
                <w:sz w:val="16"/>
                <w:szCs w:val="16"/>
                <w:lang w:eastAsia="en-GB"/>
                <w14:ligatures w14:val="none"/>
              </w:rPr>
            </w:pPr>
            <w:r w:rsidRPr="00823001">
              <w:rPr>
                <w:rFonts w:ascii="Calibri" w:hAnsi="Calibri" w:eastAsia="Times New Roman" w:cs="Calibri"/>
                <w:color w:val="C00000"/>
                <w:kern w:val="0"/>
                <w:sz w:val="16"/>
                <w:szCs w:val="16"/>
                <w:lang w:eastAsia="en-GB"/>
                <w14:ligatures w14:val="none"/>
              </w:rPr>
              <w:t>50 %</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1E9047F9"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56,2</w:t>
            </w:r>
          </w:p>
        </w:tc>
        <w:tc>
          <w:tcPr>
            <w:tcW w:w="990" w:type="dxa"/>
            <w:tcBorders>
              <w:top w:val="nil"/>
              <w:left w:val="nil"/>
              <w:bottom w:val="single" w:color="auto" w:sz="4" w:space="0"/>
              <w:right w:val="single" w:color="auto" w:sz="4" w:space="0"/>
            </w:tcBorders>
            <w:noWrap/>
            <w:vAlign w:val="center"/>
            <w:hideMark/>
          </w:tcPr>
          <w:p w:rsidRPr="00823001" w:rsidR="00823001" w:rsidP="00823001" w:rsidRDefault="33A88A3C" w14:paraId="2025DD9F"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66,4</w:t>
            </w:r>
          </w:p>
        </w:tc>
        <w:tc>
          <w:tcPr>
            <w:tcW w:w="1805"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615351E5" w:rsidRDefault="33A88A3C" w14:paraId="67B3DF25"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Universidad de Barcelona</w:t>
            </w:r>
          </w:p>
        </w:tc>
        <w:tc>
          <w:tcPr>
            <w:tcW w:w="90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7A848C18"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44</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49FF6603"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165</w:t>
            </w:r>
          </w:p>
        </w:tc>
      </w:tr>
      <w:tr w:rsidRPr="00823001" w:rsidR="00823001" w:rsidTr="00ED786D" w14:paraId="76D14F5E"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823001" w:rsidR="00823001" w:rsidP="615351E5" w:rsidRDefault="33A88A3C" w14:paraId="281145EE"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Resultados de empleo</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39B48BDC"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5 %</w:t>
            </w:r>
          </w:p>
        </w:tc>
        <w:tc>
          <w:tcPr>
            <w:tcW w:w="694" w:type="dxa"/>
            <w:tcBorders>
              <w:top w:val="nil"/>
              <w:left w:val="nil"/>
              <w:bottom w:val="single" w:color="auto" w:sz="4" w:space="0"/>
              <w:right w:val="single" w:color="auto" w:sz="4" w:space="0"/>
            </w:tcBorders>
            <w:noWrap/>
            <w:vAlign w:val="center"/>
            <w:hideMark/>
          </w:tcPr>
          <w:p w:rsidRPr="00823001" w:rsidR="00823001" w:rsidP="00823001" w:rsidRDefault="33A88A3C" w14:paraId="5E664CF0" w14:textId="77777777">
            <w:pPr>
              <w:spacing w:after="0" w:line="240" w:lineRule="auto"/>
              <w:jc w:val="center"/>
              <w:rPr>
                <w:rFonts w:ascii="Calibri" w:hAnsi="Calibri" w:eastAsia="Times New Roman" w:cs="Calibri"/>
                <w:color w:val="00B050"/>
                <w:kern w:val="0"/>
                <w:sz w:val="16"/>
                <w:szCs w:val="16"/>
                <w:lang w:eastAsia="en-GB"/>
                <w14:ligatures w14:val="none"/>
              </w:rPr>
            </w:pPr>
            <w:r w:rsidRPr="00823001">
              <w:rPr>
                <w:rFonts w:ascii="Calibri" w:hAnsi="Calibri" w:eastAsia="Times New Roman" w:cs="Calibri"/>
                <w:color w:val="00B050"/>
                <w:kern w:val="0"/>
                <w:sz w:val="16"/>
                <w:szCs w:val="16"/>
                <w:lang w:eastAsia="en-GB"/>
                <w14:ligatures w14:val="none"/>
              </w:rPr>
              <w:t>16 %</w:t>
            </w:r>
          </w:p>
        </w:tc>
        <w:tc>
          <w:tcPr>
            <w:tcW w:w="566" w:type="dxa"/>
            <w:tcBorders>
              <w:top w:val="nil"/>
              <w:left w:val="nil"/>
              <w:bottom w:val="single" w:color="auto" w:sz="4" w:space="0"/>
              <w:right w:val="single" w:color="auto" w:sz="4" w:space="0"/>
            </w:tcBorders>
            <w:noWrap/>
            <w:vAlign w:val="center"/>
            <w:hideMark/>
          </w:tcPr>
          <w:p w:rsidRPr="00823001" w:rsidR="00823001" w:rsidP="00823001" w:rsidRDefault="33A88A3C" w14:paraId="15A2811C" w14:textId="77777777">
            <w:pPr>
              <w:spacing w:after="0" w:line="240" w:lineRule="auto"/>
              <w:jc w:val="center"/>
              <w:rPr>
                <w:rFonts w:ascii="Calibri" w:hAnsi="Calibri" w:eastAsia="Times New Roman" w:cs="Calibri"/>
                <w:color w:val="FFC000"/>
                <w:kern w:val="0"/>
                <w:sz w:val="16"/>
                <w:szCs w:val="16"/>
                <w:lang w:eastAsia="en-GB"/>
                <w14:ligatures w14:val="none"/>
              </w:rPr>
            </w:pPr>
            <w:r w:rsidRPr="00823001">
              <w:rPr>
                <w:rFonts w:ascii="Calibri" w:hAnsi="Calibri" w:eastAsia="Times New Roman" w:cs="Calibri"/>
                <w:color w:val="FFC000"/>
                <w:kern w:val="0"/>
                <w:sz w:val="16"/>
                <w:szCs w:val="16"/>
                <w:lang w:eastAsia="en-GB"/>
                <w14:ligatures w14:val="none"/>
              </w:rPr>
              <w:t>45 %</w:t>
            </w:r>
          </w:p>
        </w:tc>
        <w:tc>
          <w:tcPr>
            <w:tcW w:w="630" w:type="dxa"/>
            <w:tcBorders>
              <w:top w:val="nil"/>
              <w:left w:val="nil"/>
              <w:bottom w:val="single" w:color="auto" w:sz="4" w:space="0"/>
              <w:right w:val="single" w:color="auto" w:sz="4" w:space="0"/>
            </w:tcBorders>
            <w:noWrap/>
            <w:vAlign w:val="center"/>
            <w:hideMark/>
          </w:tcPr>
          <w:p w:rsidRPr="00823001" w:rsidR="00823001" w:rsidP="00823001" w:rsidRDefault="33A88A3C" w14:paraId="163FD48F" w14:textId="77777777">
            <w:pPr>
              <w:spacing w:after="0" w:line="240" w:lineRule="auto"/>
              <w:jc w:val="center"/>
              <w:rPr>
                <w:rFonts w:ascii="Calibri" w:hAnsi="Calibri" w:eastAsia="Times New Roman" w:cs="Calibri"/>
                <w:color w:val="C00000"/>
                <w:kern w:val="0"/>
                <w:sz w:val="16"/>
                <w:szCs w:val="16"/>
                <w:lang w:eastAsia="en-GB"/>
                <w14:ligatures w14:val="none"/>
              </w:rPr>
            </w:pPr>
            <w:r w:rsidRPr="00823001">
              <w:rPr>
                <w:rFonts w:ascii="Calibri" w:hAnsi="Calibri" w:eastAsia="Times New Roman" w:cs="Calibri"/>
                <w:color w:val="C00000"/>
                <w:kern w:val="0"/>
                <w:sz w:val="16"/>
                <w:szCs w:val="16"/>
                <w:lang w:eastAsia="en-GB"/>
                <w14:ligatures w14:val="none"/>
              </w:rPr>
              <w:t>39 %</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29CA2D12"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31,2</w:t>
            </w:r>
          </w:p>
        </w:tc>
        <w:tc>
          <w:tcPr>
            <w:tcW w:w="990" w:type="dxa"/>
            <w:tcBorders>
              <w:top w:val="nil"/>
              <w:left w:val="nil"/>
              <w:bottom w:val="single" w:color="auto" w:sz="4" w:space="0"/>
              <w:right w:val="single" w:color="auto" w:sz="4" w:space="0"/>
            </w:tcBorders>
            <w:noWrap/>
            <w:vAlign w:val="center"/>
            <w:hideMark/>
          </w:tcPr>
          <w:p w:rsidRPr="00823001" w:rsidR="00823001" w:rsidP="00823001" w:rsidRDefault="33A88A3C" w14:paraId="4C2FCB14"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23,6</w:t>
            </w:r>
          </w:p>
        </w:tc>
        <w:tc>
          <w:tcPr>
            <w:tcW w:w="1805"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615351E5" w:rsidRDefault="33A88A3C" w14:paraId="608E994D"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Universidad Complutense de Madrid</w:t>
            </w:r>
          </w:p>
        </w:tc>
        <w:tc>
          <w:tcPr>
            <w:tcW w:w="90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599C1369"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85</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53A18753"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199</w:t>
            </w:r>
          </w:p>
        </w:tc>
      </w:tr>
      <w:tr w:rsidRPr="00823001" w:rsidR="00823001" w:rsidTr="00ED786D" w14:paraId="5B494FBE" w14:textId="77777777">
        <w:trPr>
          <w:trHeight w:val="300"/>
          <w:jc w:val="center"/>
        </w:trPr>
        <w:tc>
          <w:tcPr>
            <w:tcW w:w="1615" w:type="dxa"/>
            <w:tcBorders>
              <w:top w:val="nil"/>
              <w:left w:val="single" w:color="auto" w:sz="4" w:space="0"/>
              <w:bottom w:val="single" w:color="auto" w:sz="4" w:space="0"/>
              <w:right w:val="single" w:color="auto" w:sz="4" w:space="0"/>
            </w:tcBorders>
            <w:noWrap/>
            <w:vAlign w:val="center"/>
            <w:hideMark/>
          </w:tcPr>
          <w:p w:rsidRPr="00823001" w:rsidR="00823001" w:rsidP="615351E5" w:rsidRDefault="33A88A3C" w14:paraId="56DECFA5"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Sostenibilidad</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3CD0C894"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5 %</w:t>
            </w:r>
          </w:p>
        </w:tc>
        <w:tc>
          <w:tcPr>
            <w:tcW w:w="694" w:type="dxa"/>
            <w:tcBorders>
              <w:top w:val="nil"/>
              <w:left w:val="nil"/>
              <w:bottom w:val="single" w:color="auto" w:sz="4" w:space="0"/>
              <w:right w:val="single" w:color="auto" w:sz="4" w:space="0"/>
            </w:tcBorders>
            <w:noWrap/>
            <w:vAlign w:val="center"/>
            <w:hideMark/>
          </w:tcPr>
          <w:p w:rsidRPr="00823001" w:rsidR="00823001" w:rsidP="00823001" w:rsidRDefault="33A88A3C" w14:paraId="30ABB53A" w14:textId="77777777">
            <w:pPr>
              <w:spacing w:after="0" w:line="240" w:lineRule="auto"/>
              <w:jc w:val="center"/>
              <w:rPr>
                <w:rFonts w:ascii="Calibri" w:hAnsi="Calibri" w:eastAsia="Times New Roman" w:cs="Calibri"/>
                <w:color w:val="00B050"/>
                <w:kern w:val="0"/>
                <w:sz w:val="16"/>
                <w:szCs w:val="16"/>
                <w:lang w:eastAsia="en-GB"/>
                <w14:ligatures w14:val="none"/>
              </w:rPr>
            </w:pPr>
            <w:r w:rsidRPr="00823001">
              <w:rPr>
                <w:rFonts w:ascii="Calibri" w:hAnsi="Calibri" w:eastAsia="Times New Roman" w:cs="Calibri"/>
                <w:color w:val="00B050"/>
                <w:kern w:val="0"/>
                <w:sz w:val="16"/>
                <w:szCs w:val="16"/>
                <w:lang w:eastAsia="en-GB"/>
                <w14:ligatures w14:val="none"/>
              </w:rPr>
              <w:t>18 %</w:t>
            </w:r>
          </w:p>
        </w:tc>
        <w:tc>
          <w:tcPr>
            <w:tcW w:w="566" w:type="dxa"/>
            <w:tcBorders>
              <w:top w:val="nil"/>
              <w:left w:val="nil"/>
              <w:bottom w:val="single" w:color="auto" w:sz="4" w:space="0"/>
              <w:right w:val="single" w:color="auto" w:sz="4" w:space="0"/>
            </w:tcBorders>
            <w:noWrap/>
            <w:vAlign w:val="center"/>
            <w:hideMark/>
          </w:tcPr>
          <w:p w:rsidRPr="00823001" w:rsidR="00823001" w:rsidP="00823001" w:rsidRDefault="33A88A3C" w14:paraId="46543548" w14:textId="77777777">
            <w:pPr>
              <w:spacing w:after="0" w:line="240" w:lineRule="auto"/>
              <w:jc w:val="center"/>
              <w:rPr>
                <w:rFonts w:ascii="Calibri" w:hAnsi="Calibri" w:eastAsia="Times New Roman" w:cs="Calibri"/>
                <w:color w:val="FFC000"/>
                <w:kern w:val="0"/>
                <w:sz w:val="16"/>
                <w:szCs w:val="16"/>
                <w:lang w:eastAsia="en-GB"/>
                <w14:ligatures w14:val="none"/>
              </w:rPr>
            </w:pPr>
            <w:r w:rsidRPr="00823001">
              <w:rPr>
                <w:rFonts w:ascii="Calibri" w:hAnsi="Calibri" w:eastAsia="Times New Roman" w:cs="Calibri"/>
                <w:color w:val="FFC000"/>
                <w:kern w:val="0"/>
                <w:sz w:val="16"/>
                <w:szCs w:val="16"/>
                <w:lang w:eastAsia="en-GB"/>
                <w14:ligatures w14:val="none"/>
              </w:rPr>
              <w:t>13 %</w:t>
            </w:r>
          </w:p>
        </w:tc>
        <w:tc>
          <w:tcPr>
            <w:tcW w:w="630" w:type="dxa"/>
            <w:tcBorders>
              <w:top w:val="nil"/>
              <w:left w:val="nil"/>
              <w:bottom w:val="single" w:color="auto" w:sz="4" w:space="0"/>
              <w:right w:val="single" w:color="auto" w:sz="4" w:space="0"/>
            </w:tcBorders>
            <w:noWrap/>
            <w:vAlign w:val="center"/>
            <w:hideMark/>
          </w:tcPr>
          <w:p w:rsidRPr="00823001" w:rsidR="00823001" w:rsidP="00823001" w:rsidRDefault="33A88A3C" w14:paraId="278CE260" w14:textId="77777777">
            <w:pPr>
              <w:spacing w:after="0" w:line="240" w:lineRule="auto"/>
              <w:jc w:val="center"/>
              <w:rPr>
                <w:rFonts w:ascii="Calibri" w:hAnsi="Calibri" w:eastAsia="Times New Roman" w:cs="Calibri"/>
                <w:color w:val="C00000"/>
                <w:kern w:val="0"/>
                <w:sz w:val="16"/>
                <w:szCs w:val="16"/>
                <w:lang w:eastAsia="en-GB"/>
                <w14:ligatures w14:val="none"/>
              </w:rPr>
            </w:pPr>
            <w:r w:rsidRPr="00823001">
              <w:rPr>
                <w:rFonts w:ascii="Calibri" w:hAnsi="Calibri" w:eastAsia="Times New Roman" w:cs="Calibri"/>
                <w:color w:val="C00000"/>
                <w:kern w:val="0"/>
                <w:sz w:val="16"/>
                <w:szCs w:val="16"/>
                <w:lang w:eastAsia="en-GB"/>
                <w14:ligatures w14:val="none"/>
              </w:rPr>
              <w:t>68 %</w:t>
            </w:r>
          </w:p>
        </w:tc>
        <w:tc>
          <w:tcPr>
            <w:tcW w:w="1080" w:type="dxa"/>
            <w:tcBorders>
              <w:top w:val="nil"/>
              <w:left w:val="nil"/>
              <w:bottom w:val="single" w:color="auto" w:sz="4" w:space="0"/>
              <w:right w:val="single" w:color="auto" w:sz="4" w:space="0"/>
            </w:tcBorders>
            <w:noWrap/>
            <w:vAlign w:val="center"/>
            <w:hideMark/>
          </w:tcPr>
          <w:p w:rsidRPr="00823001" w:rsidR="00823001" w:rsidP="00823001" w:rsidRDefault="33A88A3C" w14:paraId="62D540D5"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56,4</w:t>
            </w:r>
          </w:p>
        </w:tc>
        <w:tc>
          <w:tcPr>
            <w:tcW w:w="990" w:type="dxa"/>
            <w:tcBorders>
              <w:top w:val="nil"/>
              <w:left w:val="nil"/>
              <w:bottom w:val="single" w:color="auto" w:sz="4" w:space="0"/>
              <w:right w:val="single" w:color="auto" w:sz="4" w:space="0"/>
            </w:tcBorders>
            <w:noWrap/>
            <w:vAlign w:val="center"/>
            <w:hideMark/>
          </w:tcPr>
          <w:p w:rsidRPr="00823001" w:rsidR="00823001" w:rsidP="00823001" w:rsidRDefault="33A88A3C" w14:paraId="2A2521EB"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59,8</w:t>
            </w:r>
          </w:p>
        </w:tc>
        <w:tc>
          <w:tcPr>
            <w:tcW w:w="1805"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615351E5" w:rsidRDefault="33A88A3C" w14:paraId="6D92F57B"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Universidad Autónoma de Barcelona</w:t>
            </w:r>
          </w:p>
        </w:tc>
        <w:tc>
          <w:tcPr>
            <w:tcW w:w="90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39E069F8"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83=</w:t>
            </w:r>
          </w:p>
        </w:tc>
        <w:tc>
          <w:tcPr>
            <w:tcW w:w="1080" w:type="dxa"/>
            <w:tcBorders>
              <w:top w:val="nil"/>
              <w:left w:val="nil"/>
              <w:bottom w:val="single" w:color="auto" w:sz="4" w:space="0"/>
              <w:right w:val="single" w:color="auto" w:sz="4" w:space="0"/>
            </w:tcBorders>
            <w:shd w:val="clear" w:color="auto" w:fill="F2F2F2" w:themeFill="background1" w:themeFillShade="F2"/>
            <w:noWrap/>
            <w:vAlign w:val="center"/>
            <w:hideMark/>
          </w:tcPr>
          <w:p w:rsidRPr="00823001" w:rsidR="00823001" w:rsidP="00823001" w:rsidRDefault="33A88A3C" w14:paraId="714E135A" w14:textId="77777777">
            <w:pPr>
              <w:spacing w:after="0" w:line="240" w:lineRule="auto"/>
              <w:jc w:val="center"/>
              <w:rPr>
                <w:rFonts w:ascii="Calibri" w:hAnsi="Calibri" w:eastAsia="Times New Roman" w:cs="Calibri"/>
                <w:kern w:val="0"/>
                <w:sz w:val="16"/>
                <w:szCs w:val="16"/>
                <w:lang w:eastAsia="en-GB"/>
                <w14:ligatures w14:val="none"/>
              </w:rPr>
            </w:pPr>
            <w:r w:rsidRPr="00823001">
              <w:rPr>
                <w:rFonts w:ascii="Calibri" w:hAnsi="Calibri" w:eastAsia="Times New Roman" w:cs="Calibri"/>
                <w:kern w:val="0"/>
                <w:sz w:val="16"/>
                <w:szCs w:val="16"/>
                <w:lang w:eastAsia="en-GB"/>
                <w14:ligatures w14:val="none"/>
              </w:rPr>
              <w:t>211</w:t>
            </w:r>
          </w:p>
        </w:tc>
      </w:tr>
    </w:tbl>
    <w:p w:rsidR="002038A9" w:rsidP="005A298B" w:rsidRDefault="002038A9" w14:paraId="45A43940" w14:textId="77777777">
      <w:pPr>
        <w:pStyle w:val="paragraph"/>
        <w:spacing w:before="0" w:beforeAutospacing="0" w:after="0" w:afterAutospacing="0"/>
        <w:textAlignment w:val="baseline"/>
        <w:rPr>
          <w:rFonts w:ascii="Segoe UI" w:hAnsi="Segoe UI" w:cs="Segoe UI"/>
          <w:sz w:val="18"/>
          <w:szCs w:val="18"/>
        </w:rPr>
      </w:pPr>
    </w:p>
    <w:p w:rsidRPr="00086132" w:rsidR="00823001" w:rsidP="001C4444" w:rsidRDefault="00645C68" w14:paraId="06912A9D" w14:textId="474CD49D">
      <w:pPr>
        <w:pStyle w:val="paragraph"/>
        <w:spacing w:before="0" w:beforeAutospacing="0" w:after="160" w:afterAutospacing="0" w:line="360" w:lineRule="auto"/>
        <w:textAlignment w:val="baseline"/>
        <w:rPr>
          <w:rFonts w:ascii="Calibri" w:hAnsi="Calibri" w:cs="Calibri"/>
          <w:sz w:val="22"/>
          <w:szCs w:val="22"/>
          <w:lang w:val="es-ES"/>
        </w:rPr>
      </w:pPr>
      <w:r w:rsidRPr="00086132">
        <w:rPr>
          <w:rFonts w:ascii="Calibri" w:hAnsi="Calibri" w:cs="Calibri"/>
          <w:b/>
          <w:bCs/>
          <w:sz w:val="22"/>
          <w:szCs w:val="22"/>
          <w:u w:val="single"/>
          <w:lang w:val="es-ES"/>
        </w:rPr>
        <w:t>España en el punto de mira</w:t>
      </w:r>
    </w:p>
    <w:p w:rsidR="00645C68" w:rsidP="001C4444" w:rsidRDefault="00A63CF7" w14:paraId="2F34F7B3" w14:textId="6332B6BD">
      <w:pPr>
        <w:pStyle w:val="ListParagraph"/>
        <w:numPr>
          <w:ilvl w:val="0"/>
          <w:numId w:val="11"/>
        </w:numPr>
        <w:ind w:left="714" w:hanging="357"/>
        <w:contextualSpacing w:val="0"/>
        <w:rPr>
          <w:rFonts w:ascii="Calibri" w:hAnsi="Calibri" w:eastAsia="Times New Roman" w:cs="Calibri"/>
          <w:color w:val="1D1D1B"/>
          <w:kern w:val="0"/>
          <w:sz w:val="22"/>
          <w:szCs w:val="22"/>
          <w:lang w:val="es-ES" w:eastAsia="en-GB"/>
          <w14:ligatures w14:val="none"/>
        </w:rPr>
      </w:pPr>
      <w:r w:rsidRPr="00086132">
        <w:rPr>
          <w:rFonts w:ascii="Calibri" w:hAnsi="Calibri" w:cs="Calibri"/>
          <w:sz w:val="22"/>
          <w:szCs w:val="22"/>
          <w:lang w:val="es-ES"/>
        </w:rPr>
        <w:t xml:space="preserve">España alcanza su mejor posición en un indicador individual en la categoría de «Proporción de estudiantes internacionales», </w:t>
      </w:r>
      <w:r w:rsidR="00857E81">
        <w:rPr>
          <w:rFonts w:ascii="Calibri" w:hAnsi="Calibri" w:cs="Calibri"/>
          <w:sz w:val="22"/>
          <w:szCs w:val="22"/>
          <w:lang w:val="es-ES"/>
        </w:rPr>
        <w:t>donde</w:t>
      </w:r>
      <w:r w:rsidRPr="00086132">
        <w:rPr>
          <w:rFonts w:ascii="Calibri" w:hAnsi="Calibri" w:cs="Calibri"/>
          <w:sz w:val="22"/>
          <w:szCs w:val="22"/>
          <w:lang w:val="es-ES"/>
        </w:rPr>
        <w:t xml:space="preserve"> IE University ocupa el tercer puesto, solo </w:t>
      </w:r>
      <w:r w:rsidRPr="00086132">
        <w:rPr>
          <w:rFonts w:ascii="Calibri" w:hAnsi="Calibri" w:eastAsia="Times New Roman" w:cs="Calibri"/>
          <w:color w:val="1D1D1B"/>
          <w:kern w:val="0"/>
          <w:sz w:val="22"/>
          <w:szCs w:val="22"/>
          <w:lang w:val="es-ES" w:eastAsia="en-GB"/>
          <w14:ligatures w14:val="none"/>
        </w:rPr>
        <w:t xml:space="preserve">superada a nivel mundial por </w:t>
      </w:r>
      <w:r w:rsidRPr="00086132">
        <w:rPr>
          <w:rFonts w:ascii="Calibri" w:hAnsi="Calibri" w:cs="Calibri"/>
          <w:sz w:val="22"/>
          <w:szCs w:val="22"/>
          <w:lang w:val="es-ES"/>
        </w:rPr>
        <w:t xml:space="preserve">Central </w:t>
      </w:r>
      <w:proofErr w:type="spellStart"/>
      <w:r w:rsidRPr="00086132">
        <w:rPr>
          <w:rFonts w:ascii="Calibri" w:hAnsi="Calibri" w:cs="Calibri"/>
          <w:sz w:val="22"/>
          <w:szCs w:val="22"/>
          <w:lang w:val="es-ES"/>
        </w:rPr>
        <w:t>European</w:t>
      </w:r>
      <w:proofErr w:type="spellEnd"/>
      <w:r w:rsidRPr="00086132">
        <w:rPr>
          <w:rFonts w:ascii="Calibri" w:hAnsi="Calibri" w:cs="Calibri"/>
          <w:sz w:val="22"/>
          <w:szCs w:val="22"/>
          <w:lang w:val="es-ES"/>
        </w:rPr>
        <w:t xml:space="preserve"> University de Austria y </w:t>
      </w:r>
      <w:r w:rsidRPr="00714150" w:rsidR="00714150">
        <w:rPr>
          <w:rFonts w:ascii="Calibri" w:hAnsi="Calibri" w:eastAsia="Times New Roman" w:cs="Calibri"/>
          <w:color w:val="1D1D1B"/>
          <w:kern w:val="0"/>
          <w:sz w:val="22"/>
          <w:szCs w:val="22"/>
          <w:lang w:val="es-ES" w:eastAsia="en-GB"/>
          <w14:ligatures w14:val="none"/>
        </w:rPr>
        <w:t xml:space="preserve">University of </w:t>
      </w:r>
      <w:proofErr w:type="spellStart"/>
      <w:r w:rsidRPr="00714150" w:rsidR="00714150">
        <w:rPr>
          <w:rFonts w:ascii="Calibri" w:hAnsi="Calibri" w:eastAsia="Times New Roman" w:cs="Calibri"/>
          <w:color w:val="1D1D1B"/>
          <w:kern w:val="0"/>
          <w:sz w:val="22"/>
          <w:szCs w:val="22"/>
          <w:lang w:val="es-ES" w:eastAsia="en-GB"/>
          <w14:ligatures w14:val="none"/>
        </w:rPr>
        <w:t>Science</w:t>
      </w:r>
      <w:proofErr w:type="spellEnd"/>
      <w:r w:rsidRPr="00714150" w:rsidR="00714150">
        <w:rPr>
          <w:rFonts w:ascii="Calibri" w:hAnsi="Calibri" w:eastAsia="Times New Roman" w:cs="Calibri"/>
          <w:color w:val="1D1D1B"/>
          <w:kern w:val="0"/>
          <w:sz w:val="22"/>
          <w:szCs w:val="22"/>
          <w:lang w:val="es-ES" w:eastAsia="en-GB"/>
          <w14:ligatures w14:val="none"/>
        </w:rPr>
        <w:t xml:space="preserve"> and </w:t>
      </w:r>
      <w:proofErr w:type="spellStart"/>
      <w:r w:rsidRPr="00714150" w:rsidR="00714150">
        <w:rPr>
          <w:rFonts w:ascii="Calibri" w:hAnsi="Calibri" w:eastAsia="Times New Roman" w:cs="Calibri"/>
          <w:color w:val="1D1D1B"/>
          <w:kern w:val="0"/>
          <w:sz w:val="22"/>
          <w:szCs w:val="22"/>
          <w:lang w:val="es-ES" w:eastAsia="en-GB"/>
          <w14:ligatures w14:val="none"/>
        </w:rPr>
        <w:t>Technology</w:t>
      </w:r>
      <w:proofErr w:type="spellEnd"/>
      <w:r w:rsidRPr="00714150" w:rsidR="00714150">
        <w:rPr>
          <w:rFonts w:ascii="Calibri" w:hAnsi="Calibri" w:eastAsia="Times New Roman" w:cs="Calibri"/>
          <w:color w:val="1D1D1B"/>
          <w:kern w:val="0"/>
          <w:sz w:val="22"/>
          <w:szCs w:val="22"/>
          <w:lang w:val="es-ES" w:eastAsia="en-GB"/>
          <w14:ligatures w14:val="none"/>
        </w:rPr>
        <w:t xml:space="preserve"> </w:t>
      </w:r>
      <w:r w:rsidRPr="00086132">
        <w:rPr>
          <w:rFonts w:ascii="Calibri" w:hAnsi="Calibri" w:eastAsia="Times New Roman" w:cs="Calibri"/>
          <w:color w:val="1D1D1B"/>
          <w:kern w:val="0"/>
          <w:sz w:val="22"/>
          <w:szCs w:val="22"/>
          <w:lang w:val="es-ES" w:eastAsia="en-GB"/>
          <w14:ligatures w14:val="none"/>
        </w:rPr>
        <w:t xml:space="preserve">de Macao. </w:t>
      </w:r>
    </w:p>
    <w:p w:rsidR="00A63CF7" w:rsidP="001C4444" w:rsidRDefault="00714150" w14:paraId="1F9414D1" w14:textId="1C28483F">
      <w:pPr>
        <w:pStyle w:val="ListParagraph"/>
        <w:numPr>
          <w:ilvl w:val="0"/>
          <w:numId w:val="11"/>
        </w:numPr>
        <w:ind w:left="714" w:hanging="357"/>
        <w:contextualSpacing w:val="0"/>
        <w:rPr>
          <w:rFonts w:ascii="Calibri" w:hAnsi="Calibri" w:eastAsia="Times New Roman" w:cs="Calibri"/>
          <w:color w:val="1D1D1B"/>
          <w:kern w:val="0"/>
          <w:sz w:val="22"/>
          <w:szCs w:val="22"/>
          <w:lang w:val="es-ES" w:eastAsia="en-GB"/>
          <w14:ligatures w14:val="none"/>
        </w:rPr>
      </w:pPr>
      <w:r>
        <w:rPr>
          <w:rFonts w:ascii="Calibri" w:hAnsi="Calibri" w:eastAsia="Times New Roman" w:cs="Calibri"/>
          <w:color w:val="1D1D1B"/>
          <w:kern w:val="0"/>
          <w:sz w:val="22"/>
          <w:szCs w:val="22"/>
          <w:lang w:val="es-ES" w:eastAsia="en-GB"/>
          <w14:ligatures w14:val="none"/>
        </w:rPr>
        <w:t>El único otro puesto</w:t>
      </w:r>
      <w:r w:rsidR="00AD6A16">
        <w:rPr>
          <w:rFonts w:ascii="Calibri" w:hAnsi="Calibri" w:eastAsia="Times New Roman" w:cs="Calibri"/>
          <w:color w:val="1D1D1B"/>
          <w:kern w:val="0"/>
          <w:sz w:val="22"/>
          <w:szCs w:val="22"/>
          <w:lang w:val="es-ES" w:eastAsia="en-GB"/>
          <w14:ligatures w14:val="none"/>
        </w:rPr>
        <w:t xml:space="preserve"> </w:t>
      </w:r>
      <w:r w:rsidRPr="00086132" w:rsidR="00A63CF7">
        <w:rPr>
          <w:rFonts w:ascii="Calibri" w:hAnsi="Calibri" w:eastAsia="Times New Roman" w:cs="Calibri"/>
          <w:color w:val="1D1D1B"/>
          <w:kern w:val="0"/>
          <w:sz w:val="22"/>
          <w:szCs w:val="22"/>
          <w:lang w:val="es-ES" w:eastAsia="en-GB"/>
          <w14:ligatures w14:val="none"/>
        </w:rPr>
        <w:t>entre las 50 primer</w:t>
      </w:r>
      <w:r>
        <w:rPr>
          <w:rFonts w:ascii="Calibri" w:hAnsi="Calibri" w:eastAsia="Times New Roman" w:cs="Calibri"/>
          <w:color w:val="1D1D1B"/>
          <w:kern w:val="0"/>
          <w:sz w:val="22"/>
          <w:szCs w:val="22"/>
          <w:lang w:val="es-ES" w:eastAsia="en-GB"/>
          <w14:ligatures w14:val="none"/>
        </w:rPr>
        <w:t>os de España</w:t>
      </w:r>
      <w:r w:rsidRPr="00086132" w:rsidR="00A63CF7">
        <w:rPr>
          <w:rFonts w:ascii="Calibri" w:hAnsi="Calibri" w:eastAsia="Times New Roman" w:cs="Calibri"/>
          <w:color w:val="1D1D1B"/>
          <w:kern w:val="0"/>
          <w:sz w:val="22"/>
          <w:szCs w:val="22"/>
          <w:lang w:val="es-ES" w:eastAsia="en-GB"/>
          <w14:ligatures w14:val="none"/>
        </w:rPr>
        <w:t xml:space="preserve"> en cualquier indicador la consigue la </w:t>
      </w:r>
      <w:proofErr w:type="spellStart"/>
      <w:r w:rsidRPr="00086132" w:rsidR="00A63CF7">
        <w:rPr>
          <w:rFonts w:ascii="Calibri" w:hAnsi="Calibri" w:eastAsia="Times New Roman" w:cs="Calibri"/>
          <w:color w:val="1D1D1B"/>
          <w:kern w:val="0"/>
          <w:sz w:val="22"/>
          <w:szCs w:val="22"/>
          <w:lang w:val="es-ES" w:eastAsia="en-GB"/>
          <w14:ligatures w14:val="none"/>
        </w:rPr>
        <w:t>Universitat</w:t>
      </w:r>
      <w:proofErr w:type="spellEnd"/>
      <w:r w:rsidRPr="00086132" w:rsidR="00A63CF7">
        <w:rPr>
          <w:rFonts w:ascii="Calibri" w:hAnsi="Calibri" w:eastAsia="Times New Roman" w:cs="Calibri"/>
          <w:color w:val="1D1D1B"/>
          <w:kern w:val="0"/>
          <w:sz w:val="22"/>
          <w:szCs w:val="22"/>
          <w:lang w:val="es-ES" w:eastAsia="en-GB"/>
          <w14:ligatures w14:val="none"/>
        </w:rPr>
        <w:t xml:space="preserve"> de Barcelona en la categoría de «Red internacional de investigación», en la que ocupa</w:t>
      </w:r>
      <w:r>
        <w:rPr>
          <w:rFonts w:ascii="Calibri" w:hAnsi="Calibri" w:eastAsia="Times New Roman" w:cs="Calibri"/>
          <w:color w:val="1D1D1B"/>
          <w:kern w:val="0"/>
          <w:sz w:val="22"/>
          <w:szCs w:val="22"/>
          <w:lang w:val="es-ES" w:eastAsia="en-GB"/>
          <w14:ligatures w14:val="none"/>
        </w:rPr>
        <w:t xml:space="preserve"> el puesto</w:t>
      </w:r>
      <w:r w:rsidRPr="00086132" w:rsidR="00A63CF7">
        <w:rPr>
          <w:rFonts w:ascii="Calibri" w:hAnsi="Calibri" w:eastAsia="Times New Roman" w:cs="Calibri"/>
          <w:color w:val="1D1D1B"/>
          <w:kern w:val="0"/>
          <w:sz w:val="22"/>
          <w:szCs w:val="22"/>
          <w:lang w:val="es-ES" w:eastAsia="en-GB"/>
          <w14:ligatures w14:val="none"/>
        </w:rPr>
        <w:t xml:space="preserve"> 44. Sin embargo, este indicador es uno de los más sólidos de España, ya que la Universidad de Granada </w:t>
      </w:r>
      <w:r w:rsidRPr="00086132" w:rsidR="001C4444">
        <w:rPr>
          <w:rFonts w:ascii="Calibri" w:hAnsi="Calibri" w:eastAsia="Times New Roman" w:cs="Calibri"/>
          <w:color w:val="1D1D1B"/>
          <w:kern w:val="0"/>
          <w:sz w:val="22"/>
          <w:szCs w:val="22"/>
          <w:lang w:val="es-ES" w:eastAsia="en-GB"/>
          <w14:ligatures w14:val="none"/>
        </w:rPr>
        <w:t xml:space="preserve">también </w:t>
      </w:r>
      <w:r w:rsidRPr="00086132" w:rsidR="00A63CF7">
        <w:rPr>
          <w:rFonts w:ascii="Calibri" w:hAnsi="Calibri" w:eastAsia="Times New Roman" w:cs="Calibri"/>
          <w:color w:val="1D1D1B"/>
          <w:kern w:val="0"/>
          <w:sz w:val="22"/>
          <w:szCs w:val="22"/>
          <w:lang w:val="es-ES" w:eastAsia="en-GB"/>
          <w14:ligatures w14:val="none"/>
        </w:rPr>
        <w:t>ocupa</w:t>
      </w:r>
      <w:r>
        <w:rPr>
          <w:rFonts w:ascii="Calibri" w:hAnsi="Calibri" w:eastAsia="Times New Roman" w:cs="Calibri"/>
          <w:color w:val="1D1D1B"/>
          <w:kern w:val="0"/>
          <w:sz w:val="22"/>
          <w:szCs w:val="22"/>
          <w:lang w:val="es-ES" w:eastAsia="en-GB"/>
          <w14:ligatures w14:val="none"/>
        </w:rPr>
        <w:t xml:space="preserve"> del puesto</w:t>
      </w:r>
      <w:r w:rsidRPr="00086132" w:rsidR="00A63CF7">
        <w:rPr>
          <w:rFonts w:ascii="Calibri" w:hAnsi="Calibri" w:eastAsia="Times New Roman" w:cs="Calibri"/>
          <w:color w:val="1D1D1B"/>
          <w:kern w:val="0"/>
          <w:sz w:val="22"/>
          <w:szCs w:val="22"/>
          <w:lang w:val="es-ES" w:eastAsia="en-GB"/>
          <w14:ligatures w14:val="none"/>
        </w:rPr>
        <w:t xml:space="preserve"> 67.</w:t>
      </w:r>
    </w:p>
    <w:p w:rsidRPr="00714150" w:rsidR="00A63CF7" w:rsidP="00714150" w:rsidRDefault="00A63CF7" w14:paraId="7C40D852" w14:textId="4E5745A9">
      <w:pPr>
        <w:pStyle w:val="ListParagraph"/>
        <w:numPr>
          <w:ilvl w:val="0"/>
          <w:numId w:val="11"/>
        </w:numPr>
        <w:ind w:left="714" w:hanging="357"/>
        <w:contextualSpacing w:val="0"/>
        <w:rPr>
          <w:rFonts w:ascii="Calibri" w:hAnsi="Calibri" w:eastAsia="Times New Roman" w:cs="Calibri"/>
          <w:color w:val="1D1D1B"/>
          <w:kern w:val="0"/>
          <w:sz w:val="22"/>
          <w:szCs w:val="22"/>
          <w:lang w:val="es-ES" w:eastAsia="en-GB"/>
          <w14:ligatures w14:val="none"/>
        </w:rPr>
      </w:pPr>
      <w:r w:rsidRPr="00714150">
        <w:rPr>
          <w:rFonts w:ascii="Calibri" w:hAnsi="Calibri" w:eastAsia="Times New Roman" w:cs="Calibri"/>
          <w:kern w:val="0"/>
          <w:sz w:val="22"/>
          <w:szCs w:val="22"/>
          <w:lang w:val="es-ES" w:eastAsia="en-GB"/>
          <w14:ligatures w14:val="none"/>
        </w:rPr>
        <w:t xml:space="preserve">La «Reputación académica» es el único indicador en el que más universidades españolas han subido que bajado, </w:t>
      </w:r>
      <w:r w:rsidRPr="00714150" w:rsidR="00714150">
        <w:rPr>
          <w:rFonts w:ascii="Calibri" w:hAnsi="Calibri" w:eastAsia="Times New Roman" w:cs="Calibri"/>
          <w:color w:val="1D1D1B"/>
          <w:kern w:val="0"/>
          <w:sz w:val="22"/>
          <w:szCs w:val="22"/>
          <w:lang w:val="es-ES" w:eastAsia="en-GB"/>
          <w14:ligatures w14:val="none"/>
        </w:rPr>
        <w:t>con 11 que han ascendido y 9 que han descendido</w:t>
      </w:r>
      <w:r w:rsidRPr="00714150">
        <w:rPr>
          <w:rFonts w:ascii="Calibri" w:hAnsi="Calibri" w:eastAsia="Times New Roman" w:cs="Calibri"/>
          <w:kern w:val="0"/>
          <w:sz w:val="22"/>
          <w:szCs w:val="22"/>
          <w:lang w:val="es-ES" w:eastAsia="en-GB"/>
          <w14:ligatures w14:val="none"/>
        </w:rPr>
        <w:t xml:space="preserve">. Dos universidades se sitúan entre las 100 primeras en este indicador, entre ellas </w:t>
      </w:r>
      <w:r w:rsidRPr="00714150">
        <w:rPr>
          <w:rFonts w:ascii="Calibri" w:hAnsi="Calibri" w:eastAsia="Times New Roman" w:cs="Calibri"/>
          <w:color w:val="1D1D1B"/>
          <w:kern w:val="0"/>
          <w:sz w:val="22"/>
          <w:szCs w:val="22"/>
          <w:lang w:val="es-ES" w:eastAsia="en-GB"/>
          <w14:ligatures w14:val="none"/>
        </w:rPr>
        <w:t xml:space="preserve">la </w:t>
      </w:r>
      <w:proofErr w:type="spellStart"/>
      <w:r w:rsidRPr="00714150">
        <w:rPr>
          <w:rFonts w:ascii="Calibri" w:hAnsi="Calibri" w:eastAsia="Times New Roman" w:cs="Calibri"/>
          <w:color w:val="1D1D1B"/>
          <w:kern w:val="0"/>
          <w:sz w:val="22"/>
          <w:szCs w:val="22"/>
          <w:lang w:val="es-ES" w:eastAsia="en-GB"/>
          <w14:ligatures w14:val="none"/>
        </w:rPr>
        <w:t>Universitat</w:t>
      </w:r>
      <w:proofErr w:type="spellEnd"/>
      <w:r w:rsidRPr="00714150">
        <w:rPr>
          <w:rFonts w:ascii="Calibri" w:hAnsi="Calibri" w:eastAsia="Times New Roman" w:cs="Calibri"/>
          <w:color w:val="1D1D1B"/>
          <w:kern w:val="0"/>
          <w:sz w:val="22"/>
          <w:szCs w:val="22"/>
          <w:lang w:val="es-ES" w:eastAsia="en-GB"/>
          <w14:ligatures w14:val="none"/>
        </w:rPr>
        <w:t xml:space="preserve"> de Barcelona</w:t>
      </w:r>
      <w:r w:rsidR="00AD6A16">
        <w:rPr>
          <w:rFonts w:ascii="Calibri" w:hAnsi="Calibri" w:eastAsia="Times New Roman" w:cs="Calibri"/>
          <w:color w:val="1D1D1B"/>
          <w:kern w:val="0"/>
          <w:sz w:val="22"/>
          <w:szCs w:val="22"/>
          <w:vertAlign w:val="superscript"/>
          <w:lang w:val="es-ES" w:eastAsia="en-GB"/>
          <w14:ligatures w14:val="none"/>
        </w:rPr>
        <w:t xml:space="preserve"> </w:t>
      </w:r>
      <w:r w:rsidRPr="00714150">
        <w:rPr>
          <w:rFonts w:ascii="Calibri" w:hAnsi="Calibri" w:eastAsia="Times New Roman" w:cs="Calibri"/>
          <w:color w:val="1D1D1B"/>
          <w:kern w:val="0"/>
          <w:sz w:val="22"/>
          <w:szCs w:val="22"/>
          <w:lang w:val="es-ES" w:eastAsia="en-GB"/>
          <w14:ligatures w14:val="none"/>
        </w:rPr>
        <w:t>en</w:t>
      </w:r>
      <w:r w:rsidRPr="00714150" w:rsidR="00714150">
        <w:rPr>
          <w:rFonts w:ascii="Calibri" w:hAnsi="Calibri" w:eastAsia="Times New Roman" w:cs="Calibri"/>
          <w:color w:val="1D1D1B"/>
          <w:kern w:val="0"/>
          <w:sz w:val="22"/>
          <w:szCs w:val="22"/>
          <w:lang w:val="es-ES" w:eastAsia="en-GB"/>
          <w14:ligatures w14:val="none"/>
        </w:rPr>
        <w:t xml:space="preserve"> el puesto</w:t>
      </w:r>
      <w:r w:rsidRPr="00714150">
        <w:rPr>
          <w:rFonts w:ascii="Calibri" w:hAnsi="Calibri" w:eastAsia="Times New Roman" w:cs="Calibri"/>
          <w:color w:val="1D1D1B"/>
          <w:kern w:val="0"/>
          <w:sz w:val="22"/>
          <w:szCs w:val="22"/>
          <w:lang w:val="es-ES" w:eastAsia="en-GB"/>
          <w14:ligatures w14:val="none"/>
        </w:rPr>
        <w:t xml:space="preserve"> 80</w:t>
      </w:r>
      <w:r w:rsidRPr="00714150" w:rsidR="00714150">
        <w:rPr>
          <w:rFonts w:ascii="Calibri" w:hAnsi="Calibri" w:eastAsia="Times New Roman" w:cs="Calibri"/>
          <w:color w:val="1D1D1B"/>
          <w:kern w:val="0"/>
          <w:sz w:val="22"/>
          <w:szCs w:val="22"/>
          <w:vertAlign w:val="superscript"/>
          <w:lang w:val="es-ES" w:eastAsia="en-GB"/>
          <w14:ligatures w14:val="none"/>
        </w:rPr>
        <w:t xml:space="preserve"> </w:t>
      </w:r>
      <w:r w:rsidRPr="00714150">
        <w:rPr>
          <w:rFonts w:ascii="Calibri" w:hAnsi="Calibri" w:eastAsia="Times New Roman" w:cs="Calibri"/>
          <w:color w:val="1D1D1B"/>
          <w:kern w:val="0"/>
          <w:sz w:val="22"/>
          <w:szCs w:val="22"/>
          <w:lang w:val="es-ES" w:eastAsia="en-GB"/>
          <w14:ligatures w14:val="none"/>
        </w:rPr>
        <w:t xml:space="preserve">y </w:t>
      </w:r>
      <w:r w:rsidRPr="00714150" w:rsidR="001C4444">
        <w:rPr>
          <w:rFonts w:ascii="Calibri" w:hAnsi="Calibri" w:eastAsia="Times New Roman" w:cs="Calibri"/>
          <w:color w:val="1D1D1B"/>
          <w:kern w:val="0"/>
          <w:sz w:val="22"/>
          <w:szCs w:val="22"/>
          <w:lang w:val="es-ES" w:eastAsia="en-GB"/>
          <w14:ligatures w14:val="none"/>
        </w:rPr>
        <w:t>la Universidad Complutense de Madrid</w:t>
      </w:r>
      <w:r w:rsidRPr="00714150" w:rsidR="00714150">
        <w:rPr>
          <w:rFonts w:ascii="Calibri" w:hAnsi="Calibri" w:eastAsia="Times New Roman" w:cs="Calibri"/>
          <w:color w:val="1D1D1B"/>
          <w:kern w:val="0"/>
          <w:sz w:val="22"/>
          <w:szCs w:val="22"/>
          <w:vertAlign w:val="superscript"/>
          <w:lang w:val="es-ES" w:eastAsia="en-GB"/>
          <w14:ligatures w14:val="none"/>
        </w:rPr>
        <w:t xml:space="preserve"> </w:t>
      </w:r>
      <w:r w:rsidRPr="00714150" w:rsidR="001C4444">
        <w:rPr>
          <w:rFonts w:ascii="Calibri" w:hAnsi="Calibri" w:eastAsia="Times New Roman" w:cs="Calibri"/>
          <w:color w:val="1D1D1B"/>
          <w:kern w:val="0"/>
          <w:sz w:val="22"/>
          <w:szCs w:val="22"/>
          <w:lang w:val="es-ES" w:eastAsia="en-GB"/>
          <w14:ligatures w14:val="none"/>
        </w:rPr>
        <w:t>en</w:t>
      </w:r>
      <w:r w:rsidRPr="00714150" w:rsidR="00714150">
        <w:rPr>
          <w:rFonts w:ascii="Calibri" w:hAnsi="Calibri" w:eastAsia="Times New Roman" w:cs="Calibri"/>
          <w:color w:val="1D1D1B"/>
          <w:kern w:val="0"/>
          <w:sz w:val="22"/>
          <w:szCs w:val="22"/>
          <w:lang w:val="es-ES" w:eastAsia="en-GB"/>
          <w14:ligatures w14:val="none"/>
        </w:rPr>
        <w:t xml:space="preserve"> el puesto </w:t>
      </w:r>
      <w:r w:rsidRPr="00714150" w:rsidR="001C4444">
        <w:rPr>
          <w:rFonts w:ascii="Calibri" w:hAnsi="Calibri" w:eastAsia="Times New Roman" w:cs="Calibri"/>
          <w:color w:val="1D1D1B"/>
          <w:kern w:val="0"/>
          <w:sz w:val="22"/>
          <w:szCs w:val="22"/>
          <w:lang w:val="es-ES" w:eastAsia="en-GB"/>
          <w14:ligatures w14:val="none"/>
        </w:rPr>
        <w:t>99.</w:t>
      </w:r>
    </w:p>
    <w:p w:rsidR="00714150" w:rsidP="00714150" w:rsidRDefault="001C4444" w14:paraId="77B46FF3" w14:textId="77777777">
      <w:pPr>
        <w:pStyle w:val="ListParagraph"/>
        <w:numPr>
          <w:ilvl w:val="0"/>
          <w:numId w:val="11"/>
        </w:numPr>
        <w:ind w:left="714" w:hanging="357"/>
        <w:contextualSpacing w:val="0"/>
        <w:rPr>
          <w:rFonts w:ascii="Calibri" w:hAnsi="Calibri" w:eastAsia="Times New Roman" w:cs="Calibri"/>
          <w:color w:val="1D1D1B"/>
          <w:kern w:val="0"/>
          <w:sz w:val="22"/>
          <w:szCs w:val="22"/>
          <w:lang w:val="es-ES" w:eastAsia="en-GB"/>
          <w14:ligatures w14:val="none"/>
        </w:rPr>
      </w:pPr>
      <w:r w:rsidRPr="00086132">
        <w:rPr>
          <w:rFonts w:ascii="Calibri" w:hAnsi="Calibri" w:eastAsia="Times New Roman" w:cs="Calibri"/>
          <w:color w:val="1D1D1B"/>
          <w:kern w:val="0"/>
          <w:sz w:val="22"/>
          <w:szCs w:val="22"/>
          <w:lang w:val="es-ES" w:eastAsia="en-GB"/>
          <w14:ligatures w14:val="none"/>
        </w:rPr>
        <w:t xml:space="preserve">La </w:t>
      </w:r>
      <w:proofErr w:type="spellStart"/>
      <w:r w:rsidRPr="00086132">
        <w:rPr>
          <w:rFonts w:ascii="Calibri" w:hAnsi="Calibri" w:eastAsia="Times New Roman" w:cs="Calibri"/>
          <w:color w:val="1D1D1B"/>
          <w:kern w:val="0"/>
          <w:sz w:val="22"/>
          <w:szCs w:val="22"/>
          <w:lang w:val="es-ES" w:eastAsia="en-GB"/>
          <w14:ligatures w14:val="none"/>
        </w:rPr>
        <w:t>Universitat</w:t>
      </w:r>
      <w:proofErr w:type="spellEnd"/>
      <w:r w:rsidRPr="00086132">
        <w:rPr>
          <w:rFonts w:ascii="Calibri" w:hAnsi="Calibri" w:eastAsia="Times New Roman" w:cs="Calibri"/>
          <w:color w:val="1D1D1B"/>
          <w:kern w:val="0"/>
          <w:sz w:val="22"/>
          <w:szCs w:val="22"/>
          <w:lang w:val="es-ES" w:eastAsia="en-GB"/>
          <w14:ligatures w14:val="none"/>
        </w:rPr>
        <w:t xml:space="preserve"> Internacional de Catalunya es la debutante española mejor clasificada en esta edición y la única que se sitúa entre las 100 primeras, en el rango 901-950.</w:t>
      </w:r>
    </w:p>
    <w:p w:rsidRPr="00714150" w:rsidR="001C4444" w:rsidP="00714150" w:rsidRDefault="001C4444" w14:paraId="4B6032E6" w14:textId="19233BA9">
      <w:pPr>
        <w:pStyle w:val="ListParagraph"/>
        <w:numPr>
          <w:ilvl w:val="0"/>
          <w:numId w:val="11"/>
        </w:numPr>
        <w:ind w:left="714" w:hanging="357"/>
        <w:contextualSpacing w:val="0"/>
        <w:rPr>
          <w:rFonts w:ascii="Calibri" w:hAnsi="Calibri" w:eastAsia="Times New Roman" w:cs="Calibri"/>
          <w:color w:val="1D1D1B"/>
          <w:kern w:val="0"/>
          <w:sz w:val="22"/>
          <w:szCs w:val="22"/>
          <w:lang w:val="es-ES" w:eastAsia="en-GB"/>
          <w14:ligatures w14:val="none"/>
        </w:rPr>
      </w:pPr>
      <w:r w:rsidRPr="00714150">
        <w:rPr>
          <w:rFonts w:ascii="Calibri" w:hAnsi="Calibri" w:eastAsia="Times New Roman" w:cs="Calibri"/>
          <w:color w:val="1D1D1B"/>
          <w:kern w:val="0"/>
          <w:sz w:val="22"/>
          <w:szCs w:val="22"/>
          <w:lang w:val="es-ES" w:eastAsia="en-GB"/>
          <w14:ligatures w14:val="none"/>
        </w:rPr>
        <w:t xml:space="preserve">España se enfrenta a retos en cuanto al impacto de la investigación, medido por las citas por profesor. En este indicador, ninguna universidad se sitúa entre las 100 mejores del mundo, mientras que el 42 % ha </w:t>
      </w:r>
      <w:r w:rsidRPr="00714150" w:rsidR="00714150">
        <w:rPr>
          <w:rFonts w:ascii="Calibri" w:hAnsi="Calibri" w:eastAsia="Times New Roman" w:cs="Calibri"/>
          <w:color w:val="1D1D1B"/>
          <w:kern w:val="0"/>
          <w:sz w:val="22"/>
          <w:szCs w:val="22"/>
          <w:lang w:val="es-ES" w:eastAsia="en-GB"/>
          <w14:ligatures w14:val="none"/>
        </w:rPr>
        <w:t xml:space="preserve">descendido </w:t>
      </w:r>
      <w:r w:rsidRPr="00714150">
        <w:rPr>
          <w:rFonts w:ascii="Calibri" w:hAnsi="Calibri" w:eastAsia="Times New Roman" w:cs="Calibri"/>
          <w:color w:val="1D1D1B"/>
          <w:kern w:val="0"/>
          <w:sz w:val="22"/>
          <w:szCs w:val="22"/>
          <w:lang w:val="es-ES" w:eastAsia="en-GB"/>
          <w14:ligatures w14:val="none"/>
        </w:rPr>
        <w:t xml:space="preserve">y solo el 8 % ha </w:t>
      </w:r>
      <w:r w:rsidRPr="00714150" w:rsidR="00714150">
        <w:rPr>
          <w:rFonts w:ascii="Calibri" w:hAnsi="Calibri" w:eastAsia="Times New Roman" w:cs="Calibri"/>
          <w:color w:val="1D1D1B"/>
          <w:kern w:val="0"/>
          <w:sz w:val="22"/>
          <w:szCs w:val="22"/>
          <w:lang w:val="es-ES" w:eastAsia="en-GB"/>
          <w14:ligatures w14:val="none"/>
        </w:rPr>
        <w:t>ascendido</w:t>
      </w:r>
      <w:r w:rsidRPr="00714150">
        <w:rPr>
          <w:rFonts w:ascii="Calibri" w:hAnsi="Calibri" w:eastAsia="Times New Roman" w:cs="Calibri"/>
          <w:color w:val="1D1D1B"/>
          <w:kern w:val="0"/>
          <w:sz w:val="22"/>
          <w:szCs w:val="22"/>
          <w:lang w:val="es-ES" w:eastAsia="en-GB"/>
          <w14:ligatures w14:val="none"/>
        </w:rPr>
        <w:t xml:space="preserve">. La universidad española </w:t>
      </w:r>
      <w:r w:rsidRPr="00714150">
        <w:rPr>
          <w:rFonts w:ascii="Calibri" w:hAnsi="Calibri" w:eastAsia="Times New Roman" w:cs="Calibri"/>
          <w:color w:val="1D1D1B"/>
          <w:kern w:val="0"/>
          <w:sz w:val="22"/>
          <w:szCs w:val="22"/>
          <w:lang w:val="es-ES" w:eastAsia="en-GB"/>
          <w14:ligatures w14:val="none"/>
        </w:rPr>
        <w:t xml:space="preserve">mejor clasificada en este indicador, </w:t>
      </w:r>
      <w:r w:rsidRPr="00714150">
        <w:rPr>
          <w:rFonts w:ascii="Calibri" w:hAnsi="Calibri" w:eastAsia="Times New Roman" w:cs="Calibri"/>
          <w:kern w:val="0"/>
          <w:sz w:val="22"/>
          <w:szCs w:val="22"/>
          <w:lang w:val="es-ES" w:eastAsia="en-GB"/>
          <w14:ligatures w14:val="none"/>
        </w:rPr>
        <w:t xml:space="preserve">la </w:t>
      </w:r>
      <w:proofErr w:type="spellStart"/>
      <w:r w:rsidRPr="00714150">
        <w:rPr>
          <w:rFonts w:ascii="Calibri" w:hAnsi="Calibri" w:eastAsia="Times New Roman" w:cs="Calibri"/>
          <w:kern w:val="0"/>
          <w:sz w:val="22"/>
          <w:szCs w:val="22"/>
          <w:lang w:val="es-ES" w:eastAsia="en-GB"/>
          <w14:ligatures w14:val="none"/>
        </w:rPr>
        <w:t>Universitat</w:t>
      </w:r>
      <w:proofErr w:type="spellEnd"/>
      <w:r w:rsidRPr="00714150">
        <w:rPr>
          <w:rFonts w:ascii="Calibri" w:hAnsi="Calibri" w:eastAsia="Times New Roman" w:cs="Calibri"/>
          <w:kern w:val="0"/>
          <w:sz w:val="22"/>
          <w:szCs w:val="22"/>
          <w:lang w:val="es-ES" w:eastAsia="en-GB"/>
          <w14:ligatures w14:val="none"/>
        </w:rPr>
        <w:t xml:space="preserve"> Pompeu Fabra (Barcelona), ocupa</w:t>
      </w:r>
      <w:r w:rsidRPr="00714150" w:rsidR="00714150">
        <w:rPr>
          <w:rFonts w:ascii="Calibri" w:hAnsi="Calibri" w:eastAsia="Times New Roman" w:cs="Calibri"/>
          <w:kern w:val="0"/>
          <w:sz w:val="22"/>
          <w:szCs w:val="22"/>
          <w:lang w:val="es-ES" w:eastAsia="en-GB"/>
          <w14:ligatures w14:val="none"/>
        </w:rPr>
        <w:t xml:space="preserve"> el puesto</w:t>
      </w:r>
      <w:r w:rsidRPr="00714150">
        <w:rPr>
          <w:rFonts w:ascii="Calibri" w:hAnsi="Calibri" w:eastAsia="Times New Roman" w:cs="Calibri"/>
          <w:kern w:val="0"/>
          <w:sz w:val="22"/>
          <w:szCs w:val="22"/>
          <w:lang w:val="es-ES" w:eastAsia="en-GB"/>
          <w14:ligatures w14:val="none"/>
        </w:rPr>
        <w:t xml:space="preserve"> 189</w:t>
      </w:r>
      <w:r w:rsidRPr="00714150" w:rsidR="00714150">
        <w:rPr>
          <w:rFonts w:ascii="Calibri" w:hAnsi="Calibri" w:eastAsia="Times New Roman" w:cs="Calibri"/>
          <w:kern w:val="0"/>
          <w:sz w:val="22"/>
          <w:szCs w:val="22"/>
          <w:vertAlign w:val="superscript"/>
          <w:lang w:val="es-ES" w:eastAsia="en-GB"/>
          <w14:ligatures w14:val="none"/>
        </w:rPr>
        <w:t xml:space="preserve">, </w:t>
      </w:r>
      <w:r w:rsidRPr="00714150">
        <w:rPr>
          <w:rFonts w:ascii="Calibri" w:hAnsi="Calibri" w:eastAsia="Times New Roman" w:cs="Calibri"/>
          <w:kern w:val="0"/>
          <w:sz w:val="22"/>
          <w:szCs w:val="22"/>
          <w:lang w:val="es-ES" w:eastAsia="en-GB"/>
          <w14:ligatures w14:val="none"/>
        </w:rPr>
        <w:t xml:space="preserve">sin que ninguna otra se sitúe entre las 200 primeras. </w:t>
      </w:r>
    </w:p>
    <w:p w:rsidR="001C4444" w:rsidP="001C4444" w:rsidRDefault="001C4444" w14:paraId="5C8E3A85" w14:textId="7F3C9218">
      <w:pPr>
        <w:pStyle w:val="ListParagraph"/>
        <w:numPr>
          <w:ilvl w:val="0"/>
          <w:numId w:val="11"/>
        </w:numPr>
        <w:ind w:left="714" w:hanging="357"/>
        <w:contextualSpacing w:val="0"/>
        <w:rPr>
          <w:rFonts w:ascii="Calibri" w:hAnsi="Calibri" w:eastAsia="Times New Roman" w:cs="Calibri"/>
          <w:color w:val="1D1D1B"/>
          <w:kern w:val="0"/>
          <w:sz w:val="22"/>
          <w:szCs w:val="22"/>
          <w:lang w:val="es-ES" w:eastAsia="en-GB"/>
          <w14:ligatures w14:val="none"/>
        </w:rPr>
      </w:pPr>
      <w:r w:rsidRPr="00086132">
        <w:rPr>
          <w:rFonts w:ascii="Calibri" w:hAnsi="Calibri" w:eastAsia="Times New Roman" w:cs="Calibri"/>
          <w:color w:val="1D1D1B"/>
          <w:kern w:val="0"/>
          <w:sz w:val="22"/>
          <w:szCs w:val="22"/>
          <w:lang w:val="es-ES" w:eastAsia="en-GB"/>
          <w14:ligatures w14:val="none"/>
        </w:rPr>
        <w:t xml:space="preserve">Del mismo modo, las universidades españolas se enfrentan a retos a la hora de atraer talento internacional, y la universidad líder en </w:t>
      </w:r>
      <w:r w:rsidR="00593CDC">
        <w:rPr>
          <w:rFonts w:ascii="Calibri" w:hAnsi="Calibri" w:eastAsia="Times New Roman" w:cs="Calibri"/>
          <w:color w:val="1D1D1B"/>
          <w:kern w:val="0"/>
          <w:sz w:val="22"/>
          <w:szCs w:val="22"/>
          <w:lang w:val="es-ES" w:eastAsia="en-GB"/>
          <w14:ligatures w14:val="none"/>
        </w:rPr>
        <w:t>ratio</w:t>
      </w:r>
      <w:r w:rsidRPr="00086132">
        <w:rPr>
          <w:rFonts w:ascii="Calibri" w:hAnsi="Calibri" w:eastAsia="Times New Roman" w:cs="Calibri"/>
          <w:color w:val="1D1D1B"/>
          <w:kern w:val="0"/>
          <w:sz w:val="22"/>
          <w:szCs w:val="22"/>
          <w:lang w:val="es-ES" w:eastAsia="en-GB"/>
          <w14:ligatures w14:val="none"/>
        </w:rPr>
        <w:t xml:space="preserve"> de profesorado internacional, IE University, ocupa</w:t>
      </w:r>
      <w:r w:rsidR="00593CDC">
        <w:rPr>
          <w:rFonts w:ascii="Calibri" w:hAnsi="Calibri" w:eastAsia="Times New Roman" w:cs="Calibri"/>
          <w:color w:val="1D1D1B"/>
          <w:kern w:val="0"/>
          <w:sz w:val="22"/>
          <w:szCs w:val="22"/>
          <w:lang w:val="es-ES" w:eastAsia="en-GB"/>
          <w14:ligatures w14:val="none"/>
        </w:rPr>
        <w:t xml:space="preserve"> el puesto </w:t>
      </w:r>
      <w:r w:rsidRPr="00086132">
        <w:rPr>
          <w:rFonts w:ascii="Calibri" w:hAnsi="Calibri" w:eastAsia="Times New Roman" w:cs="Calibri"/>
          <w:color w:val="1D1D1B"/>
          <w:kern w:val="0"/>
          <w:sz w:val="22"/>
          <w:szCs w:val="22"/>
          <w:lang w:val="es-ES" w:eastAsia="en-GB"/>
          <w14:ligatures w14:val="none"/>
        </w:rPr>
        <w:t>199.</w:t>
      </w:r>
    </w:p>
    <w:p w:rsidRPr="00086132" w:rsidR="001C4444" w:rsidP="001C4444" w:rsidRDefault="001C4444" w14:paraId="63019413" w14:textId="77777777">
      <w:pPr>
        <w:textAlignment w:val="baseline"/>
        <w:rPr>
          <w:rFonts w:ascii="Segoe UI" w:hAnsi="Segoe UI" w:eastAsia="Times New Roman" w:cs="Segoe UI"/>
          <w:kern w:val="0"/>
          <w:sz w:val="18"/>
          <w:szCs w:val="18"/>
          <w:lang w:val="es-ES" w:eastAsia="en-GB"/>
          <w14:ligatures w14:val="none"/>
        </w:rPr>
      </w:pPr>
      <w:r w:rsidRPr="00086132">
        <w:rPr>
          <w:rFonts w:ascii="Calibri" w:hAnsi="Calibri" w:eastAsia="Times New Roman" w:cs="Calibri"/>
          <w:b/>
          <w:bCs/>
          <w:color w:val="1D1D1B"/>
          <w:kern w:val="0"/>
          <w:sz w:val="22"/>
          <w:szCs w:val="22"/>
          <w:u w:val="single"/>
          <w:lang w:val="es-ES" w:eastAsia="en-GB"/>
          <w14:ligatures w14:val="none"/>
        </w:rPr>
        <w:t xml:space="preserve">Tendencias mundiales </w:t>
      </w:r>
    </w:p>
    <w:p w:rsidR="001C4444" w:rsidP="001C4444" w:rsidRDefault="001C4444" w14:paraId="4E9A7C6F" w14:textId="648ACCA3">
      <w:pPr>
        <w:textAlignment w:val="baseline"/>
        <w:rPr>
          <w:rFonts w:ascii="Calibri" w:hAnsi="Calibri" w:eastAsia="Times New Roman" w:cs="Calibri"/>
          <w:color w:val="000000"/>
          <w:kern w:val="0"/>
          <w:sz w:val="22"/>
          <w:szCs w:val="22"/>
          <w:lang w:val="es-ES" w:eastAsia="en-GB"/>
          <w14:ligatures w14:val="none"/>
        </w:rPr>
      </w:pPr>
      <w:r w:rsidRPr="00086132">
        <w:rPr>
          <w:rFonts w:ascii="Calibri" w:hAnsi="Calibri" w:eastAsia="Times New Roman" w:cs="Calibri"/>
          <w:color w:val="000000"/>
          <w:kern w:val="0"/>
          <w:sz w:val="22"/>
          <w:szCs w:val="22"/>
          <w:lang w:val="es-ES" w:eastAsia="en-GB"/>
          <w14:ligatures w14:val="none"/>
        </w:rPr>
        <w:t xml:space="preserve">Por decimoquinto año consecutivo, </w:t>
      </w:r>
      <w:r w:rsidRPr="00086132">
        <w:rPr>
          <w:rFonts w:ascii="Calibri" w:hAnsi="Calibri" w:eastAsia="Times New Roman" w:cs="Calibri"/>
          <w:b/>
          <w:bCs/>
          <w:color w:val="000000"/>
          <w:kern w:val="0"/>
          <w:sz w:val="22"/>
          <w:szCs w:val="22"/>
          <w:lang w:val="es-ES" w:eastAsia="en-GB"/>
          <w14:ligatures w14:val="none"/>
        </w:rPr>
        <w:t xml:space="preserve">el Instituto Tecnológico de Massachusetts (MIT) </w:t>
      </w:r>
      <w:r w:rsidRPr="00086132">
        <w:rPr>
          <w:rFonts w:ascii="Calibri" w:hAnsi="Calibri" w:eastAsia="Times New Roman" w:cs="Calibri"/>
          <w:color w:val="000000"/>
          <w:kern w:val="0"/>
          <w:sz w:val="22"/>
          <w:szCs w:val="22"/>
          <w:lang w:val="es-ES" w:eastAsia="en-GB"/>
          <w14:ligatures w14:val="none"/>
        </w:rPr>
        <w:t xml:space="preserve">conserva el primer puesto. </w:t>
      </w:r>
      <w:r w:rsidRPr="00086132">
        <w:rPr>
          <w:rFonts w:ascii="Calibri" w:hAnsi="Calibri" w:eastAsia="Times New Roman" w:cs="Calibri"/>
          <w:b/>
          <w:bCs/>
          <w:color w:val="000000"/>
          <w:kern w:val="0"/>
          <w:sz w:val="22"/>
          <w:szCs w:val="22"/>
          <w:lang w:val="es-ES" w:eastAsia="en-GB"/>
          <w14:ligatures w14:val="none"/>
        </w:rPr>
        <w:t xml:space="preserve">Imperial College de Londres </w:t>
      </w:r>
      <w:r w:rsidRPr="00086132">
        <w:rPr>
          <w:rFonts w:ascii="Calibri" w:hAnsi="Calibri" w:eastAsia="Times New Roman" w:cs="Calibri"/>
          <w:color w:val="000000"/>
          <w:kern w:val="0"/>
          <w:sz w:val="22"/>
          <w:szCs w:val="22"/>
          <w:lang w:val="es-ES" w:eastAsia="en-GB"/>
          <w14:ligatures w14:val="none"/>
        </w:rPr>
        <w:t xml:space="preserve">se mantiene en segundo lugar por tercer año consecutivo, compartiendo ahora la posición con </w:t>
      </w:r>
      <w:r w:rsidRPr="00086132">
        <w:rPr>
          <w:rFonts w:ascii="Calibri" w:hAnsi="Calibri" w:eastAsia="Times New Roman" w:cs="Calibri"/>
          <w:b/>
          <w:bCs/>
          <w:color w:val="000000"/>
          <w:kern w:val="0"/>
          <w:sz w:val="22"/>
          <w:szCs w:val="22"/>
          <w:lang w:val="es-ES" w:eastAsia="en-GB"/>
          <w14:ligatures w14:val="none"/>
        </w:rPr>
        <w:t>la Universidad de Stanford</w:t>
      </w:r>
      <w:r w:rsidRPr="00086132">
        <w:rPr>
          <w:rFonts w:ascii="Calibri" w:hAnsi="Calibri" w:eastAsia="Times New Roman" w:cs="Calibri"/>
          <w:color w:val="000000"/>
          <w:kern w:val="0"/>
          <w:sz w:val="22"/>
          <w:szCs w:val="22"/>
          <w:lang w:val="es-ES" w:eastAsia="en-GB"/>
          <w14:ligatures w14:val="none"/>
        </w:rPr>
        <w:t xml:space="preserve">, que asciende desde el tercer puesto tras situarse en el sexto el año anterior. La </w:t>
      </w:r>
      <w:r w:rsidRPr="00086132">
        <w:rPr>
          <w:rFonts w:ascii="Calibri" w:hAnsi="Calibri" w:eastAsia="Times New Roman" w:cs="Calibri"/>
          <w:b/>
          <w:bCs/>
          <w:color w:val="000000"/>
          <w:kern w:val="0"/>
          <w:sz w:val="22"/>
          <w:szCs w:val="22"/>
          <w:lang w:val="es-ES" w:eastAsia="en-GB"/>
          <w14:ligatures w14:val="none"/>
        </w:rPr>
        <w:t xml:space="preserve">Universidad de Oxford </w:t>
      </w:r>
      <w:r w:rsidRPr="00086132">
        <w:rPr>
          <w:rFonts w:ascii="Calibri" w:hAnsi="Calibri" w:eastAsia="Times New Roman" w:cs="Calibri"/>
          <w:color w:val="000000"/>
          <w:kern w:val="0"/>
          <w:sz w:val="22"/>
          <w:szCs w:val="22"/>
          <w:lang w:val="es-ES" w:eastAsia="en-GB"/>
          <w14:ligatures w14:val="none"/>
        </w:rPr>
        <w:t>y la</w:t>
      </w:r>
      <w:r w:rsidRPr="00086132">
        <w:rPr>
          <w:rFonts w:ascii="Calibri" w:hAnsi="Calibri" w:eastAsia="Times New Roman" w:cs="Calibri"/>
          <w:b/>
          <w:bCs/>
          <w:color w:val="000000"/>
          <w:kern w:val="0"/>
          <w:sz w:val="22"/>
          <w:szCs w:val="22"/>
          <w:lang w:val="es-ES" w:eastAsia="en-GB"/>
          <w14:ligatures w14:val="none"/>
        </w:rPr>
        <w:t xml:space="preserve"> Universidad de Harvard </w:t>
      </w:r>
      <w:r w:rsidRPr="00086132">
        <w:rPr>
          <w:rFonts w:ascii="Calibri" w:hAnsi="Calibri" w:eastAsia="Times New Roman" w:cs="Calibri"/>
          <w:color w:val="000000"/>
          <w:kern w:val="0"/>
          <w:sz w:val="22"/>
          <w:szCs w:val="22"/>
          <w:lang w:val="es-ES" w:eastAsia="en-GB"/>
          <w14:ligatures w14:val="none"/>
        </w:rPr>
        <w:t xml:space="preserve">se mantienen en cuarto y quinto lugar, respectivamente. </w:t>
      </w:r>
    </w:p>
    <w:p w:rsidR="001C4444" w:rsidP="001C4444" w:rsidRDefault="001C4444" w14:paraId="17A49EDF" w14:textId="44B3F24B">
      <w:pPr>
        <w:textAlignment w:val="baseline"/>
        <w:rPr>
          <w:rFonts w:ascii="Calibri" w:hAnsi="Calibri" w:eastAsia="Times New Roman" w:cs="Calibri"/>
          <w:color w:val="000000"/>
          <w:kern w:val="0"/>
          <w:sz w:val="22"/>
          <w:szCs w:val="22"/>
          <w:lang w:val="es-ES" w:eastAsia="en-GB"/>
          <w14:ligatures w14:val="none"/>
        </w:rPr>
      </w:pPr>
      <w:r w:rsidRPr="00086132">
        <w:rPr>
          <w:rFonts w:ascii="Calibri" w:hAnsi="Calibri" w:eastAsia="Times New Roman" w:cs="Calibri"/>
          <w:color w:val="000000"/>
          <w:kern w:val="0"/>
          <w:sz w:val="22"/>
          <w:szCs w:val="22"/>
          <w:lang w:val="es-ES" w:eastAsia="en-GB"/>
          <w14:ligatures w14:val="none"/>
        </w:rPr>
        <w:t xml:space="preserve">Junto a Estados Unidos y el Reino Unido, Suiza y Singapur son los únicos otros sistemas de educación superior que figuran entre </w:t>
      </w:r>
      <w:r w:rsidR="00593CDC">
        <w:rPr>
          <w:rFonts w:ascii="Calibri" w:hAnsi="Calibri" w:eastAsia="Times New Roman" w:cs="Calibri"/>
          <w:color w:val="000000"/>
          <w:kern w:val="0"/>
          <w:sz w:val="22"/>
          <w:szCs w:val="22"/>
          <w:lang w:val="es-ES" w:eastAsia="en-GB"/>
          <w14:ligatures w14:val="none"/>
        </w:rPr>
        <w:t>los top10.</w:t>
      </w:r>
      <w:r w:rsidRPr="00086132">
        <w:rPr>
          <w:rFonts w:ascii="Calibri" w:hAnsi="Calibri" w:eastAsia="Times New Roman" w:cs="Calibri"/>
          <w:b/>
          <w:bCs/>
          <w:color w:val="000000"/>
          <w:kern w:val="0"/>
          <w:sz w:val="22"/>
          <w:szCs w:val="22"/>
          <w:lang w:val="es-ES" w:eastAsia="en-GB"/>
          <w14:ligatures w14:val="none"/>
        </w:rPr>
        <w:t xml:space="preserve"> ETH de Zúrich </w:t>
      </w:r>
      <w:r w:rsidRPr="00086132">
        <w:rPr>
          <w:rFonts w:ascii="Calibri" w:hAnsi="Calibri" w:eastAsia="Times New Roman" w:cs="Calibri"/>
          <w:color w:val="000000"/>
          <w:kern w:val="0"/>
          <w:sz w:val="22"/>
          <w:szCs w:val="22"/>
          <w:lang w:val="es-ES" w:eastAsia="en-GB"/>
          <w14:ligatures w14:val="none"/>
        </w:rPr>
        <w:t xml:space="preserve">ocupa el octavo puesto, tras bajar del séptimo, y </w:t>
      </w:r>
      <w:r w:rsidRPr="00086132">
        <w:rPr>
          <w:rFonts w:ascii="Calibri" w:hAnsi="Calibri" w:eastAsia="Times New Roman" w:cs="Calibri"/>
          <w:b/>
          <w:bCs/>
          <w:color w:val="000000"/>
          <w:kern w:val="0"/>
          <w:sz w:val="22"/>
          <w:szCs w:val="22"/>
          <w:lang w:val="es-ES" w:eastAsia="en-GB"/>
          <w14:ligatures w14:val="none"/>
        </w:rPr>
        <w:t xml:space="preserve">la Universidad Nacional de Singapur (NUS) </w:t>
      </w:r>
      <w:r w:rsidRPr="00086132">
        <w:rPr>
          <w:rFonts w:ascii="Calibri" w:hAnsi="Calibri" w:eastAsia="Times New Roman" w:cs="Calibri"/>
          <w:color w:val="000000"/>
          <w:kern w:val="0"/>
          <w:sz w:val="22"/>
          <w:szCs w:val="22"/>
          <w:lang w:val="es-ES" w:eastAsia="en-GB"/>
          <w14:ligatures w14:val="none"/>
        </w:rPr>
        <w:t xml:space="preserve">ocupa el décimo, tras bajar del octavo. </w:t>
      </w:r>
    </w:p>
    <w:p w:rsidRPr="00086132" w:rsidR="001C4444" w:rsidP="001C4444" w:rsidRDefault="001C4444" w14:paraId="216F7DBF" w14:textId="44409EB5">
      <w:pPr>
        <w:textAlignment w:val="baseline"/>
        <w:rPr>
          <w:rFonts w:ascii="Segoe UI" w:hAnsi="Segoe UI" w:eastAsia="Times New Roman" w:cs="Segoe UI"/>
          <w:kern w:val="0"/>
          <w:sz w:val="18"/>
          <w:szCs w:val="18"/>
          <w:lang w:val="es-ES" w:eastAsia="en-GB"/>
          <w14:ligatures w14:val="none"/>
        </w:rPr>
      </w:pPr>
      <w:r w:rsidRPr="00086132">
        <w:rPr>
          <w:rFonts w:ascii="Calibri" w:hAnsi="Calibri" w:eastAsia="Times New Roman" w:cs="Calibri"/>
          <w:color w:val="000000"/>
          <w:kern w:val="0"/>
          <w:sz w:val="22"/>
          <w:szCs w:val="22"/>
          <w:lang w:val="es-ES" w:eastAsia="en-GB"/>
          <w14:ligatures w14:val="none"/>
        </w:rPr>
        <w:t xml:space="preserve">No hay nuevas incorporaciones entre las </w:t>
      </w:r>
      <w:r w:rsidR="00593CDC">
        <w:rPr>
          <w:rFonts w:ascii="Calibri" w:hAnsi="Calibri" w:eastAsia="Times New Roman" w:cs="Calibri"/>
          <w:color w:val="000000"/>
          <w:kern w:val="0"/>
          <w:sz w:val="22"/>
          <w:szCs w:val="22"/>
          <w:lang w:val="es-ES" w:eastAsia="en-GB"/>
          <w14:ligatures w14:val="none"/>
        </w:rPr>
        <w:t>top 10</w:t>
      </w:r>
      <w:r w:rsidRPr="00086132">
        <w:rPr>
          <w:rFonts w:ascii="Calibri" w:hAnsi="Calibri" w:eastAsia="Times New Roman" w:cs="Calibri"/>
          <w:color w:val="000000"/>
          <w:kern w:val="0"/>
          <w:sz w:val="22"/>
          <w:szCs w:val="22"/>
          <w:lang w:val="es-ES" w:eastAsia="en-GB"/>
          <w14:ligatures w14:val="none"/>
        </w:rPr>
        <w:t xml:space="preserve"> del ranking mundial, mientras que </w:t>
      </w:r>
      <w:r w:rsidRPr="00086132">
        <w:rPr>
          <w:rFonts w:ascii="Calibri" w:hAnsi="Calibri" w:eastAsia="Times New Roman" w:cs="Calibri"/>
          <w:b/>
          <w:bCs/>
          <w:color w:val="000000"/>
          <w:kern w:val="0"/>
          <w:sz w:val="22"/>
          <w:szCs w:val="22"/>
          <w:lang w:val="es-ES" w:eastAsia="en-GB"/>
          <w14:ligatures w14:val="none"/>
        </w:rPr>
        <w:t>la Universidad de Yale</w:t>
      </w:r>
      <w:r w:rsidRPr="00086132">
        <w:rPr>
          <w:rFonts w:ascii="Calibri" w:hAnsi="Calibri" w:eastAsia="Times New Roman" w:cs="Calibri"/>
          <w:color w:val="000000"/>
          <w:kern w:val="0"/>
          <w:sz w:val="22"/>
          <w:szCs w:val="22"/>
          <w:lang w:val="es-ES" w:eastAsia="en-GB"/>
          <w14:ligatures w14:val="none"/>
        </w:rPr>
        <w:t xml:space="preserve">, </w:t>
      </w:r>
      <w:r w:rsidRPr="00086132">
        <w:rPr>
          <w:rFonts w:ascii="Calibri" w:hAnsi="Calibri" w:eastAsia="Times New Roman" w:cs="Calibri"/>
          <w:b/>
          <w:bCs/>
          <w:color w:val="000000"/>
          <w:kern w:val="0"/>
          <w:sz w:val="22"/>
          <w:szCs w:val="22"/>
          <w:lang w:val="es-ES" w:eastAsia="en-GB"/>
          <w14:ligatures w14:val="none"/>
        </w:rPr>
        <w:t xml:space="preserve">la Universidad China de Hong Kong </w:t>
      </w:r>
      <w:r w:rsidRPr="00086132">
        <w:rPr>
          <w:rFonts w:ascii="Calibri" w:hAnsi="Calibri" w:eastAsia="Times New Roman" w:cs="Calibri"/>
          <w:color w:val="000000"/>
          <w:kern w:val="0"/>
          <w:sz w:val="22"/>
          <w:szCs w:val="22"/>
          <w:lang w:val="es-ES" w:eastAsia="en-GB"/>
          <w14:ligatures w14:val="none"/>
        </w:rPr>
        <w:t xml:space="preserve">y </w:t>
      </w:r>
      <w:r w:rsidRPr="00086132">
        <w:rPr>
          <w:rFonts w:ascii="Calibri" w:hAnsi="Calibri" w:eastAsia="Times New Roman" w:cs="Calibri"/>
          <w:b/>
          <w:bCs/>
          <w:color w:val="000000"/>
          <w:kern w:val="0"/>
          <w:sz w:val="22"/>
          <w:szCs w:val="22"/>
          <w:lang w:val="es-ES" w:eastAsia="en-GB"/>
          <w14:ligatures w14:val="none"/>
        </w:rPr>
        <w:t xml:space="preserve">la Universidad Johns Hopkins </w:t>
      </w:r>
      <w:r w:rsidR="00593CDC">
        <w:rPr>
          <w:rFonts w:ascii="Calibri" w:hAnsi="Calibri" w:eastAsia="Times New Roman" w:cs="Calibri"/>
          <w:color w:val="000000"/>
          <w:kern w:val="0"/>
          <w:sz w:val="22"/>
          <w:szCs w:val="22"/>
          <w:lang w:val="es-ES" w:eastAsia="en-GB"/>
          <w14:ligatures w14:val="none"/>
        </w:rPr>
        <w:t xml:space="preserve">entran en el top 20, </w:t>
      </w:r>
      <w:r w:rsidRPr="00086132">
        <w:rPr>
          <w:rFonts w:ascii="Calibri" w:hAnsi="Calibri" w:eastAsia="Times New Roman" w:cs="Calibri"/>
          <w:color w:val="000000"/>
          <w:kern w:val="0"/>
          <w:sz w:val="22"/>
          <w:szCs w:val="22"/>
          <w:lang w:val="es-ES" w:eastAsia="en-GB"/>
          <w14:ligatures w14:val="none"/>
        </w:rPr>
        <w:t>ocupando los puestos 16</w:t>
      </w:r>
      <w:r w:rsidRPr="00086132">
        <w:rPr>
          <w:rFonts w:ascii="Calibri" w:hAnsi="Calibri" w:eastAsia="Times New Roman" w:cs="Calibri"/>
          <w:color w:val="000000"/>
          <w:kern w:val="0"/>
          <w:sz w:val="17"/>
          <w:szCs w:val="17"/>
          <w:vertAlign w:val="superscript"/>
          <w:lang w:val="es-ES" w:eastAsia="en-GB"/>
          <w14:ligatures w14:val="none"/>
        </w:rPr>
        <w:t>.</w:t>
      </w:r>
      <w:r w:rsidRPr="00086132">
        <w:rPr>
          <w:rFonts w:ascii="Calibri" w:hAnsi="Calibri" w:eastAsia="Times New Roman" w:cs="Calibri"/>
          <w:color w:val="000000"/>
          <w:kern w:val="0"/>
          <w:sz w:val="22"/>
          <w:szCs w:val="22"/>
          <w:lang w:val="es-ES" w:eastAsia="en-GB"/>
          <w14:ligatures w14:val="none"/>
        </w:rPr>
        <w:t>, 18</w:t>
      </w:r>
      <w:r w:rsidR="00593CDC">
        <w:rPr>
          <w:rFonts w:ascii="Calibri" w:hAnsi="Calibri" w:eastAsia="Times New Roman" w:cs="Calibri"/>
          <w:color w:val="000000"/>
          <w:kern w:val="0"/>
          <w:sz w:val="17"/>
          <w:szCs w:val="17"/>
          <w:vertAlign w:val="superscript"/>
          <w:lang w:val="es-ES" w:eastAsia="en-GB"/>
          <w14:ligatures w14:val="none"/>
        </w:rPr>
        <w:t xml:space="preserve"> </w:t>
      </w:r>
      <w:r w:rsidRPr="00086132">
        <w:rPr>
          <w:rFonts w:ascii="Calibri" w:hAnsi="Calibri" w:eastAsia="Times New Roman" w:cs="Calibri"/>
          <w:color w:val="000000"/>
          <w:kern w:val="0"/>
          <w:sz w:val="22"/>
          <w:szCs w:val="22"/>
          <w:lang w:val="es-ES" w:eastAsia="en-GB"/>
          <w14:ligatures w14:val="none"/>
        </w:rPr>
        <w:t>y 20</w:t>
      </w:r>
      <w:r w:rsidR="00593CDC">
        <w:rPr>
          <w:rFonts w:ascii="Calibri" w:hAnsi="Calibri" w:eastAsia="Times New Roman" w:cs="Calibri"/>
          <w:color w:val="000000"/>
          <w:kern w:val="0"/>
          <w:sz w:val="17"/>
          <w:szCs w:val="17"/>
          <w:vertAlign w:val="superscript"/>
          <w:lang w:val="es-ES" w:eastAsia="en-GB"/>
          <w14:ligatures w14:val="none"/>
        </w:rPr>
        <w:t xml:space="preserve"> </w:t>
      </w:r>
      <w:r w:rsidRPr="00086132">
        <w:rPr>
          <w:rFonts w:ascii="Calibri" w:hAnsi="Calibri" w:eastAsia="Times New Roman" w:cs="Calibri"/>
          <w:color w:val="000000"/>
          <w:kern w:val="0"/>
          <w:sz w:val="22"/>
          <w:szCs w:val="22"/>
          <w:lang w:val="es-ES" w:eastAsia="en-GB"/>
          <w14:ligatures w14:val="none"/>
        </w:rPr>
        <w:t xml:space="preserve">respectivamente. </w:t>
      </w:r>
    </w:p>
    <w:p w:rsidRPr="00AD6A16" w:rsidR="00593CDC" w:rsidP="001C4444" w:rsidRDefault="038EFBF3" w14:paraId="05D170A0" w14:textId="0F6006BB">
      <w:pPr>
        <w:textAlignment w:val="baseline"/>
        <w:rPr>
          <w:rFonts w:ascii="Calibri" w:hAnsi="Calibri" w:eastAsia="Times New Roman" w:cs="Calibri"/>
          <w:color w:val="000000"/>
          <w:kern w:val="0"/>
          <w:sz w:val="22"/>
          <w:szCs w:val="22"/>
          <w:lang w:val="es-ES" w:eastAsia="en-GB"/>
          <w14:ligatures w14:val="none"/>
        </w:rPr>
      </w:pPr>
      <w:r w:rsidRPr="00086132">
        <w:rPr>
          <w:rFonts w:ascii="Calibri" w:hAnsi="Calibri" w:eastAsia="Times New Roman" w:cs="Calibri"/>
          <w:color w:val="000000"/>
          <w:kern w:val="0"/>
          <w:sz w:val="22"/>
          <w:szCs w:val="22"/>
          <w:lang w:val="es-ES" w:eastAsia="en-GB"/>
          <w14:ligatures w14:val="none"/>
        </w:rPr>
        <w:t>Estados Unidos es el sistema de educación superior con mayor representación, con 184 universidades clasificadas, seguido del Reino Unido con</w:t>
      </w:r>
      <w:r w:rsidRPr="00086132" w:rsidR="1649CB92">
        <w:rPr>
          <w:rFonts w:ascii="Calibri" w:hAnsi="Calibri" w:eastAsia="Times New Roman" w:cs="Calibri"/>
          <w:color w:val="000000"/>
          <w:kern w:val="0"/>
          <w:sz w:val="22"/>
          <w:szCs w:val="22"/>
          <w:lang w:val="es-ES" w:eastAsia="en-GB"/>
          <w14:ligatures w14:val="none"/>
        </w:rPr>
        <w:t xml:space="preserve"> 93 </w:t>
      </w:r>
      <w:r w:rsidRPr="00086132">
        <w:rPr>
          <w:rFonts w:ascii="Calibri" w:hAnsi="Calibri" w:eastAsia="Times New Roman" w:cs="Calibri"/>
          <w:color w:val="000000"/>
          <w:kern w:val="0"/>
          <w:sz w:val="22"/>
          <w:szCs w:val="22"/>
          <w:lang w:val="es-ES" w:eastAsia="en-GB"/>
          <w14:ligatures w14:val="none"/>
        </w:rPr>
        <w:t>y China continental con 85. China continental es el país con más instituciones nuevas en la clasificación, con 13 incorporaciones, seguido de Alemania</w:t>
      </w:r>
      <w:r w:rsidR="00593CDC">
        <w:rPr>
          <w:rFonts w:ascii="Calibri" w:hAnsi="Calibri" w:eastAsia="Times New Roman" w:cs="Calibri"/>
          <w:color w:val="000000"/>
          <w:kern w:val="0"/>
          <w:sz w:val="22"/>
          <w:szCs w:val="22"/>
          <w:lang w:val="es-ES" w:eastAsia="en-GB"/>
          <w14:ligatures w14:val="none"/>
        </w:rPr>
        <w:t xml:space="preserve"> </w:t>
      </w:r>
      <w:r w:rsidRPr="00086132">
        <w:rPr>
          <w:rFonts w:ascii="Calibri" w:hAnsi="Calibri" w:eastAsia="Times New Roman" w:cs="Calibri"/>
          <w:color w:val="000000"/>
          <w:kern w:val="0"/>
          <w:sz w:val="22"/>
          <w:szCs w:val="22"/>
          <w:lang w:val="es-ES" w:eastAsia="en-GB"/>
          <w14:ligatures w14:val="none"/>
        </w:rPr>
        <w:t>con 11, y España</w:t>
      </w:r>
      <w:r w:rsidR="00593CDC">
        <w:rPr>
          <w:rFonts w:ascii="Calibri" w:hAnsi="Calibri" w:eastAsia="Times New Roman" w:cs="Calibri"/>
          <w:color w:val="000000"/>
          <w:kern w:val="0"/>
          <w:sz w:val="22"/>
          <w:szCs w:val="22"/>
          <w:lang w:val="es-ES" w:eastAsia="en-GB"/>
          <w14:ligatures w14:val="none"/>
        </w:rPr>
        <w:t xml:space="preserve"> </w:t>
      </w:r>
      <w:r w:rsidRPr="00086132">
        <w:rPr>
          <w:rFonts w:ascii="Calibri" w:hAnsi="Calibri" w:eastAsia="Times New Roman" w:cs="Calibri"/>
          <w:color w:val="000000"/>
          <w:kern w:val="0"/>
          <w:sz w:val="22"/>
          <w:szCs w:val="22"/>
          <w:lang w:val="es-ES" w:eastAsia="en-GB"/>
          <w14:ligatures w14:val="none"/>
        </w:rPr>
        <w:t xml:space="preserve">con 10. </w:t>
      </w: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75"/>
        <w:gridCol w:w="1110"/>
        <w:gridCol w:w="3195"/>
        <w:gridCol w:w="1965"/>
      </w:tblGrid>
      <w:tr w:rsidRPr="00086132" w:rsidR="001C4444" w:rsidTr="167A4D3E" w14:paraId="030F47CC" w14:textId="77777777">
        <w:trPr>
          <w:trHeight w:val="285"/>
          <w:jc w:val="center"/>
        </w:trPr>
        <w:tc>
          <w:tcPr>
            <w:tcW w:w="7245" w:type="dxa"/>
            <w:gridSpan w:val="4"/>
            <w:tcBorders>
              <w:top w:val="single" w:color="auto" w:sz="6" w:space="0"/>
              <w:left w:val="single" w:color="auto" w:sz="6" w:space="0"/>
              <w:bottom w:val="single" w:color="auto" w:sz="6" w:space="0"/>
              <w:right w:val="single" w:color="auto" w:sz="6" w:space="0"/>
            </w:tcBorders>
            <w:vAlign w:val="bottom"/>
            <w:hideMark/>
          </w:tcPr>
          <w:p w:rsidRPr="00086132" w:rsidR="001C4444" w:rsidP="001C4444" w:rsidRDefault="4C57F43A" w14:paraId="70B5A1DB" w14:textId="7ACD5C3B">
            <w:pPr>
              <w:spacing w:after="0" w:line="240" w:lineRule="auto"/>
              <w:jc w:val="center"/>
              <w:textAlignment w:val="baseline"/>
              <w:rPr>
                <w:rFonts w:ascii="Times New Roman" w:hAnsi="Times New Roman" w:eastAsia="Times New Roman" w:cs="Times New Roman"/>
                <w:kern w:val="0"/>
                <w:lang w:val="es-ES" w:eastAsia="en-GB"/>
                <w14:ligatures w14:val="none"/>
              </w:rPr>
            </w:pPr>
            <w:r w:rsidRPr="00086132">
              <w:rPr>
                <w:rFonts w:ascii="Calibri" w:hAnsi="Calibri" w:eastAsia="Times New Roman" w:cs="Calibri"/>
                <w:b/>
                <w:bCs/>
                <w:kern w:val="0"/>
                <w:sz w:val="20"/>
                <w:szCs w:val="20"/>
                <w:lang w:val="es-ES" w:eastAsia="en-GB"/>
                <w14:ligatures w14:val="none"/>
              </w:rPr>
              <w:t>Tabla</w:t>
            </w:r>
            <w:r w:rsidRPr="00086132" w:rsidR="6E821C8D">
              <w:rPr>
                <w:rFonts w:ascii="Calibri" w:hAnsi="Calibri" w:eastAsia="Times New Roman" w:cs="Calibri"/>
                <w:b/>
                <w:bCs/>
                <w:kern w:val="0"/>
                <w:sz w:val="20"/>
                <w:szCs w:val="20"/>
                <w:lang w:val="es-ES" w:eastAsia="en-GB"/>
                <w14:ligatures w14:val="none"/>
              </w:rPr>
              <w:t xml:space="preserve"> 4</w:t>
            </w:r>
            <w:r w:rsidRPr="00086132">
              <w:rPr>
                <w:rFonts w:ascii="Calibri" w:hAnsi="Calibri" w:eastAsia="Times New Roman" w:cs="Calibri"/>
                <w:b/>
                <w:bCs/>
                <w:kern w:val="0"/>
                <w:sz w:val="20"/>
                <w:szCs w:val="20"/>
                <w:lang w:val="es-ES" w:eastAsia="en-GB"/>
                <w14:ligatures w14:val="none"/>
              </w:rPr>
              <w:t xml:space="preserve">: Las 10 mejores del mundo </w:t>
            </w:r>
          </w:p>
        </w:tc>
      </w:tr>
      <w:tr w:rsidRPr="001C4444" w:rsidR="001C4444" w:rsidTr="167A4D3E" w14:paraId="68BBDA4B" w14:textId="77777777">
        <w:trPr>
          <w:trHeight w:val="285"/>
          <w:jc w:val="center"/>
        </w:trPr>
        <w:tc>
          <w:tcPr>
            <w:tcW w:w="97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C420CAF"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2027 </w:t>
            </w:r>
            <w:proofErr w:type="spellStart"/>
            <w:r w:rsidRPr="001C4444">
              <w:rPr>
                <w:rFonts w:ascii="Calibri" w:hAnsi="Calibri" w:eastAsia="Times New Roman" w:cs="Calibri"/>
                <w:b/>
                <w:bCs/>
                <w:kern w:val="0"/>
                <w:sz w:val="16"/>
                <w:szCs w:val="16"/>
                <w:lang w:eastAsia="en-GB"/>
                <w14:ligatures w14:val="none"/>
              </w:rPr>
              <w:t>Clasificación</w:t>
            </w:r>
            <w:proofErr w:type="spellEnd"/>
            <w:r w:rsidRPr="001C4444">
              <w:rPr>
                <w:rFonts w:ascii="Calibri" w:hAnsi="Calibri" w:eastAsia="Times New Roman" w:cs="Calibri"/>
                <w:b/>
                <w:bCs/>
                <w:kern w:val="0"/>
                <w:sz w:val="16"/>
                <w:szCs w:val="16"/>
                <w:lang w:eastAsia="en-GB"/>
                <w14:ligatures w14:val="none"/>
              </w:rPr>
              <w:t xml:space="preserve"> </w:t>
            </w:r>
          </w:p>
        </w:tc>
        <w:tc>
          <w:tcPr>
            <w:tcW w:w="1110"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0CEDA2E5"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Clasificación en 2026 </w:t>
            </w:r>
          </w:p>
        </w:tc>
        <w:tc>
          <w:tcPr>
            <w:tcW w:w="3195"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138EE56A"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Institución </w:t>
            </w:r>
          </w:p>
        </w:tc>
        <w:tc>
          <w:tcPr>
            <w:tcW w:w="1965"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6C03CC27"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Ubicación </w:t>
            </w:r>
          </w:p>
        </w:tc>
      </w:tr>
      <w:tr w:rsidRPr="001C4444" w:rsidR="001C4444" w:rsidTr="167A4D3E" w14:paraId="2E02D8E2" w14:textId="77777777">
        <w:trPr>
          <w:trHeight w:val="285"/>
          <w:jc w:val="center"/>
        </w:trPr>
        <w:tc>
          <w:tcPr>
            <w:tcW w:w="97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09B25F44"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1 </w:t>
            </w:r>
          </w:p>
        </w:tc>
        <w:tc>
          <w:tcPr>
            <w:tcW w:w="1110"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1AFD7C6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1 </w:t>
            </w:r>
          </w:p>
        </w:tc>
        <w:tc>
          <w:tcPr>
            <w:tcW w:w="3195" w:type="dxa"/>
            <w:tcBorders>
              <w:top w:val="single" w:color="auto" w:sz="6" w:space="0"/>
              <w:left w:val="single" w:color="auto" w:sz="6" w:space="0"/>
              <w:bottom w:val="single" w:color="auto" w:sz="6" w:space="0"/>
              <w:right w:val="single" w:color="auto" w:sz="6" w:space="0"/>
            </w:tcBorders>
            <w:vAlign w:val="bottom"/>
            <w:hideMark/>
          </w:tcPr>
          <w:p w:rsidRPr="00086132" w:rsidR="001C4444" w:rsidP="001C4444" w:rsidRDefault="001C4444" w14:paraId="09999CCA" w14:textId="77777777">
            <w:pPr>
              <w:spacing w:after="0" w:line="240" w:lineRule="auto"/>
              <w:textAlignment w:val="baseline"/>
              <w:rPr>
                <w:rFonts w:ascii="Times New Roman" w:hAnsi="Times New Roman" w:eastAsia="Times New Roman" w:cs="Times New Roman"/>
                <w:kern w:val="0"/>
                <w:lang w:val="pt-PT" w:eastAsia="en-GB"/>
                <w14:ligatures w14:val="none"/>
              </w:rPr>
            </w:pPr>
            <w:r w:rsidRPr="00086132">
              <w:rPr>
                <w:rFonts w:ascii="Calibri" w:hAnsi="Calibri" w:eastAsia="Times New Roman" w:cs="Calibri"/>
                <w:kern w:val="0"/>
                <w:sz w:val="16"/>
                <w:szCs w:val="16"/>
                <w:lang w:val="pt-PT" w:eastAsia="en-GB"/>
                <w14:ligatures w14:val="none"/>
              </w:rPr>
              <w:t xml:space="preserve">Instituto Tecnológico de Massachusetts (MIT) </w:t>
            </w:r>
          </w:p>
        </w:tc>
        <w:tc>
          <w:tcPr>
            <w:tcW w:w="196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6520950C" w14:textId="77777777">
            <w:pPr>
              <w:spacing w:after="0" w:line="240" w:lineRule="auto"/>
              <w:textAlignment w:val="baseline"/>
              <w:rPr>
                <w:rFonts w:ascii="Times New Roman" w:hAnsi="Times New Roman" w:eastAsia="Times New Roman" w:cs="Times New Roman"/>
                <w:kern w:val="0"/>
                <w:lang w:val="en-US" w:eastAsia="en-GB"/>
                <w14:ligatures w14:val="none"/>
              </w:rPr>
            </w:pPr>
            <w:proofErr w:type="spellStart"/>
            <w:r w:rsidRPr="001C4444">
              <w:rPr>
                <w:rFonts w:ascii="Calibri" w:hAnsi="Calibri" w:eastAsia="Times New Roman" w:cs="Calibri"/>
                <w:kern w:val="0"/>
                <w:sz w:val="16"/>
                <w:szCs w:val="16"/>
                <w:lang w:eastAsia="en-GB"/>
                <w14:ligatures w14:val="none"/>
              </w:rPr>
              <w:t>Estados</w:t>
            </w:r>
            <w:proofErr w:type="spellEnd"/>
            <w:r w:rsidRPr="001C4444">
              <w:rPr>
                <w:rFonts w:ascii="Calibri" w:hAnsi="Calibri" w:eastAsia="Times New Roman" w:cs="Calibri"/>
                <w:kern w:val="0"/>
                <w:sz w:val="16"/>
                <w:szCs w:val="16"/>
                <w:lang w:eastAsia="en-GB"/>
                <w14:ligatures w14:val="none"/>
              </w:rPr>
              <w:t xml:space="preserve"> Unidos de América </w:t>
            </w:r>
          </w:p>
        </w:tc>
      </w:tr>
      <w:tr w:rsidRPr="001C4444" w:rsidR="001C4444" w:rsidTr="167A4D3E" w14:paraId="16278124" w14:textId="77777777">
        <w:trPr>
          <w:trHeight w:val="285"/>
          <w:jc w:val="center"/>
        </w:trPr>
        <w:tc>
          <w:tcPr>
            <w:tcW w:w="97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3E4722AE"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2 </w:t>
            </w:r>
          </w:p>
        </w:tc>
        <w:tc>
          <w:tcPr>
            <w:tcW w:w="1110"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4A0A391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3 </w:t>
            </w:r>
          </w:p>
        </w:tc>
        <w:tc>
          <w:tcPr>
            <w:tcW w:w="319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053DE774"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Universidad de Stanford </w:t>
            </w:r>
          </w:p>
        </w:tc>
        <w:tc>
          <w:tcPr>
            <w:tcW w:w="196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32E4FF6B"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Estados Unidos de América </w:t>
            </w:r>
          </w:p>
        </w:tc>
      </w:tr>
      <w:tr w:rsidRPr="001C4444" w:rsidR="001C4444" w:rsidTr="167A4D3E" w14:paraId="3D7D5513" w14:textId="77777777">
        <w:trPr>
          <w:trHeight w:val="285"/>
          <w:jc w:val="center"/>
        </w:trPr>
        <w:tc>
          <w:tcPr>
            <w:tcW w:w="97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049210AF"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2 </w:t>
            </w:r>
          </w:p>
        </w:tc>
        <w:tc>
          <w:tcPr>
            <w:tcW w:w="1110"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7296AB70"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2 </w:t>
            </w:r>
          </w:p>
        </w:tc>
        <w:tc>
          <w:tcPr>
            <w:tcW w:w="319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193BEBCA"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Imperial College de Londres </w:t>
            </w:r>
          </w:p>
        </w:tc>
        <w:tc>
          <w:tcPr>
            <w:tcW w:w="196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2AD160DA"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Reino Unido </w:t>
            </w:r>
          </w:p>
        </w:tc>
      </w:tr>
      <w:tr w:rsidRPr="001C4444" w:rsidR="001C4444" w:rsidTr="167A4D3E" w14:paraId="18B04F37" w14:textId="77777777">
        <w:trPr>
          <w:trHeight w:val="285"/>
          <w:jc w:val="center"/>
        </w:trPr>
        <w:tc>
          <w:tcPr>
            <w:tcW w:w="97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0C35977E"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4 </w:t>
            </w:r>
          </w:p>
        </w:tc>
        <w:tc>
          <w:tcPr>
            <w:tcW w:w="1110"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7F016B3A"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4 </w:t>
            </w:r>
          </w:p>
        </w:tc>
        <w:tc>
          <w:tcPr>
            <w:tcW w:w="319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747B8195"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Universidad de Oxford </w:t>
            </w:r>
          </w:p>
        </w:tc>
        <w:tc>
          <w:tcPr>
            <w:tcW w:w="196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41273886"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Reino Unido </w:t>
            </w:r>
          </w:p>
        </w:tc>
      </w:tr>
      <w:tr w:rsidRPr="001C4444" w:rsidR="001C4444" w:rsidTr="167A4D3E" w14:paraId="2E133B48" w14:textId="77777777">
        <w:trPr>
          <w:trHeight w:val="285"/>
          <w:jc w:val="center"/>
        </w:trPr>
        <w:tc>
          <w:tcPr>
            <w:tcW w:w="97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3EDB9EF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5 </w:t>
            </w:r>
          </w:p>
        </w:tc>
        <w:tc>
          <w:tcPr>
            <w:tcW w:w="1110"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0A6F179F"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5 </w:t>
            </w:r>
          </w:p>
        </w:tc>
        <w:tc>
          <w:tcPr>
            <w:tcW w:w="319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62E9DBB8"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Universidad de Harvard </w:t>
            </w:r>
          </w:p>
        </w:tc>
        <w:tc>
          <w:tcPr>
            <w:tcW w:w="196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409EFB15"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Estados Unidos de América </w:t>
            </w:r>
          </w:p>
        </w:tc>
      </w:tr>
      <w:tr w:rsidRPr="001C4444" w:rsidR="001C4444" w:rsidTr="167A4D3E" w14:paraId="051CCB1B" w14:textId="77777777">
        <w:trPr>
          <w:trHeight w:val="285"/>
          <w:jc w:val="center"/>
        </w:trPr>
        <w:tc>
          <w:tcPr>
            <w:tcW w:w="97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32D60D27"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6 </w:t>
            </w:r>
          </w:p>
        </w:tc>
        <w:tc>
          <w:tcPr>
            <w:tcW w:w="1110"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58C35C65"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6 </w:t>
            </w:r>
          </w:p>
        </w:tc>
        <w:tc>
          <w:tcPr>
            <w:tcW w:w="319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59BC769E"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Universidad de Cambridge </w:t>
            </w:r>
          </w:p>
        </w:tc>
        <w:tc>
          <w:tcPr>
            <w:tcW w:w="196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2E1F62C4"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Reino Unido </w:t>
            </w:r>
          </w:p>
        </w:tc>
      </w:tr>
      <w:tr w:rsidRPr="001C4444" w:rsidR="001C4444" w:rsidTr="167A4D3E" w14:paraId="0629B61C" w14:textId="77777777">
        <w:trPr>
          <w:trHeight w:val="285"/>
          <w:jc w:val="center"/>
        </w:trPr>
        <w:tc>
          <w:tcPr>
            <w:tcW w:w="97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3CA86C61"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7 </w:t>
            </w:r>
          </w:p>
        </w:tc>
        <w:tc>
          <w:tcPr>
            <w:tcW w:w="1110"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2452871A"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10 </w:t>
            </w:r>
          </w:p>
        </w:tc>
        <w:tc>
          <w:tcPr>
            <w:tcW w:w="319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0D15BD53"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Instituto Tecnológico de California (Caltech) </w:t>
            </w:r>
          </w:p>
        </w:tc>
        <w:tc>
          <w:tcPr>
            <w:tcW w:w="196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160CDA91"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Estados Unidos de América </w:t>
            </w:r>
          </w:p>
        </w:tc>
      </w:tr>
      <w:tr w:rsidRPr="001C4444" w:rsidR="001C4444" w:rsidTr="167A4D3E" w14:paraId="420E70B3" w14:textId="77777777">
        <w:trPr>
          <w:trHeight w:val="285"/>
          <w:jc w:val="center"/>
        </w:trPr>
        <w:tc>
          <w:tcPr>
            <w:tcW w:w="97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093C03F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8 </w:t>
            </w:r>
          </w:p>
        </w:tc>
        <w:tc>
          <w:tcPr>
            <w:tcW w:w="1110"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5E704875"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9 </w:t>
            </w:r>
          </w:p>
        </w:tc>
        <w:tc>
          <w:tcPr>
            <w:tcW w:w="319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14989FC7"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UCL </w:t>
            </w:r>
          </w:p>
        </w:tc>
        <w:tc>
          <w:tcPr>
            <w:tcW w:w="196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3E363EA7"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Reino Unido </w:t>
            </w:r>
          </w:p>
        </w:tc>
      </w:tr>
      <w:tr w:rsidRPr="001C4444" w:rsidR="001C4444" w:rsidTr="167A4D3E" w14:paraId="3CA7DEA2" w14:textId="77777777">
        <w:trPr>
          <w:trHeight w:val="285"/>
          <w:jc w:val="center"/>
        </w:trPr>
        <w:tc>
          <w:tcPr>
            <w:tcW w:w="97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3F06494F"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8 </w:t>
            </w:r>
          </w:p>
        </w:tc>
        <w:tc>
          <w:tcPr>
            <w:tcW w:w="1110"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6F374412"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7 </w:t>
            </w:r>
          </w:p>
        </w:tc>
        <w:tc>
          <w:tcPr>
            <w:tcW w:w="319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363B67B7"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ETH Zúrich </w:t>
            </w:r>
          </w:p>
        </w:tc>
        <w:tc>
          <w:tcPr>
            <w:tcW w:w="196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2006B704"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Suiza </w:t>
            </w:r>
          </w:p>
        </w:tc>
      </w:tr>
      <w:tr w:rsidRPr="001C4444" w:rsidR="001C4444" w:rsidTr="167A4D3E" w14:paraId="3E500524" w14:textId="77777777">
        <w:trPr>
          <w:trHeight w:val="285"/>
          <w:jc w:val="center"/>
        </w:trPr>
        <w:tc>
          <w:tcPr>
            <w:tcW w:w="97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0F14BFF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kern w:val="0"/>
                <w:sz w:val="16"/>
                <w:szCs w:val="16"/>
                <w:lang w:eastAsia="en-GB"/>
                <w14:ligatures w14:val="none"/>
              </w:rPr>
              <w:t xml:space="preserve">10 </w:t>
            </w:r>
          </w:p>
        </w:tc>
        <w:tc>
          <w:tcPr>
            <w:tcW w:w="1110"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2A14919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8 </w:t>
            </w:r>
          </w:p>
        </w:tc>
        <w:tc>
          <w:tcPr>
            <w:tcW w:w="319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722300AF"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Universidad Nacional de Singapur (NUS) </w:t>
            </w:r>
          </w:p>
        </w:tc>
        <w:tc>
          <w:tcPr>
            <w:tcW w:w="1965" w:type="dxa"/>
            <w:tcBorders>
              <w:top w:val="single" w:color="auto" w:sz="6" w:space="0"/>
              <w:left w:val="single" w:color="auto" w:sz="6" w:space="0"/>
              <w:bottom w:val="single" w:color="auto" w:sz="6" w:space="0"/>
              <w:right w:val="single" w:color="auto" w:sz="6" w:space="0"/>
            </w:tcBorders>
            <w:vAlign w:val="bottom"/>
            <w:hideMark/>
          </w:tcPr>
          <w:p w:rsidRPr="001C4444" w:rsidR="001C4444" w:rsidP="001C4444" w:rsidRDefault="001C4444" w14:paraId="43DE32CF"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kern w:val="0"/>
                <w:sz w:val="16"/>
                <w:szCs w:val="16"/>
                <w:lang w:eastAsia="en-GB"/>
                <w14:ligatures w14:val="none"/>
              </w:rPr>
              <w:t xml:space="preserve">Singapur </w:t>
            </w:r>
          </w:p>
        </w:tc>
      </w:tr>
    </w:tbl>
    <w:p w:rsidRPr="001C4444" w:rsidR="001C4444" w:rsidP="001C4444" w:rsidRDefault="001C4444" w14:paraId="72F70256" w14:textId="77777777">
      <w:pPr>
        <w:spacing w:after="0" w:line="240" w:lineRule="auto"/>
        <w:textAlignment w:val="baseline"/>
        <w:rPr>
          <w:rFonts w:ascii="Segoe UI" w:hAnsi="Segoe UI" w:eastAsia="Times New Roman" w:cs="Segoe UI"/>
          <w:kern w:val="0"/>
          <w:sz w:val="18"/>
          <w:szCs w:val="18"/>
          <w:lang w:val="en-US" w:eastAsia="en-GB"/>
          <w14:ligatures w14:val="none"/>
        </w:rPr>
      </w:pPr>
      <w:r w:rsidRPr="001C4444">
        <w:rPr>
          <w:rFonts w:ascii="Calibri" w:hAnsi="Calibri" w:eastAsia="Times New Roman" w:cs="Calibri"/>
          <w:color w:val="000000"/>
          <w:kern w:val="0"/>
          <w:sz w:val="22"/>
          <w:szCs w:val="22"/>
          <w:lang w:val="en-US" w:eastAsia="en-GB"/>
          <w14:ligatures w14:val="none"/>
        </w:rPr>
        <w:t xml:space="preserve"> </w:t>
      </w:r>
    </w:p>
    <w:p w:rsidR="00AD6A16" w:rsidP="001C4444" w:rsidRDefault="00AD6A16" w14:paraId="73B509E2" w14:textId="77777777">
      <w:pPr>
        <w:textAlignment w:val="baseline"/>
        <w:rPr>
          <w:rFonts w:ascii="Calibri" w:hAnsi="Calibri" w:eastAsia="Times New Roman" w:cs="Calibri"/>
          <w:b/>
          <w:bCs/>
          <w:color w:val="000000"/>
          <w:kern w:val="0"/>
          <w:sz w:val="22"/>
          <w:szCs w:val="22"/>
          <w:u w:val="single"/>
          <w:lang w:eastAsia="en-GB"/>
          <w14:ligatures w14:val="none"/>
        </w:rPr>
      </w:pPr>
    </w:p>
    <w:p w:rsidR="001C4444" w:rsidP="001C4444" w:rsidRDefault="001C4444" w14:paraId="0921A0F8" w14:textId="71EEDD84">
      <w:pPr>
        <w:textAlignment w:val="baseline"/>
        <w:rPr>
          <w:rFonts w:ascii="Calibri" w:hAnsi="Calibri" w:eastAsia="Times New Roman" w:cs="Calibri"/>
          <w:color w:val="000000"/>
          <w:kern w:val="0"/>
          <w:sz w:val="22"/>
          <w:szCs w:val="22"/>
          <w:lang w:val="en-US" w:eastAsia="en-GB"/>
          <w14:ligatures w14:val="none"/>
        </w:rPr>
      </w:pPr>
      <w:proofErr w:type="spellStart"/>
      <w:r w:rsidRPr="001C4444">
        <w:rPr>
          <w:rFonts w:ascii="Calibri" w:hAnsi="Calibri" w:eastAsia="Times New Roman" w:cs="Calibri"/>
          <w:b/>
          <w:bCs/>
          <w:color w:val="000000"/>
          <w:kern w:val="0"/>
          <w:sz w:val="22"/>
          <w:szCs w:val="22"/>
          <w:u w:val="single"/>
          <w:lang w:eastAsia="en-GB"/>
          <w14:ligatures w14:val="none"/>
        </w:rPr>
        <w:t>Resumen</w:t>
      </w:r>
      <w:proofErr w:type="spellEnd"/>
      <w:r w:rsidRPr="001C4444">
        <w:rPr>
          <w:rFonts w:ascii="Calibri" w:hAnsi="Calibri" w:eastAsia="Times New Roman" w:cs="Calibri"/>
          <w:b/>
          <w:bCs/>
          <w:color w:val="000000"/>
          <w:kern w:val="0"/>
          <w:sz w:val="22"/>
          <w:szCs w:val="22"/>
          <w:u w:val="single"/>
          <w:lang w:eastAsia="en-GB"/>
          <w14:ligatures w14:val="none"/>
        </w:rPr>
        <w:t xml:space="preserve"> regional</w:t>
      </w:r>
    </w:p>
    <w:p w:rsidR="001C4444" w:rsidP="001C4444" w:rsidRDefault="4C57F43A" w14:paraId="7807510F" w14:textId="373F9C49">
      <w:pPr>
        <w:pStyle w:val="ListParagraph"/>
        <w:numPr>
          <w:ilvl w:val="0"/>
          <w:numId w:val="10"/>
        </w:numPr>
        <w:contextualSpacing w:val="0"/>
        <w:textAlignment w:val="baseline"/>
        <w:rPr>
          <w:rFonts w:ascii="Calibri" w:hAnsi="Calibri" w:eastAsia="Times New Roman" w:cs="Calibri"/>
          <w:kern w:val="0"/>
          <w:sz w:val="22"/>
          <w:szCs w:val="22"/>
          <w:lang w:val="es-ES" w:eastAsia="en-GB"/>
          <w14:ligatures w14:val="none"/>
        </w:rPr>
      </w:pPr>
      <w:r w:rsidRPr="00086132">
        <w:rPr>
          <w:rFonts w:ascii="Calibri" w:hAnsi="Calibri" w:eastAsia="Times New Roman" w:cs="Calibri"/>
          <w:kern w:val="0"/>
          <w:sz w:val="22"/>
          <w:szCs w:val="22"/>
          <w:lang w:val="es-ES" w:eastAsia="en-GB"/>
          <w14:ligatures w14:val="none"/>
        </w:rPr>
        <w:t xml:space="preserve">Alemania y Francia aumentan su </w:t>
      </w:r>
      <w:r w:rsidR="00593CDC">
        <w:rPr>
          <w:rFonts w:ascii="Calibri" w:hAnsi="Calibri" w:eastAsia="Times New Roman" w:cs="Calibri"/>
          <w:kern w:val="0"/>
          <w:sz w:val="22"/>
          <w:szCs w:val="22"/>
          <w:lang w:val="es-ES" w:eastAsia="en-GB"/>
          <w14:ligatures w14:val="none"/>
        </w:rPr>
        <w:t>re</w:t>
      </w:r>
      <w:r w:rsidRPr="00086132">
        <w:rPr>
          <w:rFonts w:ascii="Calibri" w:hAnsi="Calibri" w:eastAsia="Times New Roman" w:cs="Calibri"/>
          <w:kern w:val="0"/>
          <w:sz w:val="22"/>
          <w:szCs w:val="22"/>
          <w:lang w:val="es-ES" w:eastAsia="en-GB"/>
          <w14:ligatures w14:val="none"/>
        </w:rPr>
        <w:t>presen</w:t>
      </w:r>
      <w:r w:rsidR="00593CDC">
        <w:rPr>
          <w:rFonts w:ascii="Calibri" w:hAnsi="Calibri" w:eastAsia="Times New Roman" w:cs="Calibri"/>
          <w:kern w:val="0"/>
          <w:sz w:val="22"/>
          <w:szCs w:val="22"/>
          <w:lang w:val="es-ES" w:eastAsia="en-GB"/>
          <w14:ligatures w14:val="none"/>
        </w:rPr>
        <w:t xml:space="preserve">tación </w:t>
      </w:r>
      <w:r w:rsidRPr="00086132">
        <w:rPr>
          <w:rFonts w:ascii="Calibri" w:hAnsi="Calibri" w:eastAsia="Times New Roman" w:cs="Calibri"/>
          <w:kern w:val="0"/>
          <w:sz w:val="22"/>
          <w:szCs w:val="22"/>
          <w:lang w:val="es-ES" w:eastAsia="en-GB"/>
          <w14:ligatures w14:val="none"/>
        </w:rPr>
        <w:t>en la clasificación, con 11 y</w:t>
      </w:r>
      <w:r w:rsidR="00593CDC">
        <w:rPr>
          <w:rFonts w:ascii="Calibri" w:hAnsi="Calibri" w:eastAsia="Times New Roman" w:cs="Calibri"/>
          <w:kern w:val="0"/>
          <w:sz w:val="22"/>
          <w:szCs w:val="22"/>
          <w:lang w:val="es-ES" w:eastAsia="en-GB"/>
          <w14:ligatures w14:val="none"/>
        </w:rPr>
        <w:t xml:space="preserve"> 7 </w:t>
      </w:r>
      <w:r w:rsidRPr="00086132">
        <w:rPr>
          <w:rFonts w:ascii="Calibri" w:hAnsi="Calibri" w:eastAsia="Times New Roman" w:cs="Calibri"/>
          <w:kern w:val="0"/>
          <w:sz w:val="22"/>
          <w:szCs w:val="22"/>
          <w:lang w:val="es-ES" w:eastAsia="en-GB"/>
          <w14:ligatures w14:val="none"/>
        </w:rPr>
        <w:t>universidades</w:t>
      </w:r>
      <w:r w:rsidR="00593CDC">
        <w:rPr>
          <w:rFonts w:ascii="Calibri" w:hAnsi="Calibri" w:eastAsia="Times New Roman" w:cs="Calibri"/>
          <w:kern w:val="0"/>
          <w:sz w:val="22"/>
          <w:szCs w:val="22"/>
          <w:lang w:val="es-ES" w:eastAsia="en-GB"/>
          <w14:ligatures w14:val="none"/>
        </w:rPr>
        <w:t xml:space="preserve">, </w:t>
      </w:r>
      <w:r w:rsidRPr="00086132">
        <w:rPr>
          <w:rFonts w:ascii="Calibri" w:hAnsi="Calibri" w:eastAsia="Times New Roman" w:cs="Calibri"/>
          <w:kern w:val="0"/>
          <w:sz w:val="22"/>
          <w:szCs w:val="22"/>
          <w:lang w:val="es-ES" w:eastAsia="en-GB"/>
          <w14:ligatures w14:val="none"/>
        </w:rPr>
        <w:t xml:space="preserve">respectivamente, lo que las sitúa, junto con España, como los sistemas de educación superior más </w:t>
      </w:r>
      <w:r w:rsidR="00593CDC">
        <w:rPr>
          <w:rFonts w:ascii="Calibri" w:hAnsi="Calibri" w:eastAsia="Times New Roman" w:cs="Calibri"/>
          <w:kern w:val="0"/>
          <w:sz w:val="22"/>
          <w:szCs w:val="22"/>
          <w:lang w:val="es-ES" w:eastAsia="en-GB"/>
          <w14:ligatures w14:val="none"/>
        </w:rPr>
        <w:t xml:space="preserve">expandidos </w:t>
      </w:r>
      <w:r w:rsidRPr="00086132">
        <w:rPr>
          <w:rFonts w:ascii="Calibri" w:hAnsi="Calibri" w:eastAsia="Times New Roman" w:cs="Calibri"/>
          <w:kern w:val="0"/>
          <w:sz w:val="22"/>
          <w:szCs w:val="22"/>
          <w:lang w:val="es-ES" w:eastAsia="en-GB"/>
          <w14:ligatures w14:val="none"/>
        </w:rPr>
        <w:t xml:space="preserve">después de China continental. La Universidad Técnica de Múnich es la universidad mejor clasificada de la UE, ocupando el puesto 25, seguida de la </w:t>
      </w:r>
      <w:proofErr w:type="spellStart"/>
      <w:r w:rsidRPr="00086132">
        <w:rPr>
          <w:rFonts w:ascii="Calibri" w:hAnsi="Calibri" w:eastAsia="Times New Roman" w:cs="Calibri"/>
          <w:kern w:val="0"/>
          <w:sz w:val="22"/>
          <w:szCs w:val="22"/>
          <w:lang w:val="es-ES" w:eastAsia="en-GB"/>
          <w14:ligatures w14:val="none"/>
        </w:rPr>
        <w:t>Université</w:t>
      </w:r>
      <w:proofErr w:type="spellEnd"/>
      <w:r w:rsidRPr="00086132">
        <w:rPr>
          <w:rFonts w:ascii="Calibri" w:hAnsi="Calibri" w:eastAsia="Times New Roman" w:cs="Calibri"/>
          <w:kern w:val="0"/>
          <w:sz w:val="22"/>
          <w:szCs w:val="22"/>
          <w:lang w:val="es-ES" w:eastAsia="en-GB"/>
          <w14:ligatures w14:val="none"/>
        </w:rPr>
        <w:t xml:space="preserve"> PSL en el </w:t>
      </w:r>
      <w:r w:rsidR="00593CDC">
        <w:rPr>
          <w:rFonts w:ascii="Calibri" w:hAnsi="Calibri" w:eastAsia="Times New Roman" w:cs="Calibri"/>
          <w:kern w:val="0"/>
          <w:sz w:val="22"/>
          <w:szCs w:val="22"/>
          <w:lang w:val="es-ES" w:eastAsia="en-GB"/>
          <w14:ligatures w14:val="none"/>
        </w:rPr>
        <w:t xml:space="preserve">puesto </w:t>
      </w:r>
      <w:r w:rsidRPr="00086132">
        <w:rPr>
          <w:rFonts w:ascii="Calibri" w:hAnsi="Calibri" w:eastAsia="Times New Roman" w:cs="Calibri"/>
          <w:kern w:val="0"/>
          <w:sz w:val="22"/>
          <w:szCs w:val="22"/>
          <w:lang w:val="es-ES" w:eastAsia="en-GB"/>
          <w14:ligatures w14:val="none"/>
        </w:rPr>
        <w:t>34.  </w:t>
      </w:r>
    </w:p>
    <w:p w:rsidRPr="00593CDC" w:rsidR="001C4444" w:rsidP="001C4444" w:rsidRDefault="001C4444" w14:paraId="6A290A28" w14:textId="28C295D1">
      <w:pPr>
        <w:pStyle w:val="ListParagraph"/>
        <w:numPr>
          <w:ilvl w:val="0"/>
          <w:numId w:val="10"/>
        </w:numPr>
        <w:contextualSpacing w:val="0"/>
        <w:textAlignment w:val="baseline"/>
        <w:rPr>
          <w:rFonts w:ascii="Calibri" w:hAnsi="Calibri" w:eastAsia="Times New Roman" w:cs="Calibri"/>
          <w:kern w:val="0"/>
          <w:sz w:val="22"/>
          <w:szCs w:val="22"/>
          <w:lang w:val="es-ES" w:eastAsia="en-GB"/>
          <w14:ligatures w14:val="none"/>
        </w:rPr>
      </w:pPr>
      <w:r w:rsidRPr="00086132">
        <w:rPr>
          <w:rFonts w:ascii="Calibri" w:hAnsi="Calibri" w:eastAsia="Times New Roman" w:cs="Calibri"/>
          <w:color w:val="000000"/>
          <w:kern w:val="0"/>
          <w:sz w:val="22"/>
          <w:szCs w:val="22"/>
          <w:lang w:val="es-ES" w:eastAsia="en-GB"/>
          <w14:ligatures w14:val="none"/>
        </w:rPr>
        <w:t xml:space="preserve">Seis instituciones de Irlanda </w:t>
      </w:r>
      <w:r w:rsidR="00593CDC">
        <w:rPr>
          <w:rFonts w:ascii="Calibri" w:hAnsi="Calibri" w:eastAsia="Times New Roman" w:cs="Calibri"/>
          <w:color w:val="000000"/>
          <w:kern w:val="0"/>
          <w:sz w:val="22"/>
          <w:szCs w:val="22"/>
          <w:lang w:val="es-ES" w:eastAsia="en-GB"/>
          <w14:ligatures w14:val="none"/>
        </w:rPr>
        <w:t>ascienden</w:t>
      </w:r>
      <w:r w:rsidRPr="00086132">
        <w:rPr>
          <w:rFonts w:ascii="Calibri" w:hAnsi="Calibri" w:eastAsia="Times New Roman" w:cs="Calibri"/>
          <w:color w:val="000000"/>
          <w:kern w:val="0"/>
          <w:sz w:val="22"/>
          <w:szCs w:val="22"/>
          <w:lang w:val="es-ES" w:eastAsia="en-GB"/>
          <w14:ligatures w14:val="none"/>
        </w:rPr>
        <w:t xml:space="preserve"> en la clasificación de 2027, </w:t>
      </w:r>
      <w:proofErr w:type="spellStart"/>
      <w:r w:rsidRPr="00086132">
        <w:rPr>
          <w:rFonts w:ascii="Calibri" w:hAnsi="Calibri" w:eastAsia="Times New Roman" w:cs="Calibri"/>
          <w:color w:val="000000"/>
          <w:kern w:val="0"/>
          <w:sz w:val="22"/>
          <w:szCs w:val="22"/>
          <w:lang w:val="es-ES" w:eastAsia="en-GB"/>
          <w14:ligatures w14:val="none"/>
        </w:rPr>
        <w:t>yUniversity</w:t>
      </w:r>
      <w:proofErr w:type="spellEnd"/>
      <w:r w:rsidRPr="00086132">
        <w:rPr>
          <w:rFonts w:ascii="Calibri" w:hAnsi="Calibri" w:eastAsia="Times New Roman" w:cs="Calibri"/>
          <w:color w:val="000000"/>
          <w:kern w:val="0"/>
          <w:sz w:val="22"/>
          <w:szCs w:val="22"/>
          <w:lang w:val="es-ES" w:eastAsia="en-GB"/>
          <w14:ligatures w14:val="none"/>
        </w:rPr>
        <w:t xml:space="preserve"> College Dublin entra por primera vez en el top 100 mundial. </w:t>
      </w:r>
      <w:r w:rsidRPr="00593CDC" w:rsidR="009120CE">
        <w:rPr>
          <w:rFonts w:ascii="Calibri" w:hAnsi="Calibri" w:eastAsia="Times New Roman" w:cs="Calibri"/>
          <w:kern w:val="0"/>
          <w:sz w:val="22"/>
          <w:szCs w:val="22"/>
          <w:lang w:val="es-ES" w:eastAsia="en-GB"/>
          <w14:ligatures w14:val="none"/>
        </w:rPr>
        <w:t>El sistema de educación superior irlandés, que ocupa el segundo lugar a nivel mundial tanto en reputación entre empleadores como en sostenibilidad, continúa la trayectoria ascendente que ha mantenido en los últimos años.</w:t>
      </w:r>
    </w:p>
    <w:p w:rsidRPr="009120CE" w:rsidR="001C4444" w:rsidP="001C4444" w:rsidRDefault="001C4444" w14:paraId="437785FC" w14:textId="77777777">
      <w:pPr>
        <w:pStyle w:val="ListParagraph"/>
        <w:numPr>
          <w:ilvl w:val="0"/>
          <w:numId w:val="10"/>
        </w:numPr>
        <w:contextualSpacing w:val="0"/>
        <w:textAlignment w:val="baseline"/>
        <w:rPr>
          <w:rFonts w:ascii="Calibri" w:hAnsi="Calibri" w:eastAsia="Times New Roman" w:cs="Calibri"/>
          <w:kern w:val="0"/>
          <w:sz w:val="22"/>
          <w:szCs w:val="22"/>
          <w:lang w:val="es-ES" w:eastAsia="en-GB"/>
          <w14:ligatures w14:val="none"/>
        </w:rPr>
      </w:pPr>
      <w:r w:rsidRPr="00086132">
        <w:rPr>
          <w:rFonts w:ascii="Calibri" w:hAnsi="Calibri" w:eastAsia="Times New Roman" w:cs="Calibri"/>
          <w:color w:val="000000"/>
          <w:kern w:val="0"/>
          <w:sz w:val="22"/>
          <w:szCs w:val="22"/>
          <w:lang w:val="es-ES" w:eastAsia="en-GB"/>
          <w14:ligatures w14:val="none"/>
        </w:rPr>
        <w:t xml:space="preserve">Cinco instituciones del Reino Unido alcanzan su mejor clasificación hasta la fecha en 2027: la Universidad de Bath (puesto 125), la Universidad de Exeter (puesto 136), la Universidad de Loughborough (puesto 203), la Universidad de </w:t>
      </w:r>
      <w:proofErr w:type="spellStart"/>
      <w:r w:rsidRPr="00086132">
        <w:rPr>
          <w:rFonts w:ascii="Calibri" w:hAnsi="Calibri" w:eastAsia="Times New Roman" w:cs="Calibri"/>
          <w:color w:val="000000"/>
          <w:kern w:val="0"/>
          <w:sz w:val="22"/>
          <w:szCs w:val="22"/>
          <w:lang w:val="es-ES" w:eastAsia="en-GB"/>
          <w14:ligatures w14:val="none"/>
        </w:rPr>
        <w:t>Strathclyde</w:t>
      </w:r>
      <w:proofErr w:type="spellEnd"/>
      <w:r w:rsidRPr="00086132">
        <w:rPr>
          <w:rFonts w:ascii="Calibri" w:hAnsi="Calibri" w:eastAsia="Times New Roman" w:cs="Calibri"/>
          <w:color w:val="000000"/>
          <w:kern w:val="0"/>
          <w:sz w:val="22"/>
          <w:szCs w:val="22"/>
          <w:lang w:val="es-ES" w:eastAsia="en-GB"/>
          <w14:ligatures w14:val="none"/>
        </w:rPr>
        <w:t xml:space="preserve"> (puesto 230) y la Universidad de </w:t>
      </w:r>
      <w:proofErr w:type="spellStart"/>
      <w:r w:rsidRPr="00086132">
        <w:rPr>
          <w:rFonts w:ascii="Calibri" w:hAnsi="Calibri" w:eastAsia="Times New Roman" w:cs="Calibri"/>
          <w:color w:val="000000"/>
          <w:kern w:val="0"/>
          <w:sz w:val="22"/>
          <w:szCs w:val="22"/>
          <w:lang w:val="es-ES" w:eastAsia="en-GB"/>
          <w14:ligatures w14:val="none"/>
        </w:rPr>
        <w:t>Northumbria</w:t>
      </w:r>
      <w:proofErr w:type="spellEnd"/>
      <w:r w:rsidRPr="00086132">
        <w:rPr>
          <w:rFonts w:ascii="Calibri" w:hAnsi="Calibri" w:eastAsia="Times New Roman" w:cs="Calibri"/>
          <w:color w:val="000000"/>
          <w:kern w:val="0"/>
          <w:sz w:val="22"/>
          <w:szCs w:val="22"/>
          <w:lang w:val="es-ES" w:eastAsia="en-GB"/>
          <w14:ligatures w14:val="none"/>
        </w:rPr>
        <w:t xml:space="preserve"> (puesto 528).  </w:t>
      </w:r>
    </w:p>
    <w:p w:rsidRPr="009120CE" w:rsidR="001C4444" w:rsidP="001C4444" w:rsidRDefault="001C4444" w14:paraId="5B5BEC23" w14:textId="5BFBEEDC">
      <w:pPr>
        <w:pStyle w:val="ListParagraph"/>
        <w:numPr>
          <w:ilvl w:val="0"/>
          <w:numId w:val="10"/>
        </w:numPr>
        <w:contextualSpacing w:val="0"/>
        <w:textAlignment w:val="baseline"/>
        <w:rPr>
          <w:rFonts w:ascii="Calibri" w:hAnsi="Calibri" w:eastAsia="Times New Roman" w:cs="Calibri"/>
          <w:kern w:val="0"/>
          <w:sz w:val="22"/>
          <w:szCs w:val="22"/>
          <w:lang w:val="es-ES" w:eastAsia="en-GB"/>
          <w14:ligatures w14:val="none"/>
        </w:rPr>
      </w:pPr>
      <w:r w:rsidRPr="00086132">
        <w:rPr>
          <w:rFonts w:ascii="Calibri" w:hAnsi="Calibri" w:eastAsia="Times New Roman" w:cs="Calibri"/>
          <w:color w:val="000000"/>
          <w:kern w:val="0"/>
          <w:sz w:val="22"/>
          <w:szCs w:val="22"/>
          <w:lang w:val="es-ES" w:eastAsia="en-GB"/>
          <w14:ligatures w14:val="none"/>
        </w:rPr>
        <w:t xml:space="preserve">Italia se encuentra entre los sistemas de educación superior europeos que más han mejorado en la clasificación de este año, solo por detrás de Austria entre los sistemas con 10 o más universidades clasificadas. El </w:t>
      </w:r>
      <w:proofErr w:type="spellStart"/>
      <w:r w:rsidRPr="00086132" w:rsidR="00AD6A16">
        <w:rPr>
          <w:rFonts w:ascii="Calibri" w:hAnsi="Calibri" w:eastAsia="Times New Roman" w:cs="Calibri"/>
          <w:color w:val="000000"/>
          <w:kern w:val="0"/>
          <w:sz w:val="22"/>
          <w:szCs w:val="22"/>
          <w:lang w:val="es-ES" w:eastAsia="en-GB"/>
          <w14:ligatures w14:val="none"/>
        </w:rPr>
        <w:t>Polit</w:t>
      </w:r>
      <w:r w:rsidR="00AD6A16">
        <w:rPr>
          <w:rFonts w:ascii="Calibri" w:hAnsi="Calibri" w:eastAsia="Times New Roman" w:cs="Calibri"/>
          <w:color w:val="000000"/>
          <w:kern w:val="0"/>
          <w:sz w:val="22"/>
          <w:szCs w:val="22"/>
          <w:lang w:val="es-ES" w:eastAsia="en-GB"/>
          <w14:ligatures w14:val="none"/>
        </w:rPr>
        <w:t>e</w:t>
      </w:r>
      <w:r w:rsidRPr="00086132" w:rsidR="00AD6A16">
        <w:rPr>
          <w:rFonts w:ascii="Calibri" w:hAnsi="Calibri" w:eastAsia="Times New Roman" w:cs="Calibri"/>
          <w:color w:val="000000"/>
          <w:kern w:val="0"/>
          <w:sz w:val="22"/>
          <w:szCs w:val="22"/>
          <w:lang w:val="es-ES" w:eastAsia="en-GB"/>
          <w14:ligatures w14:val="none"/>
        </w:rPr>
        <w:t>cnico</w:t>
      </w:r>
      <w:proofErr w:type="spellEnd"/>
      <w:r w:rsidRPr="00086132">
        <w:rPr>
          <w:rFonts w:ascii="Calibri" w:hAnsi="Calibri" w:eastAsia="Times New Roman" w:cs="Calibri"/>
          <w:color w:val="000000"/>
          <w:kern w:val="0"/>
          <w:sz w:val="22"/>
          <w:szCs w:val="22"/>
          <w:lang w:val="es-ES" w:eastAsia="en-GB"/>
          <w14:ligatures w14:val="none"/>
        </w:rPr>
        <w:t xml:space="preserve"> di Milano asciende aún más en el top 100 mundial tras entrar en este nivel por primera vez en la edición del año pasado. </w:t>
      </w:r>
    </w:p>
    <w:p w:rsidR="001C4444" w:rsidP="615351E5" w:rsidRDefault="009120CE" w14:paraId="707EE184" w14:textId="6864FA11">
      <w:pPr>
        <w:textAlignment w:val="baseline"/>
        <w:rPr>
          <w:rFonts w:ascii="Calibri" w:hAnsi="Calibri" w:eastAsia="Times New Roman" w:cs="Calibri"/>
          <w:i/>
          <w:iCs/>
          <w:color w:val="000000"/>
          <w:kern w:val="0"/>
          <w:sz w:val="22"/>
          <w:szCs w:val="22"/>
          <w:lang w:val="es-ES" w:eastAsia="en-GB"/>
          <w14:ligatures w14:val="none"/>
        </w:rPr>
      </w:pPr>
      <w:r w:rsidRPr="00086132">
        <w:rPr>
          <w:rFonts w:ascii="Calibri" w:hAnsi="Calibri" w:cs="Calibri"/>
          <w:b/>
          <w:bCs/>
          <w:sz w:val="22"/>
          <w:szCs w:val="22"/>
          <w:lang w:val="es-ES"/>
        </w:rPr>
        <w:t>Ben Sowter, vicepresidente sénior de QS, afirmó</w:t>
      </w:r>
      <w:r w:rsidRPr="00086132">
        <w:rPr>
          <w:rFonts w:ascii="Calibri" w:hAnsi="Calibri" w:cs="Calibri"/>
          <w:sz w:val="22"/>
          <w:szCs w:val="22"/>
          <w:lang w:val="es-ES"/>
        </w:rPr>
        <w:t xml:space="preserve">: </w:t>
      </w:r>
      <w:r w:rsidRPr="00086132" w:rsidR="7258E878">
        <w:rPr>
          <w:rFonts w:ascii="Calibri" w:hAnsi="Calibri" w:eastAsia="Times New Roman" w:cs="Calibri"/>
          <w:i/>
          <w:iCs/>
          <w:color w:val="000000"/>
          <w:kern w:val="0"/>
          <w:sz w:val="22"/>
          <w:szCs w:val="22"/>
          <w:lang w:val="es-ES" w:eastAsia="en-GB"/>
          <w14:ligatures w14:val="none"/>
        </w:rPr>
        <w:t xml:space="preserve">«QS World University Rankings sigue siendo un importante </w:t>
      </w:r>
      <w:r>
        <w:rPr>
          <w:rFonts w:ascii="Calibri" w:hAnsi="Calibri" w:eastAsia="Times New Roman" w:cs="Calibri"/>
          <w:i/>
          <w:iCs/>
          <w:color w:val="000000"/>
          <w:kern w:val="0"/>
          <w:sz w:val="22"/>
          <w:szCs w:val="22"/>
          <w:lang w:val="es-ES" w:eastAsia="en-GB"/>
          <w14:ligatures w14:val="none"/>
        </w:rPr>
        <w:t>referente</w:t>
      </w:r>
      <w:r w:rsidRPr="00086132" w:rsidR="7258E878">
        <w:rPr>
          <w:rFonts w:ascii="Calibri" w:hAnsi="Calibri" w:eastAsia="Times New Roman" w:cs="Calibri"/>
          <w:i/>
          <w:iCs/>
          <w:color w:val="000000"/>
          <w:kern w:val="0"/>
          <w:sz w:val="22"/>
          <w:szCs w:val="22"/>
          <w:lang w:val="es-ES" w:eastAsia="en-GB"/>
          <w14:ligatures w14:val="none"/>
        </w:rPr>
        <w:t xml:space="preserve"> para evaluar el rendimiento de la educación superior, </w:t>
      </w:r>
      <w:r>
        <w:rPr>
          <w:rFonts w:ascii="Calibri" w:hAnsi="Calibri" w:eastAsia="Times New Roman" w:cs="Calibri"/>
          <w:i/>
          <w:iCs/>
          <w:color w:val="000000"/>
          <w:kern w:val="0"/>
          <w:sz w:val="22"/>
          <w:szCs w:val="22"/>
          <w:lang w:val="es-ES" w:eastAsia="en-GB"/>
          <w14:ligatures w14:val="none"/>
        </w:rPr>
        <w:t>sirviendo</w:t>
      </w:r>
      <w:r w:rsidRPr="00086132" w:rsidR="7258E878">
        <w:rPr>
          <w:rFonts w:ascii="Calibri" w:hAnsi="Calibri" w:eastAsia="Times New Roman" w:cs="Calibri"/>
          <w:i/>
          <w:iCs/>
          <w:color w:val="000000"/>
          <w:kern w:val="0"/>
          <w:sz w:val="22"/>
          <w:szCs w:val="22"/>
          <w:lang w:val="es-ES" w:eastAsia="en-GB"/>
          <w14:ligatures w14:val="none"/>
        </w:rPr>
        <w:t xml:space="preserve"> de base para las decisiones de estudiantes, académicos, instituciones y responsables políticos de todo el mundo.</w:t>
      </w:r>
    </w:p>
    <w:p w:rsidR="00263D7F" w:rsidP="615351E5" w:rsidRDefault="7258E878" w14:paraId="62A167A1" w14:textId="77777777">
      <w:pPr>
        <w:textAlignment w:val="baseline"/>
        <w:rPr>
          <w:rFonts w:ascii="Calibri" w:hAnsi="Calibri" w:eastAsia="Times New Roman" w:cs="Calibri"/>
          <w:i/>
          <w:iCs/>
          <w:color w:val="000000"/>
          <w:kern w:val="0"/>
          <w:sz w:val="22"/>
          <w:szCs w:val="22"/>
          <w:lang w:val="es-ES" w:eastAsia="en-GB"/>
          <w14:ligatures w14:val="none"/>
        </w:rPr>
      </w:pPr>
      <w:r w:rsidRPr="00086132">
        <w:rPr>
          <w:rFonts w:ascii="Calibri" w:hAnsi="Calibri" w:eastAsia="Times New Roman" w:cs="Calibri"/>
          <w:i/>
          <w:iCs/>
          <w:color w:val="000000"/>
          <w:kern w:val="0"/>
          <w:sz w:val="22"/>
          <w:szCs w:val="22"/>
          <w:lang w:val="es-ES" w:eastAsia="en-GB"/>
          <w14:ligatures w14:val="none"/>
        </w:rPr>
        <w:t xml:space="preserve">«La educación superior sigue siendo un motor fundamental de la innovación, la colaboración internacional y el desarrollo </w:t>
      </w:r>
      <w:r w:rsidRPr="00086132" w:rsidR="009120CE">
        <w:rPr>
          <w:rFonts w:ascii="Calibri" w:hAnsi="Calibri" w:eastAsia="Times New Roman" w:cs="Calibri"/>
          <w:i/>
          <w:iCs/>
          <w:color w:val="000000"/>
          <w:kern w:val="0"/>
          <w:sz w:val="22"/>
          <w:szCs w:val="22"/>
          <w:lang w:val="es-ES" w:eastAsia="en-GB"/>
          <w14:ligatures w14:val="none"/>
        </w:rPr>
        <w:t>soc</w:t>
      </w:r>
      <w:r w:rsidR="009120CE">
        <w:rPr>
          <w:rFonts w:ascii="Calibri" w:hAnsi="Calibri" w:eastAsia="Times New Roman" w:cs="Calibri"/>
          <w:i/>
          <w:iCs/>
          <w:color w:val="000000"/>
          <w:kern w:val="0"/>
          <w:sz w:val="22"/>
          <w:szCs w:val="22"/>
          <w:lang w:val="es-ES" w:eastAsia="en-GB"/>
          <w14:ligatures w14:val="none"/>
        </w:rPr>
        <w:t>io</w:t>
      </w:r>
      <w:r w:rsidRPr="00086132" w:rsidR="009120CE">
        <w:rPr>
          <w:rFonts w:ascii="Calibri" w:hAnsi="Calibri" w:eastAsia="Times New Roman" w:cs="Calibri"/>
          <w:i/>
          <w:iCs/>
          <w:color w:val="000000"/>
          <w:kern w:val="0"/>
          <w:sz w:val="22"/>
          <w:szCs w:val="22"/>
          <w:lang w:val="es-ES" w:eastAsia="en-GB"/>
          <w14:ligatures w14:val="none"/>
        </w:rPr>
        <w:t>económico</w:t>
      </w:r>
      <w:r w:rsidRPr="00086132">
        <w:rPr>
          <w:rFonts w:ascii="Calibri" w:hAnsi="Calibri" w:eastAsia="Times New Roman" w:cs="Calibri"/>
          <w:i/>
          <w:iCs/>
          <w:color w:val="000000"/>
          <w:kern w:val="0"/>
          <w:sz w:val="22"/>
          <w:szCs w:val="22"/>
          <w:lang w:val="es-ES" w:eastAsia="en-GB"/>
          <w14:ligatures w14:val="none"/>
        </w:rPr>
        <w:t>. A medida que algunos destinos de estudios consolidados reconsideran las políticas relacionadas con la movilidad de los estudiantes internacionales y la financiación, los centros emergentes de educación superior pueden encontrar nuevas oportunidades para atraer talento global y reforzar su posición en la investigación, la creación de conocimiento y el liderazgo académico.</w:t>
      </w:r>
    </w:p>
    <w:p w:rsidR="001C4444" w:rsidP="615351E5" w:rsidRDefault="7258E878" w14:paraId="2DDDD587" w14:textId="1B067ACA">
      <w:pPr>
        <w:textAlignment w:val="baseline"/>
        <w:rPr>
          <w:rFonts w:ascii="Calibri" w:hAnsi="Calibri" w:eastAsia="Times New Roman" w:cs="Calibri"/>
          <w:i/>
          <w:iCs/>
          <w:color w:val="000000"/>
          <w:kern w:val="0"/>
          <w:sz w:val="22"/>
          <w:szCs w:val="22"/>
          <w:lang w:val="es-ES" w:eastAsia="en-GB"/>
          <w14:ligatures w14:val="none"/>
        </w:rPr>
      </w:pPr>
      <w:r w:rsidRPr="00086132">
        <w:rPr>
          <w:rFonts w:ascii="Calibri" w:hAnsi="Calibri" w:eastAsia="Times New Roman" w:cs="Calibri"/>
          <w:i/>
          <w:iCs/>
          <w:color w:val="000000"/>
          <w:kern w:val="0"/>
          <w:sz w:val="22"/>
          <w:szCs w:val="22"/>
          <w:lang w:val="es-ES" w:eastAsia="en-GB"/>
          <w14:ligatures w14:val="none"/>
        </w:rPr>
        <w:t>«</w:t>
      </w:r>
      <w:r w:rsidR="009120CE">
        <w:rPr>
          <w:rFonts w:ascii="Calibri" w:hAnsi="Calibri" w:eastAsia="Times New Roman" w:cs="Calibri"/>
          <w:i/>
          <w:iCs/>
          <w:color w:val="000000"/>
          <w:kern w:val="0"/>
          <w:sz w:val="22"/>
          <w:szCs w:val="22"/>
          <w:lang w:val="es-ES" w:eastAsia="en-GB"/>
          <w14:ligatures w14:val="none"/>
        </w:rPr>
        <w:t>Los rankings</w:t>
      </w:r>
      <w:r w:rsidRPr="00086132">
        <w:rPr>
          <w:rFonts w:ascii="Calibri" w:hAnsi="Calibri" w:eastAsia="Times New Roman" w:cs="Calibri"/>
          <w:i/>
          <w:iCs/>
          <w:color w:val="000000"/>
          <w:kern w:val="0"/>
          <w:sz w:val="22"/>
          <w:szCs w:val="22"/>
          <w:lang w:val="es-ES" w:eastAsia="en-GB"/>
          <w14:ligatures w14:val="none"/>
        </w:rPr>
        <w:t xml:space="preserve"> muestran que Estados Unidos sigue siendo el líder mundial en educación superior global, con instituciones como MIT, Harvard y Caltech que marcan la pauta en cuanto a influencia y reputación en investigación. Al mismo tiempo, el panorama mundial de la educación superior se está diversificando a medida que las instituciones de Asia y Oriente Medio traducen la inversión sostenida en investigación e internacionalización en avances cuantificables.</w:t>
      </w:r>
    </w:p>
    <w:p w:rsidRPr="009120CE" w:rsidR="001C4444" w:rsidP="001C4444" w:rsidRDefault="001C4444" w14:paraId="32556553" w14:textId="6079B3BB">
      <w:pPr>
        <w:textAlignment w:val="baseline"/>
        <w:rPr>
          <w:rFonts w:ascii="Calibri" w:hAnsi="Calibri" w:eastAsia="Times New Roman" w:cs="Calibri"/>
          <w:i/>
          <w:iCs/>
          <w:color w:val="000000"/>
          <w:kern w:val="0"/>
          <w:sz w:val="22"/>
          <w:szCs w:val="22"/>
          <w:lang w:val="es-ES" w:eastAsia="en-GB"/>
          <w14:ligatures w14:val="none"/>
        </w:rPr>
      </w:pPr>
      <w:r w:rsidRPr="00086132">
        <w:rPr>
          <w:rFonts w:ascii="Calibri" w:hAnsi="Calibri" w:eastAsia="Times New Roman" w:cs="Calibri"/>
          <w:i/>
          <w:iCs/>
          <w:color w:val="000000"/>
          <w:kern w:val="0"/>
          <w:sz w:val="22"/>
          <w:szCs w:val="22"/>
          <w:lang w:val="es-ES" w:eastAsia="en-GB"/>
          <w14:ligatures w14:val="none"/>
        </w:rPr>
        <w:t>«El panorama en Europa sigue siendo desigual, con algunos sistemas que refuerzan constantemente su posición global mediante políticas de financiación e innovación a largo plazo, mientras que otros muestran signos de estancamiento»</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70"/>
        <w:gridCol w:w="938"/>
        <w:gridCol w:w="496"/>
        <w:gridCol w:w="552"/>
        <w:gridCol w:w="531"/>
        <w:gridCol w:w="758"/>
        <w:gridCol w:w="1771"/>
        <w:gridCol w:w="537"/>
        <w:gridCol w:w="554"/>
        <w:gridCol w:w="554"/>
        <w:gridCol w:w="554"/>
        <w:gridCol w:w="595"/>
      </w:tblGrid>
      <w:tr w:rsidRPr="00086132" w:rsidR="001C4444" w:rsidTr="05610078" w14:paraId="1DCA8B7C" w14:textId="77777777">
        <w:trPr>
          <w:trHeight w:val="285"/>
        </w:trPr>
        <w:tc>
          <w:tcPr>
            <w:tcW w:w="9420" w:type="dxa"/>
            <w:gridSpan w:val="12"/>
            <w:tcBorders>
              <w:top w:val="single" w:color="auto" w:sz="6" w:space="0"/>
              <w:left w:val="single" w:color="auto" w:sz="6" w:space="0"/>
              <w:bottom w:val="single" w:color="auto" w:sz="6" w:space="0"/>
              <w:right w:val="single" w:color="auto" w:sz="6" w:space="0"/>
            </w:tcBorders>
            <w:vAlign w:val="bottom"/>
            <w:hideMark/>
          </w:tcPr>
          <w:p w:rsidRPr="00086132" w:rsidR="001C4444" w:rsidP="001C4444" w:rsidRDefault="4C57F43A" w14:paraId="111CED5C" w14:textId="01CF6973">
            <w:pPr>
              <w:spacing w:after="0" w:line="240" w:lineRule="auto"/>
              <w:jc w:val="center"/>
              <w:textAlignment w:val="baseline"/>
              <w:rPr>
                <w:rFonts w:ascii="Times New Roman" w:hAnsi="Times New Roman" w:eastAsia="Times New Roman" w:cs="Times New Roman"/>
                <w:kern w:val="0"/>
                <w:lang w:val="es-ES" w:eastAsia="en-GB"/>
                <w14:ligatures w14:val="none"/>
              </w:rPr>
            </w:pPr>
            <w:r w:rsidRPr="00086132">
              <w:rPr>
                <w:rFonts w:ascii="Calibri" w:hAnsi="Calibri" w:eastAsia="Times New Roman" w:cs="Calibri"/>
                <w:b/>
                <w:bCs/>
                <w:color w:val="1D1D1B"/>
                <w:kern w:val="0"/>
                <w:sz w:val="20"/>
                <w:szCs w:val="20"/>
                <w:lang w:val="es-ES" w:eastAsia="en-GB"/>
                <w14:ligatures w14:val="none"/>
              </w:rPr>
              <w:t>Tabla</w:t>
            </w:r>
            <w:r w:rsidRPr="00086132" w:rsidR="7272391B">
              <w:rPr>
                <w:rFonts w:ascii="Calibri" w:hAnsi="Calibri" w:eastAsia="Times New Roman" w:cs="Calibri"/>
                <w:b/>
                <w:bCs/>
                <w:color w:val="1D1D1B"/>
                <w:kern w:val="0"/>
                <w:sz w:val="20"/>
                <w:szCs w:val="20"/>
                <w:lang w:val="es-ES" w:eastAsia="en-GB"/>
                <w14:ligatures w14:val="none"/>
              </w:rPr>
              <w:t xml:space="preserve"> 5</w:t>
            </w:r>
            <w:r w:rsidRPr="00086132">
              <w:rPr>
                <w:rFonts w:ascii="Calibri" w:hAnsi="Calibri" w:eastAsia="Times New Roman" w:cs="Calibri"/>
                <w:b/>
                <w:bCs/>
                <w:color w:val="1D1D1B"/>
                <w:kern w:val="0"/>
                <w:sz w:val="20"/>
                <w:szCs w:val="20"/>
                <w:lang w:val="es-ES" w:eastAsia="en-GB"/>
                <w14:ligatures w14:val="none"/>
              </w:rPr>
              <w:t>: Principales sistemas de educación superior por número total de universidades clasificadas  </w:t>
            </w:r>
          </w:p>
        </w:tc>
      </w:tr>
      <w:tr w:rsidRPr="001C4444" w:rsidR="001C4444" w:rsidTr="05610078" w14:paraId="48FB803C" w14:textId="77777777">
        <w:trPr>
          <w:trHeight w:val="285"/>
        </w:trPr>
        <w:tc>
          <w:tcPr>
            <w:tcW w:w="1380" w:type="dxa"/>
            <w:vMerge w:val="restart"/>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E55DC33"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Sistema de </w:t>
            </w:r>
            <w:proofErr w:type="spellStart"/>
            <w:r w:rsidRPr="001C4444">
              <w:rPr>
                <w:rFonts w:ascii="Calibri" w:hAnsi="Calibri" w:eastAsia="Times New Roman" w:cs="Calibri"/>
                <w:b/>
                <w:bCs/>
                <w:color w:val="1D1D1B"/>
                <w:kern w:val="0"/>
                <w:sz w:val="16"/>
                <w:szCs w:val="16"/>
                <w:lang w:eastAsia="en-GB"/>
                <w14:ligatures w14:val="none"/>
              </w:rPr>
              <w:t>educación</w:t>
            </w:r>
            <w:proofErr w:type="spellEnd"/>
            <w:r w:rsidRPr="001C4444">
              <w:rPr>
                <w:rFonts w:ascii="Calibri" w:hAnsi="Calibri" w:eastAsia="Times New Roman" w:cs="Calibri"/>
                <w:b/>
                <w:bCs/>
                <w:color w:val="1D1D1B"/>
                <w:kern w:val="0"/>
                <w:sz w:val="16"/>
                <w:szCs w:val="16"/>
                <w:lang w:eastAsia="en-GB"/>
                <w14:ligatures w14:val="none"/>
              </w:rPr>
              <w:t xml:space="preserve"> superior </w:t>
            </w:r>
          </w:p>
        </w:tc>
        <w:tc>
          <w:tcPr>
            <w:tcW w:w="690" w:type="dxa"/>
            <w:vMerge w:val="restart"/>
            <w:tcBorders>
              <w:top w:val="nil"/>
              <w:left w:val="single" w:color="auto" w:sz="6" w:space="0"/>
              <w:bottom w:val="single" w:color="auto" w:sz="6" w:space="0"/>
              <w:right w:val="single" w:color="auto" w:sz="6" w:space="0"/>
            </w:tcBorders>
            <w:vAlign w:val="center"/>
            <w:hideMark/>
          </w:tcPr>
          <w:p w:rsidRPr="001C4444" w:rsidR="001C4444" w:rsidP="001C4444" w:rsidRDefault="001C4444" w14:paraId="3EED8DA8"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Total de universidades clasificadas </w:t>
            </w:r>
          </w:p>
        </w:tc>
        <w:tc>
          <w:tcPr>
            <w:tcW w:w="510" w:type="dxa"/>
            <w:vMerge w:val="restart"/>
            <w:tcBorders>
              <w:top w:val="nil"/>
              <w:left w:val="single" w:color="auto" w:sz="6" w:space="0"/>
              <w:bottom w:val="single" w:color="auto" w:sz="6" w:space="0"/>
              <w:right w:val="single" w:color="auto" w:sz="6" w:space="0"/>
            </w:tcBorders>
            <w:vAlign w:val="center"/>
            <w:hideMark/>
          </w:tcPr>
          <w:p w:rsidRPr="001C4444" w:rsidR="001C4444" w:rsidP="001C4444" w:rsidRDefault="001C4444" w14:paraId="3A604D0F"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Subida </w:t>
            </w:r>
          </w:p>
        </w:tc>
        <w:tc>
          <w:tcPr>
            <w:tcW w:w="660" w:type="dxa"/>
            <w:vMerge w:val="restart"/>
            <w:tcBorders>
              <w:top w:val="nil"/>
              <w:left w:val="single" w:color="auto" w:sz="6" w:space="0"/>
              <w:bottom w:val="single" w:color="auto" w:sz="6" w:space="0"/>
              <w:right w:val="single" w:color="auto" w:sz="6" w:space="0"/>
            </w:tcBorders>
            <w:vAlign w:val="center"/>
            <w:hideMark/>
          </w:tcPr>
          <w:p w:rsidRPr="001C4444" w:rsidR="001C4444" w:rsidP="001C4444" w:rsidRDefault="001C4444" w14:paraId="1B7908E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Igual </w:t>
            </w:r>
          </w:p>
        </w:tc>
        <w:tc>
          <w:tcPr>
            <w:tcW w:w="645" w:type="dxa"/>
            <w:vMerge w:val="restart"/>
            <w:tcBorders>
              <w:top w:val="nil"/>
              <w:left w:val="single" w:color="auto" w:sz="6" w:space="0"/>
              <w:bottom w:val="single" w:color="auto" w:sz="6" w:space="0"/>
              <w:right w:val="single" w:color="auto" w:sz="6" w:space="0"/>
            </w:tcBorders>
            <w:vAlign w:val="center"/>
            <w:hideMark/>
          </w:tcPr>
          <w:p w:rsidRPr="001C4444" w:rsidR="001C4444" w:rsidP="001C4444" w:rsidRDefault="001C4444" w14:paraId="0D5822B9"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Baja </w:t>
            </w:r>
          </w:p>
        </w:tc>
        <w:tc>
          <w:tcPr>
            <w:tcW w:w="570" w:type="dxa"/>
            <w:vMerge w:val="restart"/>
            <w:tcBorders>
              <w:top w:val="nil"/>
              <w:left w:val="single" w:color="auto" w:sz="6" w:space="0"/>
              <w:bottom w:val="single" w:color="auto" w:sz="6" w:space="0"/>
              <w:right w:val="single" w:color="auto" w:sz="6" w:space="0"/>
            </w:tcBorders>
            <w:vAlign w:val="center"/>
            <w:hideMark/>
          </w:tcPr>
          <w:p w:rsidRPr="001C4444" w:rsidR="001C4444" w:rsidP="001C4444" w:rsidRDefault="001C4444" w14:paraId="0938D6A5"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Novedades </w:t>
            </w:r>
          </w:p>
        </w:tc>
        <w:tc>
          <w:tcPr>
            <w:tcW w:w="2835" w:type="dxa"/>
            <w:gridSpan w:val="2"/>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648F3DB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Las mejores universidades </w:t>
            </w:r>
          </w:p>
        </w:tc>
        <w:tc>
          <w:tcPr>
            <w:tcW w:w="525" w:type="dxa"/>
            <w:vMerge w:val="restart"/>
            <w:tcBorders>
              <w:top w:val="nil"/>
              <w:left w:val="single" w:color="auto" w:sz="6" w:space="0"/>
              <w:bottom w:val="single" w:color="auto" w:sz="6" w:space="0"/>
              <w:right w:val="single" w:color="auto" w:sz="6" w:space="0"/>
            </w:tcBorders>
            <w:vAlign w:val="center"/>
            <w:hideMark/>
          </w:tcPr>
          <w:p w:rsidRPr="001C4444" w:rsidR="001C4444" w:rsidP="001C4444" w:rsidRDefault="001C4444" w14:paraId="663ED9FC"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Las 50 mejores </w:t>
            </w:r>
          </w:p>
        </w:tc>
        <w:tc>
          <w:tcPr>
            <w:tcW w:w="480" w:type="dxa"/>
            <w:vMerge w:val="restart"/>
            <w:tcBorders>
              <w:top w:val="nil"/>
              <w:left w:val="single" w:color="auto" w:sz="6" w:space="0"/>
              <w:bottom w:val="single" w:color="auto" w:sz="6" w:space="0"/>
              <w:right w:val="single" w:color="auto" w:sz="6" w:space="0"/>
            </w:tcBorders>
            <w:vAlign w:val="center"/>
            <w:hideMark/>
          </w:tcPr>
          <w:p w:rsidRPr="001C4444" w:rsidR="001C4444" w:rsidP="001C4444" w:rsidRDefault="001C4444" w14:paraId="143D9036"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Las 100 mejores </w:t>
            </w:r>
          </w:p>
        </w:tc>
        <w:tc>
          <w:tcPr>
            <w:tcW w:w="510" w:type="dxa"/>
            <w:vMerge w:val="restart"/>
            <w:tcBorders>
              <w:top w:val="nil"/>
              <w:left w:val="single" w:color="auto" w:sz="6" w:space="0"/>
              <w:bottom w:val="single" w:color="auto" w:sz="6" w:space="0"/>
              <w:right w:val="single" w:color="auto" w:sz="6" w:space="0"/>
            </w:tcBorders>
            <w:vAlign w:val="center"/>
            <w:hideMark/>
          </w:tcPr>
          <w:p w:rsidRPr="001C4444" w:rsidR="001C4444" w:rsidP="001C4444" w:rsidRDefault="001C4444" w14:paraId="18D21E2B"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Las 200 mejores </w:t>
            </w:r>
          </w:p>
        </w:tc>
        <w:tc>
          <w:tcPr>
            <w:tcW w:w="555" w:type="dxa"/>
            <w:vMerge w:val="restart"/>
            <w:tcBorders>
              <w:top w:val="nil"/>
              <w:left w:val="single" w:color="auto" w:sz="6" w:space="0"/>
              <w:bottom w:val="single" w:color="auto" w:sz="6" w:space="0"/>
              <w:right w:val="single" w:color="auto" w:sz="6" w:space="0"/>
            </w:tcBorders>
            <w:vAlign w:val="center"/>
            <w:hideMark/>
          </w:tcPr>
          <w:p w:rsidRPr="001C4444" w:rsidR="001C4444" w:rsidP="001C4444" w:rsidRDefault="001C4444" w14:paraId="4FDC1416"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Las 500 mejores </w:t>
            </w:r>
          </w:p>
        </w:tc>
      </w:tr>
      <w:tr w:rsidRPr="001C4444" w:rsidR="001C4444" w:rsidTr="05610078" w14:paraId="420AAC33" w14:textId="77777777">
        <w:trPr>
          <w:trHeight w:val="300"/>
        </w:trPr>
        <w:tc>
          <w:tcPr>
            <w:tcW w:w="0" w:type="auto"/>
            <w:vMerge/>
            <w:vAlign w:val="center"/>
            <w:hideMark/>
          </w:tcPr>
          <w:p w:rsidRPr="001C4444" w:rsidR="001C4444" w:rsidP="001C4444" w:rsidRDefault="001C4444" w14:paraId="73735B61" w14:textId="77777777">
            <w:pPr>
              <w:spacing w:after="0" w:line="240" w:lineRule="auto"/>
              <w:rPr>
                <w:rFonts w:ascii="Times New Roman" w:hAnsi="Times New Roman" w:eastAsia="Times New Roman" w:cs="Times New Roman"/>
                <w:kern w:val="0"/>
                <w:lang w:val="en-US" w:eastAsia="en-GB"/>
                <w14:ligatures w14:val="none"/>
              </w:rPr>
            </w:pPr>
          </w:p>
        </w:tc>
        <w:tc>
          <w:tcPr>
            <w:tcW w:w="0" w:type="auto"/>
            <w:vMerge/>
            <w:vAlign w:val="center"/>
            <w:hideMark/>
          </w:tcPr>
          <w:p w:rsidRPr="001C4444" w:rsidR="001C4444" w:rsidP="001C4444" w:rsidRDefault="001C4444" w14:paraId="2B85936C" w14:textId="77777777">
            <w:pPr>
              <w:spacing w:after="0" w:line="240" w:lineRule="auto"/>
              <w:rPr>
                <w:rFonts w:ascii="Times New Roman" w:hAnsi="Times New Roman" w:eastAsia="Times New Roman" w:cs="Times New Roman"/>
                <w:kern w:val="0"/>
                <w:lang w:val="en-US" w:eastAsia="en-GB"/>
                <w14:ligatures w14:val="none"/>
              </w:rPr>
            </w:pPr>
          </w:p>
        </w:tc>
        <w:tc>
          <w:tcPr>
            <w:tcW w:w="0" w:type="auto"/>
            <w:vMerge/>
            <w:vAlign w:val="center"/>
            <w:hideMark/>
          </w:tcPr>
          <w:p w:rsidRPr="001C4444" w:rsidR="001C4444" w:rsidP="001C4444" w:rsidRDefault="001C4444" w14:paraId="3E756163" w14:textId="77777777">
            <w:pPr>
              <w:spacing w:after="0" w:line="240" w:lineRule="auto"/>
              <w:rPr>
                <w:rFonts w:ascii="Times New Roman" w:hAnsi="Times New Roman" w:eastAsia="Times New Roman" w:cs="Times New Roman"/>
                <w:kern w:val="0"/>
                <w:lang w:val="en-US" w:eastAsia="en-GB"/>
                <w14:ligatures w14:val="none"/>
              </w:rPr>
            </w:pPr>
          </w:p>
        </w:tc>
        <w:tc>
          <w:tcPr>
            <w:tcW w:w="0" w:type="auto"/>
            <w:vMerge/>
            <w:vAlign w:val="center"/>
            <w:hideMark/>
          </w:tcPr>
          <w:p w:rsidRPr="001C4444" w:rsidR="001C4444" w:rsidP="001C4444" w:rsidRDefault="001C4444" w14:paraId="3825F3EC" w14:textId="77777777">
            <w:pPr>
              <w:spacing w:after="0" w:line="240" w:lineRule="auto"/>
              <w:rPr>
                <w:rFonts w:ascii="Times New Roman" w:hAnsi="Times New Roman" w:eastAsia="Times New Roman" w:cs="Times New Roman"/>
                <w:kern w:val="0"/>
                <w:lang w:val="en-US" w:eastAsia="en-GB"/>
                <w14:ligatures w14:val="none"/>
              </w:rPr>
            </w:pPr>
          </w:p>
        </w:tc>
        <w:tc>
          <w:tcPr>
            <w:tcW w:w="0" w:type="auto"/>
            <w:vMerge/>
            <w:vAlign w:val="center"/>
            <w:hideMark/>
          </w:tcPr>
          <w:p w:rsidRPr="001C4444" w:rsidR="001C4444" w:rsidP="001C4444" w:rsidRDefault="001C4444" w14:paraId="230B8039" w14:textId="77777777">
            <w:pPr>
              <w:spacing w:after="0" w:line="240" w:lineRule="auto"/>
              <w:rPr>
                <w:rFonts w:ascii="Times New Roman" w:hAnsi="Times New Roman" w:eastAsia="Times New Roman" w:cs="Times New Roman"/>
                <w:kern w:val="0"/>
                <w:lang w:val="en-US" w:eastAsia="en-GB"/>
                <w14:ligatures w14:val="none"/>
              </w:rPr>
            </w:pPr>
          </w:p>
        </w:tc>
        <w:tc>
          <w:tcPr>
            <w:tcW w:w="0" w:type="auto"/>
            <w:vMerge/>
            <w:vAlign w:val="center"/>
            <w:hideMark/>
          </w:tcPr>
          <w:p w:rsidRPr="001C4444" w:rsidR="001C4444" w:rsidP="001C4444" w:rsidRDefault="001C4444" w14:paraId="0B42DC3C" w14:textId="77777777">
            <w:pPr>
              <w:spacing w:after="0" w:line="240" w:lineRule="auto"/>
              <w:rPr>
                <w:rFonts w:ascii="Times New Roman" w:hAnsi="Times New Roman" w:eastAsia="Times New Roman" w:cs="Times New Roman"/>
                <w:kern w:val="0"/>
                <w:lang w:val="en-US" w:eastAsia="en-GB"/>
                <w14:ligatures w14:val="none"/>
              </w:rPr>
            </w:pPr>
          </w:p>
        </w:tc>
        <w:tc>
          <w:tcPr>
            <w:tcW w:w="2265" w:type="dxa"/>
            <w:tcBorders>
              <w:top w:val="single" w:color="auto" w:sz="6" w:space="0"/>
              <w:left w:val="nil"/>
              <w:bottom w:val="single" w:color="auto" w:sz="6" w:space="0"/>
              <w:right w:val="single" w:color="auto" w:sz="6" w:space="0"/>
            </w:tcBorders>
            <w:shd w:val="clear" w:color="auto" w:fill="E9E9E7"/>
            <w:vAlign w:val="center"/>
            <w:hideMark/>
          </w:tcPr>
          <w:p w:rsidRPr="001C4444" w:rsidR="001C4444" w:rsidP="001C4444" w:rsidRDefault="001C4444" w14:paraId="1F078EE4"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Nombre </w:t>
            </w:r>
          </w:p>
        </w:tc>
        <w:tc>
          <w:tcPr>
            <w:tcW w:w="570" w:type="dxa"/>
            <w:tcBorders>
              <w:top w:val="nil"/>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000170F0"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b/>
                <w:bCs/>
                <w:color w:val="1D1D1B"/>
                <w:kern w:val="0"/>
                <w:sz w:val="16"/>
                <w:szCs w:val="16"/>
                <w:lang w:eastAsia="en-GB"/>
                <w14:ligatures w14:val="none"/>
              </w:rPr>
              <w:t xml:space="preserve">Puesto </w:t>
            </w:r>
          </w:p>
        </w:tc>
        <w:tc>
          <w:tcPr>
            <w:tcW w:w="0" w:type="auto"/>
            <w:vMerge/>
            <w:vAlign w:val="center"/>
            <w:hideMark/>
          </w:tcPr>
          <w:p w:rsidRPr="001C4444" w:rsidR="001C4444" w:rsidP="001C4444" w:rsidRDefault="001C4444" w14:paraId="52564BD4" w14:textId="77777777">
            <w:pPr>
              <w:spacing w:after="0" w:line="240" w:lineRule="auto"/>
              <w:rPr>
                <w:rFonts w:ascii="Times New Roman" w:hAnsi="Times New Roman" w:eastAsia="Times New Roman" w:cs="Times New Roman"/>
                <w:kern w:val="0"/>
                <w:lang w:val="en-US" w:eastAsia="en-GB"/>
                <w14:ligatures w14:val="none"/>
              </w:rPr>
            </w:pPr>
          </w:p>
        </w:tc>
        <w:tc>
          <w:tcPr>
            <w:tcW w:w="0" w:type="auto"/>
            <w:vMerge/>
            <w:vAlign w:val="center"/>
            <w:hideMark/>
          </w:tcPr>
          <w:p w:rsidRPr="001C4444" w:rsidR="001C4444" w:rsidP="001C4444" w:rsidRDefault="001C4444" w14:paraId="53A7D709" w14:textId="77777777">
            <w:pPr>
              <w:spacing w:after="0" w:line="240" w:lineRule="auto"/>
              <w:rPr>
                <w:rFonts w:ascii="Times New Roman" w:hAnsi="Times New Roman" w:eastAsia="Times New Roman" w:cs="Times New Roman"/>
                <w:kern w:val="0"/>
                <w:lang w:val="en-US" w:eastAsia="en-GB"/>
                <w14:ligatures w14:val="none"/>
              </w:rPr>
            </w:pPr>
          </w:p>
        </w:tc>
        <w:tc>
          <w:tcPr>
            <w:tcW w:w="0" w:type="auto"/>
            <w:vMerge/>
            <w:vAlign w:val="center"/>
            <w:hideMark/>
          </w:tcPr>
          <w:p w:rsidRPr="001C4444" w:rsidR="001C4444" w:rsidP="001C4444" w:rsidRDefault="001C4444" w14:paraId="68F165DC" w14:textId="77777777">
            <w:pPr>
              <w:spacing w:after="0" w:line="240" w:lineRule="auto"/>
              <w:rPr>
                <w:rFonts w:ascii="Times New Roman" w:hAnsi="Times New Roman" w:eastAsia="Times New Roman" w:cs="Times New Roman"/>
                <w:kern w:val="0"/>
                <w:lang w:val="en-US" w:eastAsia="en-GB"/>
                <w14:ligatures w14:val="none"/>
              </w:rPr>
            </w:pPr>
          </w:p>
        </w:tc>
        <w:tc>
          <w:tcPr>
            <w:tcW w:w="0" w:type="auto"/>
            <w:vMerge/>
            <w:vAlign w:val="center"/>
            <w:hideMark/>
          </w:tcPr>
          <w:p w:rsidRPr="001C4444" w:rsidR="001C4444" w:rsidP="001C4444" w:rsidRDefault="001C4444" w14:paraId="0FDD90DA" w14:textId="77777777">
            <w:pPr>
              <w:spacing w:after="0" w:line="240" w:lineRule="auto"/>
              <w:rPr>
                <w:rFonts w:ascii="Times New Roman" w:hAnsi="Times New Roman" w:eastAsia="Times New Roman" w:cs="Times New Roman"/>
                <w:kern w:val="0"/>
                <w:lang w:val="en-US" w:eastAsia="en-GB"/>
                <w14:ligatures w14:val="none"/>
              </w:rPr>
            </w:pPr>
          </w:p>
        </w:tc>
      </w:tr>
      <w:tr w:rsidRPr="001C4444" w:rsidR="001C4444" w:rsidTr="05610078" w14:paraId="659125B6" w14:textId="77777777">
        <w:trPr>
          <w:trHeight w:val="285"/>
        </w:trPr>
        <w:tc>
          <w:tcPr>
            <w:tcW w:w="1380"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2E7CF26D"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EE. UU. </w:t>
            </w:r>
          </w:p>
        </w:tc>
        <w:tc>
          <w:tcPr>
            <w:tcW w:w="690"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0A6D0788"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184 </w:t>
            </w:r>
          </w:p>
        </w:tc>
        <w:tc>
          <w:tcPr>
            <w:tcW w:w="510"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13C6AE45"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B050"/>
                <w:kern w:val="0"/>
                <w:sz w:val="16"/>
                <w:szCs w:val="16"/>
                <w:lang w:eastAsia="en-GB"/>
                <w14:ligatures w14:val="none"/>
              </w:rPr>
              <w:t xml:space="preserve">22 </w:t>
            </w:r>
          </w:p>
        </w:tc>
        <w:tc>
          <w:tcPr>
            <w:tcW w:w="660"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481859F1"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FFC000"/>
                <w:kern w:val="0"/>
                <w:sz w:val="16"/>
                <w:szCs w:val="16"/>
                <w:lang w:eastAsia="en-GB"/>
                <w14:ligatures w14:val="none"/>
              </w:rPr>
              <w:t xml:space="preserve">38 </w:t>
            </w:r>
          </w:p>
        </w:tc>
        <w:tc>
          <w:tcPr>
            <w:tcW w:w="645"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693F5A5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C00000"/>
                <w:kern w:val="0"/>
                <w:sz w:val="16"/>
                <w:szCs w:val="16"/>
                <w:lang w:eastAsia="en-GB"/>
                <w14:ligatures w14:val="none"/>
              </w:rPr>
              <w:t xml:space="preserve">121 </w:t>
            </w:r>
          </w:p>
        </w:tc>
        <w:tc>
          <w:tcPr>
            <w:tcW w:w="570"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3E7911F2"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70C0"/>
                <w:kern w:val="0"/>
                <w:sz w:val="16"/>
                <w:szCs w:val="16"/>
                <w:lang w:eastAsia="en-GB"/>
                <w14:ligatures w14:val="none"/>
              </w:rPr>
              <w:t xml:space="preserve">3 </w:t>
            </w:r>
          </w:p>
        </w:tc>
        <w:tc>
          <w:tcPr>
            <w:tcW w:w="2265"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45B24B0E"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MIT </w:t>
            </w:r>
          </w:p>
        </w:tc>
        <w:tc>
          <w:tcPr>
            <w:tcW w:w="570"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63F61F44"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 </w:t>
            </w:r>
          </w:p>
        </w:tc>
        <w:tc>
          <w:tcPr>
            <w:tcW w:w="525"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741A62F8"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14 </w:t>
            </w:r>
          </w:p>
        </w:tc>
        <w:tc>
          <w:tcPr>
            <w:tcW w:w="480"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3353BA2F"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26 </w:t>
            </w:r>
          </w:p>
        </w:tc>
        <w:tc>
          <w:tcPr>
            <w:tcW w:w="510"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2E1A5ABE"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38 </w:t>
            </w:r>
          </w:p>
        </w:tc>
        <w:tc>
          <w:tcPr>
            <w:tcW w:w="555" w:type="dxa"/>
            <w:tcBorders>
              <w:top w:val="nil"/>
              <w:left w:val="single" w:color="auto" w:sz="6" w:space="0"/>
              <w:bottom w:val="single" w:color="auto" w:sz="6" w:space="0"/>
              <w:right w:val="single" w:color="auto" w:sz="6" w:space="0"/>
            </w:tcBorders>
            <w:vAlign w:val="center"/>
            <w:hideMark/>
          </w:tcPr>
          <w:p w:rsidRPr="001C4444" w:rsidR="001C4444" w:rsidP="001C4444" w:rsidRDefault="001C4444" w14:paraId="4417F14E"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68 </w:t>
            </w:r>
          </w:p>
        </w:tc>
      </w:tr>
      <w:tr w:rsidRPr="001C4444" w:rsidR="001C4444" w:rsidTr="05610078" w14:paraId="34B307DF" w14:textId="77777777">
        <w:trPr>
          <w:trHeight w:val="285"/>
        </w:trPr>
        <w:tc>
          <w:tcPr>
            <w:tcW w:w="13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0C6091EF"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Reino Unido </w:t>
            </w:r>
          </w:p>
        </w:tc>
        <w:tc>
          <w:tcPr>
            <w:tcW w:w="69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6FCB36FE"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93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62099ED0"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B050"/>
                <w:kern w:val="0"/>
                <w:sz w:val="16"/>
                <w:szCs w:val="16"/>
                <w:lang w:eastAsia="en-GB"/>
                <w14:ligatures w14:val="none"/>
              </w:rPr>
              <w:t xml:space="preserve">31 </w:t>
            </w:r>
          </w:p>
        </w:tc>
        <w:tc>
          <w:tcPr>
            <w:tcW w:w="66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61E8B2C"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FFC000"/>
                <w:kern w:val="0"/>
                <w:sz w:val="16"/>
                <w:szCs w:val="16"/>
                <w:lang w:eastAsia="en-GB"/>
                <w14:ligatures w14:val="none"/>
              </w:rPr>
              <w:t xml:space="preserve">20 </w:t>
            </w:r>
          </w:p>
        </w:tc>
        <w:tc>
          <w:tcPr>
            <w:tcW w:w="64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CCDE941"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C00000"/>
                <w:kern w:val="0"/>
                <w:sz w:val="16"/>
                <w:szCs w:val="16"/>
                <w:lang w:eastAsia="en-GB"/>
                <w14:ligatures w14:val="none"/>
              </w:rPr>
              <w:t xml:space="preserve">38 </w:t>
            </w:r>
          </w:p>
        </w:tc>
        <w:tc>
          <w:tcPr>
            <w:tcW w:w="57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027A4D64"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70C0"/>
                <w:kern w:val="0"/>
                <w:sz w:val="16"/>
                <w:szCs w:val="16"/>
                <w:lang w:eastAsia="en-GB"/>
                <w14:ligatures w14:val="none"/>
              </w:rPr>
              <w:t xml:space="preserve">4 </w:t>
            </w:r>
          </w:p>
        </w:tc>
        <w:tc>
          <w:tcPr>
            <w:tcW w:w="2265"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28F7A2A9"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Imperial College de Londres </w:t>
            </w:r>
          </w:p>
        </w:tc>
        <w:tc>
          <w:tcPr>
            <w:tcW w:w="570"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3F28031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2 </w:t>
            </w:r>
          </w:p>
        </w:tc>
        <w:tc>
          <w:tcPr>
            <w:tcW w:w="52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D0C5895"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7 </w:t>
            </w:r>
          </w:p>
        </w:tc>
        <w:tc>
          <w:tcPr>
            <w:tcW w:w="4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DAF3F4B"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16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71C0121"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28 </w:t>
            </w:r>
          </w:p>
        </w:tc>
        <w:tc>
          <w:tcPr>
            <w:tcW w:w="55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8642381"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48 </w:t>
            </w:r>
          </w:p>
        </w:tc>
      </w:tr>
      <w:tr w:rsidRPr="001C4444" w:rsidR="001C4444" w:rsidTr="05610078" w14:paraId="20D7DC03" w14:textId="77777777">
        <w:trPr>
          <w:trHeight w:val="285"/>
        </w:trPr>
        <w:tc>
          <w:tcPr>
            <w:tcW w:w="13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341C12A"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China continental </w:t>
            </w:r>
          </w:p>
        </w:tc>
        <w:tc>
          <w:tcPr>
            <w:tcW w:w="69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C9C4938"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85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2B19E78"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B050"/>
                <w:kern w:val="0"/>
                <w:sz w:val="16"/>
                <w:szCs w:val="16"/>
                <w:lang w:eastAsia="en-GB"/>
                <w14:ligatures w14:val="none"/>
              </w:rPr>
              <w:t xml:space="preserve">52 </w:t>
            </w:r>
          </w:p>
        </w:tc>
        <w:tc>
          <w:tcPr>
            <w:tcW w:w="66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6319331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FFC000"/>
                <w:kern w:val="0"/>
                <w:sz w:val="16"/>
                <w:szCs w:val="16"/>
                <w:lang w:eastAsia="en-GB"/>
                <w14:ligatures w14:val="none"/>
              </w:rPr>
              <w:t xml:space="preserve">10 </w:t>
            </w:r>
          </w:p>
        </w:tc>
        <w:tc>
          <w:tcPr>
            <w:tcW w:w="64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8CAD15A"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C00000"/>
                <w:kern w:val="0"/>
                <w:sz w:val="16"/>
                <w:szCs w:val="16"/>
                <w:lang w:eastAsia="en-GB"/>
                <w14:ligatures w14:val="none"/>
              </w:rPr>
              <w:t xml:space="preserve">10 </w:t>
            </w:r>
          </w:p>
        </w:tc>
        <w:tc>
          <w:tcPr>
            <w:tcW w:w="57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7CE4029"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70C0"/>
                <w:kern w:val="0"/>
                <w:sz w:val="16"/>
                <w:szCs w:val="16"/>
                <w:lang w:eastAsia="en-GB"/>
                <w14:ligatures w14:val="none"/>
              </w:rPr>
              <w:t xml:space="preserve">13 </w:t>
            </w:r>
          </w:p>
        </w:tc>
        <w:tc>
          <w:tcPr>
            <w:tcW w:w="2265"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3E805643"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Universidad de Pekín </w:t>
            </w:r>
          </w:p>
        </w:tc>
        <w:tc>
          <w:tcPr>
            <w:tcW w:w="570"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5C7A1B6F"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13 </w:t>
            </w:r>
          </w:p>
        </w:tc>
        <w:tc>
          <w:tcPr>
            <w:tcW w:w="52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37B5C05"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5 </w:t>
            </w:r>
          </w:p>
        </w:tc>
        <w:tc>
          <w:tcPr>
            <w:tcW w:w="4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E861ED5"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6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A59A440"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10 </w:t>
            </w:r>
          </w:p>
        </w:tc>
        <w:tc>
          <w:tcPr>
            <w:tcW w:w="55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BFF010C"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38 </w:t>
            </w:r>
          </w:p>
        </w:tc>
      </w:tr>
      <w:tr w:rsidRPr="001C4444" w:rsidR="001C4444" w:rsidTr="05610078" w14:paraId="4F37317D" w14:textId="77777777">
        <w:trPr>
          <w:trHeight w:val="285"/>
        </w:trPr>
        <w:tc>
          <w:tcPr>
            <w:tcW w:w="13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42030D7"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Alemania </w:t>
            </w:r>
          </w:p>
        </w:tc>
        <w:tc>
          <w:tcPr>
            <w:tcW w:w="69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1FE621A"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60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0706498E"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B050"/>
                <w:kern w:val="0"/>
                <w:sz w:val="16"/>
                <w:szCs w:val="16"/>
                <w:lang w:eastAsia="en-GB"/>
                <w14:ligatures w14:val="none"/>
              </w:rPr>
              <w:t xml:space="preserve">8 </w:t>
            </w:r>
          </w:p>
        </w:tc>
        <w:tc>
          <w:tcPr>
            <w:tcW w:w="66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740725A"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FFC000"/>
                <w:kern w:val="0"/>
                <w:sz w:val="16"/>
                <w:szCs w:val="16"/>
                <w:lang w:eastAsia="en-GB"/>
                <w14:ligatures w14:val="none"/>
              </w:rPr>
              <w:t xml:space="preserve">3 </w:t>
            </w:r>
          </w:p>
        </w:tc>
        <w:tc>
          <w:tcPr>
            <w:tcW w:w="64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E6FAF27"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C00000"/>
                <w:kern w:val="0"/>
                <w:sz w:val="16"/>
                <w:szCs w:val="16"/>
                <w:lang w:eastAsia="en-GB"/>
                <w14:ligatures w14:val="none"/>
              </w:rPr>
              <w:t xml:space="preserve">38 </w:t>
            </w:r>
          </w:p>
        </w:tc>
        <w:tc>
          <w:tcPr>
            <w:tcW w:w="57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D9F3772"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70C0"/>
                <w:kern w:val="0"/>
                <w:sz w:val="16"/>
                <w:szCs w:val="16"/>
                <w:lang w:eastAsia="en-GB"/>
                <w14:ligatures w14:val="none"/>
              </w:rPr>
              <w:t xml:space="preserve">11 </w:t>
            </w:r>
          </w:p>
        </w:tc>
        <w:tc>
          <w:tcPr>
            <w:tcW w:w="2265"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201EE6CF"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Universidad Técnica de Múnich </w:t>
            </w:r>
          </w:p>
        </w:tc>
        <w:tc>
          <w:tcPr>
            <w:tcW w:w="570"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5C89573C"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25 </w:t>
            </w:r>
          </w:p>
        </w:tc>
        <w:tc>
          <w:tcPr>
            <w:tcW w:w="52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BE46FF1"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 </w:t>
            </w:r>
          </w:p>
        </w:tc>
        <w:tc>
          <w:tcPr>
            <w:tcW w:w="4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5A72D8B"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4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98B01CB"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9 </w:t>
            </w:r>
          </w:p>
        </w:tc>
        <w:tc>
          <w:tcPr>
            <w:tcW w:w="55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04D0897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28 </w:t>
            </w:r>
          </w:p>
        </w:tc>
      </w:tr>
      <w:tr w:rsidRPr="001C4444" w:rsidR="001C4444" w:rsidTr="05610078" w14:paraId="25C528B9" w14:textId="77777777">
        <w:trPr>
          <w:trHeight w:val="285"/>
        </w:trPr>
        <w:tc>
          <w:tcPr>
            <w:tcW w:w="13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3726147"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India </w:t>
            </w:r>
          </w:p>
        </w:tc>
        <w:tc>
          <w:tcPr>
            <w:tcW w:w="69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60AA49B"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52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0159908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B050"/>
                <w:kern w:val="0"/>
                <w:sz w:val="16"/>
                <w:szCs w:val="16"/>
                <w:lang w:eastAsia="en-GB"/>
                <w14:ligatures w14:val="none"/>
              </w:rPr>
              <w:t xml:space="preserve">26 </w:t>
            </w:r>
          </w:p>
        </w:tc>
        <w:tc>
          <w:tcPr>
            <w:tcW w:w="66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640B1436"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FFC000"/>
                <w:kern w:val="0"/>
                <w:sz w:val="16"/>
                <w:szCs w:val="16"/>
                <w:lang w:eastAsia="en-GB"/>
                <w14:ligatures w14:val="none"/>
              </w:rPr>
              <w:t xml:space="preserve">9 </w:t>
            </w:r>
          </w:p>
        </w:tc>
        <w:tc>
          <w:tcPr>
            <w:tcW w:w="64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8135528"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C00000"/>
                <w:kern w:val="0"/>
                <w:sz w:val="16"/>
                <w:szCs w:val="16"/>
                <w:lang w:eastAsia="en-GB"/>
                <w14:ligatures w14:val="none"/>
              </w:rPr>
              <w:t xml:space="preserve">15 </w:t>
            </w:r>
          </w:p>
        </w:tc>
        <w:tc>
          <w:tcPr>
            <w:tcW w:w="57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8B68FF0"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70C0"/>
                <w:kern w:val="0"/>
                <w:sz w:val="16"/>
                <w:szCs w:val="16"/>
                <w:lang w:eastAsia="en-GB"/>
                <w14:ligatures w14:val="none"/>
              </w:rPr>
              <w:t xml:space="preserve">2 </w:t>
            </w:r>
          </w:p>
        </w:tc>
        <w:tc>
          <w:tcPr>
            <w:tcW w:w="2265"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4EBCAAB3"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Instituto Indio de Tecnología de Delhi (IITD) </w:t>
            </w:r>
          </w:p>
        </w:tc>
        <w:tc>
          <w:tcPr>
            <w:tcW w:w="570"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36ED7DEE"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118 </w:t>
            </w:r>
          </w:p>
        </w:tc>
        <w:tc>
          <w:tcPr>
            <w:tcW w:w="52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004D25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w:t>
            </w:r>
          </w:p>
        </w:tc>
        <w:tc>
          <w:tcPr>
            <w:tcW w:w="4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6405A33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4752CEB1"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3 </w:t>
            </w:r>
          </w:p>
        </w:tc>
        <w:tc>
          <w:tcPr>
            <w:tcW w:w="55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4ED03D1C"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11 </w:t>
            </w:r>
          </w:p>
        </w:tc>
      </w:tr>
      <w:tr w:rsidRPr="001C4444" w:rsidR="001C4444" w:rsidTr="05610078" w14:paraId="5F5A67FB" w14:textId="77777777">
        <w:trPr>
          <w:trHeight w:val="285"/>
        </w:trPr>
        <w:tc>
          <w:tcPr>
            <w:tcW w:w="13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7B81AF9"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España </w:t>
            </w:r>
          </w:p>
        </w:tc>
        <w:tc>
          <w:tcPr>
            <w:tcW w:w="69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0CEF8D2A"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48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D073B67"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B050"/>
                <w:kern w:val="0"/>
                <w:sz w:val="16"/>
                <w:szCs w:val="16"/>
                <w:lang w:eastAsia="en-GB"/>
                <w14:ligatures w14:val="none"/>
              </w:rPr>
              <w:t xml:space="preserve">2 </w:t>
            </w:r>
          </w:p>
        </w:tc>
        <w:tc>
          <w:tcPr>
            <w:tcW w:w="66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97ED2A1"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FFC000"/>
                <w:kern w:val="0"/>
                <w:sz w:val="16"/>
                <w:szCs w:val="16"/>
                <w:lang w:eastAsia="en-GB"/>
                <w14:ligatures w14:val="none"/>
              </w:rPr>
              <w:t xml:space="preserve">12 </w:t>
            </w:r>
          </w:p>
        </w:tc>
        <w:tc>
          <w:tcPr>
            <w:tcW w:w="64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1636021"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C00000"/>
                <w:kern w:val="0"/>
                <w:sz w:val="16"/>
                <w:szCs w:val="16"/>
                <w:lang w:eastAsia="en-GB"/>
                <w14:ligatures w14:val="none"/>
              </w:rPr>
              <w:t xml:space="preserve">24 </w:t>
            </w:r>
          </w:p>
        </w:tc>
        <w:tc>
          <w:tcPr>
            <w:tcW w:w="57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C6B8C5C"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70C0"/>
                <w:kern w:val="0"/>
                <w:sz w:val="16"/>
                <w:szCs w:val="16"/>
                <w:lang w:eastAsia="en-GB"/>
                <w14:ligatures w14:val="none"/>
              </w:rPr>
              <w:t xml:space="preserve">10 </w:t>
            </w:r>
          </w:p>
        </w:tc>
        <w:tc>
          <w:tcPr>
            <w:tcW w:w="2265"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34F46C01"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Universidad de Barcelona </w:t>
            </w:r>
          </w:p>
        </w:tc>
        <w:tc>
          <w:tcPr>
            <w:tcW w:w="570"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1FE04040"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165 </w:t>
            </w:r>
          </w:p>
        </w:tc>
        <w:tc>
          <w:tcPr>
            <w:tcW w:w="52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90DA19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w:t>
            </w:r>
          </w:p>
        </w:tc>
        <w:tc>
          <w:tcPr>
            <w:tcW w:w="4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AFC8BC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658BF3A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2 </w:t>
            </w:r>
          </w:p>
        </w:tc>
        <w:tc>
          <w:tcPr>
            <w:tcW w:w="55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450EAEF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15 </w:t>
            </w:r>
          </w:p>
        </w:tc>
      </w:tr>
      <w:tr w:rsidRPr="001C4444" w:rsidR="001C4444" w:rsidTr="05610078" w14:paraId="52EC31D5" w14:textId="77777777">
        <w:trPr>
          <w:trHeight w:val="285"/>
        </w:trPr>
        <w:tc>
          <w:tcPr>
            <w:tcW w:w="13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A5401DE"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Italia </w:t>
            </w:r>
          </w:p>
        </w:tc>
        <w:tc>
          <w:tcPr>
            <w:tcW w:w="69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3D87AE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47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2EF3D1E"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B050"/>
                <w:kern w:val="0"/>
                <w:sz w:val="16"/>
                <w:szCs w:val="16"/>
                <w:lang w:eastAsia="en-GB"/>
                <w14:ligatures w14:val="none"/>
              </w:rPr>
              <w:t xml:space="preserve">23 </w:t>
            </w:r>
          </w:p>
        </w:tc>
        <w:tc>
          <w:tcPr>
            <w:tcW w:w="66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F087C0B"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FFC000"/>
                <w:kern w:val="0"/>
                <w:sz w:val="16"/>
                <w:szCs w:val="16"/>
                <w:lang w:eastAsia="en-GB"/>
                <w14:ligatures w14:val="none"/>
              </w:rPr>
              <w:t xml:space="preserve">9 </w:t>
            </w:r>
          </w:p>
        </w:tc>
        <w:tc>
          <w:tcPr>
            <w:tcW w:w="64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438B8B29"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C00000"/>
                <w:kern w:val="0"/>
                <w:sz w:val="16"/>
                <w:szCs w:val="16"/>
                <w:lang w:eastAsia="en-GB"/>
                <w14:ligatures w14:val="none"/>
              </w:rPr>
              <w:t xml:space="preserve">9 </w:t>
            </w:r>
          </w:p>
        </w:tc>
        <w:tc>
          <w:tcPr>
            <w:tcW w:w="57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B668394"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70C0"/>
                <w:kern w:val="0"/>
                <w:sz w:val="16"/>
                <w:szCs w:val="16"/>
                <w:lang w:eastAsia="en-GB"/>
                <w14:ligatures w14:val="none"/>
              </w:rPr>
              <w:t xml:space="preserve">6 </w:t>
            </w:r>
          </w:p>
        </w:tc>
        <w:tc>
          <w:tcPr>
            <w:tcW w:w="2265"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06D29CE3"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Politecnico di Milano </w:t>
            </w:r>
          </w:p>
        </w:tc>
        <w:tc>
          <w:tcPr>
            <w:tcW w:w="570"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58D954F4"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87 </w:t>
            </w:r>
          </w:p>
        </w:tc>
        <w:tc>
          <w:tcPr>
            <w:tcW w:w="52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49D0017"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w:t>
            </w:r>
          </w:p>
        </w:tc>
        <w:tc>
          <w:tcPr>
            <w:tcW w:w="4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61937F7"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0084CEC2"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3 </w:t>
            </w:r>
          </w:p>
        </w:tc>
        <w:tc>
          <w:tcPr>
            <w:tcW w:w="55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01FC9BA8"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15 </w:t>
            </w:r>
          </w:p>
        </w:tc>
      </w:tr>
      <w:tr w:rsidRPr="001C4444" w:rsidR="001C4444" w:rsidTr="05610078" w14:paraId="12AB9730" w14:textId="77777777">
        <w:trPr>
          <w:trHeight w:val="285"/>
        </w:trPr>
        <w:tc>
          <w:tcPr>
            <w:tcW w:w="13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4A408763"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Corea del Sur </w:t>
            </w:r>
          </w:p>
        </w:tc>
        <w:tc>
          <w:tcPr>
            <w:tcW w:w="69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896CBB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43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C12E548"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B050"/>
                <w:kern w:val="0"/>
                <w:sz w:val="16"/>
                <w:szCs w:val="16"/>
                <w:lang w:eastAsia="en-GB"/>
                <w14:ligatures w14:val="none"/>
              </w:rPr>
              <w:t xml:space="preserve">21 </w:t>
            </w:r>
          </w:p>
        </w:tc>
        <w:tc>
          <w:tcPr>
            <w:tcW w:w="66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BF2C9E8"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FFC000"/>
                <w:kern w:val="0"/>
                <w:sz w:val="16"/>
                <w:szCs w:val="16"/>
                <w:lang w:eastAsia="en-GB"/>
                <w14:ligatures w14:val="none"/>
              </w:rPr>
              <w:t xml:space="preserve">12 </w:t>
            </w:r>
          </w:p>
        </w:tc>
        <w:tc>
          <w:tcPr>
            <w:tcW w:w="64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6C389F72"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C00000"/>
                <w:kern w:val="0"/>
                <w:sz w:val="16"/>
                <w:szCs w:val="16"/>
                <w:lang w:eastAsia="en-GB"/>
                <w14:ligatures w14:val="none"/>
              </w:rPr>
              <w:t xml:space="preserve">7 </w:t>
            </w:r>
          </w:p>
        </w:tc>
        <w:tc>
          <w:tcPr>
            <w:tcW w:w="57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349D445"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70C0"/>
                <w:kern w:val="0"/>
                <w:sz w:val="16"/>
                <w:szCs w:val="16"/>
                <w:lang w:eastAsia="en-GB"/>
                <w14:ligatures w14:val="none"/>
              </w:rPr>
              <w:t xml:space="preserve">3 </w:t>
            </w:r>
          </w:p>
        </w:tc>
        <w:tc>
          <w:tcPr>
            <w:tcW w:w="2265"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52613EA5"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Universidad Nacional de Seúl </w:t>
            </w:r>
          </w:p>
        </w:tc>
        <w:tc>
          <w:tcPr>
            <w:tcW w:w="570"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77AD292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38 </w:t>
            </w:r>
          </w:p>
        </w:tc>
        <w:tc>
          <w:tcPr>
            <w:tcW w:w="52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491024D1"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2 </w:t>
            </w:r>
          </w:p>
        </w:tc>
        <w:tc>
          <w:tcPr>
            <w:tcW w:w="4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0B613E92"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4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CAA15F2"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7 </w:t>
            </w:r>
          </w:p>
        </w:tc>
        <w:tc>
          <w:tcPr>
            <w:tcW w:w="55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1418B384"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17 </w:t>
            </w:r>
          </w:p>
        </w:tc>
      </w:tr>
      <w:tr w:rsidRPr="001C4444" w:rsidR="001C4444" w:rsidTr="05610078" w14:paraId="64A71075" w14:textId="77777777">
        <w:trPr>
          <w:trHeight w:val="285"/>
        </w:trPr>
        <w:tc>
          <w:tcPr>
            <w:tcW w:w="13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BD3C3CF"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Japón </w:t>
            </w:r>
          </w:p>
        </w:tc>
        <w:tc>
          <w:tcPr>
            <w:tcW w:w="69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660BBEF4"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41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6BA97FEA"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B050"/>
                <w:kern w:val="0"/>
                <w:sz w:val="16"/>
                <w:szCs w:val="16"/>
                <w:lang w:eastAsia="en-GB"/>
                <w14:ligatures w14:val="none"/>
              </w:rPr>
              <w:t xml:space="preserve">3 </w:t>
            </w:r>
          </w:p>
        </w:tc>
        <w:tc>
          <w:tcPr>
            <w:tcW w:w="66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609D15B6"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FFC000"/>
                <w:kern w:val="0"/>
                <w:sz w:val="16"/>
                <w:szCs w:val="16"/>
                <w:lang w:eastAsia="en-GB"/>
                <w14:ligatures w14:val="none"/>
              </w:rPr>
              <w:t xml:space="preserve">13 </w:t>
            </w:r>
          </w:p>
        </w:tc>
        <w:tc>
          <w:tcPr>
            <w:tcW w:w="64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0556E1EE"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C00000"/>
                <w:kern w:val="0"/>
                <w:sz w:val="16"/>
                <w:szCs w:val="16"/>
                <w:lang w:eastAsia="en-GB"/>
                <w14:ligatures w14:val="none"/>
              </w:rPr>
              <w:t xml:space="preserve">24 </w:t>
            </w:r>
          </w:p>
        </w:tc>
        <w:tc>
          <w:tcPr>
            <w:tcW w:w="57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1260FC5"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70C0"/>
                <w:kern w:val="0"/>
                <w:sz w:val="16"/>
                <w:szCs w:val="16"/>
                <w:lang w:eastAsia="en-GB"/>
                <w14:ligatures w14:val="none"/>
              </w:rPr>
              <w:t xml:space="preserve">1 </w:t>
            </w:r>
          </w:p>
        </w:tc>
        <w:tc>
          <w:tcPr>
            <w:tcW w:w="2265"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5C37EE21"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La Universidad de Tokio </w:t>
            </w:r>
          </w:p>
        </w:tc>
        <w:tc>
          <w:tcPr>
            <w:tcW w:w="570"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68B741A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39 </w:t>
            </w:r>
          </w:p>
        </w:tc>
        <w:tc>
          <w:tcPr>
            <w:tcW w:w="52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95F73F2"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 </w:t>
            </w:r>
          </w:p>
        </w:tc>
        <w:tc>
          <w:tcPr>
            <w:tcW w:w="4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DEFEC8C"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3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8528456"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8 </w:t>
            </w:r>
          </w:p>
        </w:tc>
        <w:tc>
          <w:tcPr>
            <w:tcW w:w="55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0ABAA0A"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12 </w:t>
            </w:r>
          </w:p>
        </w:tc>
      </w:tr>
      <w:tr w:rsidRPr="001C4444" w:rsidR="001C4444" w:rsidTr="05610078" w14:paraId="17FCD36A" w14:textId="77777777">
        <w:trPr>
          <w:trHeight w:val="285"/>
        </w:trPr>
        <w:tc>
          <w:tcPr>
            <w:tcW w:w="13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82F35A3"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Francia </w:t>
            </w:r>
          </w:p>
        </w:tc>
        <w:tc>
          <w:tcPr>
            <w:tcW w:w="69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4629A5F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38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46D03F4E"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B050"/>
                <w:kern w:val="0"/>
                <w:sz w:val="16"/>
                <w:szCs w:val="16"/>
                <w:lang w:eastAsia="en-GB"/>
                <w14:ligatures w14:val="none"/>
              </w:rPr>
              <w:t xml:space="preserve">5 </w:t>
            </w:r>
          </w:p>
        </w:tc>
        <w:tc>
          <w:tcPr>
            <w:tcW w:w="66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E197FFB"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FFC000"/>
                <w:kern w:val="0"/>
                <w:sz w:val="16"/>
                <w:szCs w:val="16"/>
                <w:lang w:eastAsia="en-GB"/>
                <w14:ligatures w14:val="none"/>
              </w:rPr>
              <w:t xml:space="preserve">7 </w:t>
            </w:r>
          </w:p>
        </w:tc>
        <w:tc>
          <w:tcPr>
            <w:tcW w:w="64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734FA88E"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C00000"/>
                <w:kern w:val="0"/>
                <w:sz w:val="16"/>
                <w:szCs w:val="16"/>
                <w:lang w:eastAsia="en-GB"/>
                <w14:ligatures w14:val="none"/>
              </w:rPr>
              <w:t xml:space="preserve">19 </w:t>
            </w:r>
          </w:p>
        </w:tc>
        <w:tc>
          <w:tcPr>
            <w:tcW w:w="57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520250C3"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0070C0"/>
                <w:kern w:val="0"/>
                <w:sz w:val="16"/>
                <w:szCs w:val="16"/>
                <w:lang w:eastAsia="en-GB"/>
                <w14:ligatures w14:val="none"/>
              </w:rPr>
              <w:t xml:space="preserve">7 </w:t>
            </w:r>
          </w:p>
        </w:tc>
        <w:tc>
          <w:tcPr>
            <w:tcW w:w="2265"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3DE12860" w14:textId="77777777">
            <w:pPr>
              <w:spacing w:after="0" w:line="240" w:lineRule="auto"/>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Universidad PSL </w:t>
            </w:r>
          </w:p>
        </w:tc>
        <w:tc>
          <w:tcPr>
            <w:tcW w:w="570" w:type="dxa"/>
            <w:tcBorders>
              <w:top w:val="single" w:color="auto" w:sz="6" w:space="0"/>
              <w:left w:val="single" w:color="auto" w:sz="6" w:space="0"/>
              <w:bottom w:val="single" w:color="auto" w:sz="6" w:space="0"/>
              <w:right w:val="single" w:color="auto" w:sz="6" w:space="0"/>
            </w:tcBorders>
            <w:shd w:val="clear" w:color="auto" w:fill="E9E9E7"/>
            <w:vAlign w:val="center"/>
            <w:hideMark/>
          </w:tcPr>
          <w:p w:rsidRPr="001C4444" w:rsidR="001C4444" w:rsidP="001C4444" w:rsidRDefault="001C4444" w14:paraId="01D6B50F"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34 </w:t>
            </w:r>
          </w:p>
        </w:tc>
        <w:tc>
          <w:tcPr>
            <w:tcW w:w="52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4ECAD2F"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2 </w:t>
            </w:r>
          </w:p>
        </w:tc>
        <w:tc>
          <w:tcPr>
            <w:tcW w:w="48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6BCA86A"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4 </w:t>
            </w:r>
          </w:p>
        </w:tc>
        <w:tc>
          <w:tcPr>
            <w:tcW w:w="510"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2E95A7CD"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4 </w:t>
            </w:r>
          </w:p>
        </w:tc>
        <w:tc>
          <w:tcPr>
            <w:tcW w:w="555" w:type="dxa"/>
            <w:tcBorders>
              <w:top w:val="single" w:color="auto" w:sz="6" w:space="0"/>
              <w:left w:val="single" w:color="auto" w:sz="6" w:space="0"/>
              <w:bottom w:val="single" w:color="auto" w:sz="6" w:space="0"/>
              <w:right w:val="single" w:color="auto" w:sz="6" w:space="0"/>
            </w:tcBorders>
            <w:vAlign w:val="center"/>
            <w:hideMark/>
          </w:tcPr>
          <w:p w:rsidRPr="001C4444" w:rsidR="001C4444" w:rsidP="001C4444" w:rsidRDefault="001C4444" w14:paraId="3E532D47" w14:textId="77777777">
            <w:pPr>
              <w:spacing w:after="0" w:line="240" w:lineRule="auto"/>
              <w:jc w:val="center"/>
              <w:textAlignment w:val="baseline"/>
              <w:rPr>
                <w:rFonts w:ascii="Times New Roman" w:hAnsi="Times New Roman" w:eastAsia="Times New Roman" w:cs="Times New Roman"/>
                <w:kern w:val="0"/>
                <w:lang w:val="en-US" w:eastAsia="en-GB"/>
                <w14:ligatures w14:val="none"/>
              </w:rPr>
            </w:pPr>
            <w:r w:rsidRPr="001C4444">
              <w:rPr>
                <w:rFonts w:ascii="Calibri" w:hAnsi="Calibri" w:eastAsia="Times New Roman" w:cs="Calibri"/>
                <w:color w:val="1D1D1B"/>
                <w:kern w:val="0"/>
                <w:sz w:val="16"/>
                <w:szCs w:val="16"/>
                <w:lang w:eastAsia="en-GB"/>
                <w14:ligatures w14:val="none"/>
              </w:rPr>
              <w:t xml:space="preserve">13 </w:t>
            </w:r>
          </w:p>
        </w:tc>
      </w:tr>
    </w:tbl>
    <w:p w:rsidRPr="001C4444" w:rsidR="001C4444" w:rsidP="4E7AB60A" w:rsidRDefault="2AFD4C54" w14:paraId="789ABB2F" w14:textId="77777777">
      <w:pPr>
        <w:spacing w:after="0" w:line="240" w:lineRule="auto"/>
        <w:textAlignment w:val="baseline"/>
        <w:rPr>
          <w:rFonts w:ascii="Segoe UI" w:hAnsi="Segoe UI" w:eastAsia="Times New Roman" w:cs="Segoe UI"/>
          <w:sz w:val="18"/>
          <w:szCs w:val="18"/>
          <w:lang w:val="en-US" w:eastAsia="en-GB"/>
        </w:rPr>
      </w:pPr>
      <w:r w:rsidRPr="001C4444">
        <w:rPr>
          <w:rFonts w:ascii="Calibri" w:hAnsi="Calibri" w:eastAsia="Times New Roman" w:cs="Calibri"/>
          <w:color w:val="1D1D1B"/>
          <w:kern w:val="0"/>
          <w:sz w:val="22"/>
          <w:szCs w:val="22"/>
          <w:lang w:val="en-US" w:eastAsia="en-GB"/>
          <w14:ligatures w14:val="none"/>
        </w:rPr>
        <w:t xml:space="preserve"> </w:t>
      </w:r>
    </w:p>
    <w:p w:rsidR="001C4444" w:rsidP="4E7AB60A" w:rsidRDefault="6062FC47" w14:paraId="25294F98" w14:textId="635B2ED3">
      <w:pPr>
        <w:textAlignment w:val="baseline"/>
        <w:rPr>
          <w:rFonts w:ascii="Calibri" w:hAnsi="Calibri" w:eastAsia="Calibri" w:cs="Calibri"/>
          <w:color w:val="1D1D1B"/>
          <w:sz w:val="22"/>
          <w:szCs w:val="22"/>
          <w:lang w:val="en-US"/>
        </w:rPr>
      </w:pPr>
      <w:r w:rsidRPr="00086132">
        <w:rPr>
          <w:rFonts w:ascii="Calibri" w:hAnsi="Calibri" w:eastAsia="Calibri" w:cs="Calibri"/>
          <w:color w:val="1D1D1B"/>
          <w:sz w:val="22"/>
          <w:szCs w:val="22"/>
          <w:lang w:val="es-ES"/>
        </w:rPr>
        <w:t xml:space="preserve">La clasificación </w:t>
      </w:r>
      <w:r w:rsidR="009120CE">
        <w:rPr>
          <w:rFonts w:ascii="Calibri" w:hAnsi="Calibri" w:eastAsia="Calibri" w:cs="Calibri"/>
          <w:color w:val="1D1D1B"/>
          <w:sz w:val="22"/>
          <w:szCs w:val="22"/>
          <w:lang w:val="es-ES"/>
        </w:rPr>
        <w:t>“</w:t>
      </w:r>
      <w:r w:rsidRPr="00086132">
        <w:rPr>
          <w:rFonts w:ascii="Calibri" w:hAnsi="Calibri" w:eastAsia="Calibri" w:cs="Calibri"/>
          <w:color w:val="1D1D1B"/>
          <w:sz w:val="22"/>
          <w:szCs w:val="22"/>
          <w:lang w:val="es-ES"/>
        </w:rPr>
        <w:t>QS World University Rankings</w:t>
      </w:r>
      <w:r w:rsidR="009120CE">
        <w:rPr>
          <w:rFonts w:ascii="Calibri" w:hAnsi="Calibri" w:eastAsia="Calibri" w:cs="Calibri"/>
          <w:color w:val="1D1D1B"/>
          <w:sz w:val="22"/>
          <w:szCs w:val="22"/>
          <w:lang w:val="es-ES"/>
        </w:rPr>
        <w:t>”</w:t>
      </w:r>
      <w:r w:rsidRPr="00086132">
        <w:rPr>
          <w:rFonts w:ascii="Calibri" w:hAnsi="Calibri" w:eastAsia="Calibri" w:cs="Calibri"/>
          <w:color w:val="1D1D1B"/>
          <w:sz w:val="22"/>
          <w:szCs w:val="22"/>
          <w:lang w:val="es-ES"/>
        </w:rPr>
        <w:t xml:space="preserve"> de este año incluye 1.500 universidades de 106 sistemas de educación superior. </w:t>
      </w:r>
      <w:r w:rsidRPr="4E7AB60A">
        <w:rPr>
          <w:rFonts w:ascii="Calibri" w:hAnsi="Calibri" w:eastAsia="Calibri" w:cs="Calibri"/>
          <w:color w:val="1D1D1B"/>
          <w:sz w:val="22"/>
          <w:szCs w:val="22"/>
          <w:lang w:val="en-US"/>
        </w:rPr>
        <w:t xml:space="preserve">El </w:t>
      </w:r>
      <w:proofErr w:type="spellStart"/>
      <w:r w:rsidRPr="4E7AB60A">
        <w:rPr>
          <w:rFonts w:ascii="Calibri" w:hAnsi="Calibri" w:eastAsia="Calibri" w:cs="Calibri"/>
          <w:color w:val="1D1D1B"/>
          <w:sz w:val="22"/>
          <w:szCs w:val="22"/>
          <w:lang w:val="en-US"/>
        </w:rPr>
        <w:t>análisis</w:t>
      </w:r>
      <w:proofErr w:type="spellEnd"/>
      <w:r w:rsidRPr="4E7AB60A">
        <w:rPr>
          <w:rFonts w:ascii="Calibri" w:hAnsi="Calibri" w:eastAsia="Calibri" w:cs="Calibri"/>
          <w:color w:val="1D1D1B"/>
          <w:sz w:val="22"/>
          <w:szCs w:val="22"/>
          <w:lang w:val="en-US"/>
        </w:rPr>
        <w:t xml:space="preserve"> </w:t>
      </w:r>
      <w:proofErr w:type="spellStart"/>
      <w:r w:rsidRPr="4E7AB60A">
        <w:rPr>
          <w:rFonts w:ascii="Calibri" w:hAnsi="Calibri" w:eastAsia="Calibri" w:cs="Calibri"/>
          <w:color w:val="1D1D1B"/>
          <w:sz w:val="22"/>
          <w:szCs w:val="22"/>
          <w:lang w:val="en-US"/>
        </w:rPr>
        <w:t>tuvo</w:t>
      </w:r>
      <w:proofErr w:type="spellEnd"/>
      <w:r w:rsidRPr="4E7AB60A">
        <w:rPr>
          <w:rFonts w:ascii="Calibri" w:hAnsi="Calibri" w:eastAsia="Calibri" w:cs="Calibri"/>
          <w:color w:val="1D1D1B"/>
          <w:sz w:val="22"/>
          <w:szCs w:val="22"/>
          <w:lang w:val="en-US"/>
        </w:rPr>
        <w:t xml:space="preserve"> </w:t>
      </w:r>
      <w:proofErr w:type="spellStart"/>
      <w:r w:rsidRPr="4E7AB60A">
        <w:rPr>
          <w:rFonts w:ascii="Calibri" w:hAnsi="Calibri" w:eastAsia="Calibri" w:cs="Calibri"/>
          <w:color w:val="1D1D1B"/>
          <w:sz w:val="22"/>
          <w:szCs w:val="22"/>
          <w:lang w:val="en-US"/>
        </w:rPr>
        <w:t>en</w:t>
      </w:r>
      <w:proofErr w:type="spellEnd"/>
      <w:r w:rsidRPr="4E7AB60A">
        <w:rPr>
          <w:rFonts w:ascii="Calibri" w:hAnsi="Calibri" w:eastAsia="Calibri" w:cs="Calibri"/>
          <w:color w:val="1D1D1B"/>
          <w:sz w:val="22"/>
          <w:szCs w:val="22"/>
          <w:lang w:val="en-US"/>
        </w:rPr>
        <w:t xml:space="preserve"> cuenta: </w:t>
      </w:r>
    </w:p>
    <w:p w:rsidRPr="00263D7F" w:rsidR="001C4444" w:rsidP="4E7AB60A" w:rsidRDefault="6062FC47" w14:paraId="503EFDB3" w14:textId="63AD8710">
      <w:pPr>
        <w:numPr>
          <w:ilvl w:val="0"/>
          <w:numId w:val="5"/>
        </w:numPr>
        <w:textAlignment w:val="baseline"/>
        <w:rPr>
          <w:rFonts w:ascii="Calibri" w:hAnsi="Calibri" w:eastAsia="Calibri" w:cs="Calibri"/>
          <w:color w:val="1D1D1B"/>
          <w:sz w:val="22"/>
          <w:szCs w:val="22"/>
          <w:lang w:val="es-ES"/>
        </w:rPr>
      </w:pPr>
      <w:r w:rsidRPr="00263D7F">
        <w:rPr>
          <w:rFonts w:ascii="Calibri" w:hAnsi="Calibri" w:eastAsia="Calibri" w:cs="Calibri"/>
          <w:color w:val="1D1D1B"/>
          <w:sz w:val="22"/>
          <w:szCs w:val="22"/>
          <w:lang w:val="es-ES"/>
        </w:rPr>
        <w:t xml:space="preserve">21 millones de artículos de investigación </w:t>
      </w:r>
    </w:p>
    <w:p w:rsidRPr="001C4444" w:rsidR="001C4444" w:rsidP="4E7AB60A" w:rsidRDefault="6062FC47" w14:paraId="76723BDC" w14:textId="6ADC3363">
      <w:pPr>
        <w:numPr>
          <w:ilvl w:val="0"/>
          <w:numId w:val="4"/>
        </w:numPr>
        <w:textAlignment w:val="baseline"/>
        <w:rPr>
          <w:rFonts w:ascii="Calibri" w:hAnsi="Calibri" w:eastAsia="Calibri" w:cs="Calibri"/>
          <w:color w:val="1D1D1B"/>
          <w:sz w:val="22"/>
          <w:szCs w:val="22"/>
          <w:lang w:val="en-US"/>
        </w:rPr>
      </w:pPr>
      <w:r w:rsidRPr="4E7AB60A">
        <w:rPr>
          <w:rFonts w:ascii="Calibri" w:hAnsi="Calibri" w:eastAsia="Calibri" w:cs="Calibri"/>
          <w:color w:val="1D1D1B"/>
          <w:sz w:val="22"/>
          <w:szCs w:val="22"/>
          <w:lang w:val="en-US"/>
        </w:rPr>
        <w:t xml:space="preserve">222 </w:t>
      </w:r>
      <w:proofErr w:type="spellStart"/>
      <w:r w:rsidRPr="4E7AB60A">
        <w:rPr>
          <w:rFonts w:ascii="Calibri" w:hAnsi="Calibri" w:eastAsia="Calibri" w:cs="Calibri"/>
          <w:color w:val="1D1D1B"/>
          <w:sz w:val="22"/>
          <w:szCs w:val="22"/>
          <w:lang w:val="en-US"/>
        </w:rPr>
        <w:t>millones</w:t>
      </w:r>
      <w:proofErr w:type="spellEnd"/>
      <w:r w:rsidRPr="4E7AB60A">
        <w:rPr>
          <w:rFonts w:ascii="Calibri" w:hAnsi="Calibri" w:eastAsia="Calibri" w:cs="Calibri"/>
          <w:color w:val="1D1D1B"/>
          <w:sz w:val="22"/>
          <w:szCs w:val="22"/>
          <w:lang w:val="en-US"/>
        </w:rPr>
        <w:t xml:space="preserve"> de </w:t>
      </w:r>
      <w:proofErr w:type="spellStart"/>
      <w:r w:rsidRPr="4E7AB60A">
        <w:rPr>
          <w:rFonts w:ascii="Calibri" w:hAnsi="Calibri" w:eastAsia="Calibri" w:cs="Calibri"/>
          <w:color w:val="1D1D1B"/>
          <w:sz w:val="22"/>
          <w:szCs w:val="22"/>
          <w:lang w:val="en-US"/>
        </w:rPr>
        <w:t>citas</w:t>
      </w:r>
      <w:proofErr w:type="spellEnd"/>
      <w:r w:rsidRPr="4E7AB60A">
        <w:rPr>
          <w:rFonts w:ascii="Calibri" w:hAnsi="Calibri" w:eastAsia="Calibri" w:cs="Calibri"/>
          <w:color w:val="1D1D1B"/>
          <w:sz w:val="22"/>
          <w:szCs w:val="22"/>
          <w:lang w:val="en-US"/>
        </w:rPr>
        <w:t xml:space="preserve"> </w:t>
      </w:r>
    </w:p>
    <w:p w:rsidRPr="00086132" w:rsidR="001C4444" w:rsidP="4E7AB60A" w:rsidRDefault="6062FC47" w14:paraId="52232514" w14:textId="2FB25614">
      <w:pPr>
        <w:numPr>
          <w:ilvl w:val="0"/>
          <w:numId w:val="3"/>
        </w:numPr>
        <w:textAlignment w:val="baseline"/>
        <w:rPr>
          <w:rFonts w:ascii="Calibri" w:hAnsi="Calibri" w:eastAsia="Calibri" w:cs="Calibri"/>
          <w:color w:val="1D1D1B"/>
          <w:sz w:val="22"/>
          <w:szCs w:val="22"/>
          <w:lang w:val="es-ES"/>
        </w:rPr>
      </w:pPr>
      <w:r w:rsidRPr="00086132">
        <w:rPr>
          <w:rFonts w:ascii="Calibri" w:hAnsi="Calibri" w:eastAsia="Calibri" w:cs="Calibri"/>
          <w:color w:val="1D1D1B"/>
          <w:sz w:val="22"/>
          <w:szCs w:val="22"/>
          <w:lang w:val="es-ES"/>
        </w:rPr>
        <w:t xml:space="preserve">1,6 millones de respuestas a encuestas académicas </w:t>
      </w:r>
    </w:p>
    <w:p w:rsidRPr="001C4444" w:rsidR="001C4444" w:rsidP="4E7AB60A" w:rsidRDefault="6062FC47" w14:paraId="517A48F3" w14:textId="4AD5188A">
      <w:pPr>
        <w:numPr>
          <w:ilvl w:val="0"/>
          <w:numId w:val="2"/>
        </w:numPr>
        <w:textAlignment w:val="baseline"/>
        <w:rPr>
          <w:rFonts w:ascii="Calibri" w:hAnsi="Calibri" w:eastAsia="Calibri" w:cs="Calibri"/>
          <w:color w:val="1D1D1B"/>
          <w:sz w:val="22"/>
          <w:szCs w:val="22"/>
          <w:lang w:val="en-US"/>
        </w:rPr>
      </w:pPr>
      <w:r w:rsidRPr="4E7AB60A">
        <w:rPr>
          <w:rFonts w:ascii="Calibri" w:hAnsi="Calibri" w:eastAsia="Calibri" w:cs="Calibri"/>
          <w:color w:val="1D1D1B"/>
          <w:sz w:val="22"/>
          <w:szCs w:val="22"/>
          <w:lang w:val="en-US"/>
        </w:rPr>
        <w:t xml:space="preserve">Datos de 8.808 </w:t>
      </w:r>
      <w:proofErr w:type="spellStart"/>
      <w:r w:rsidRPr="4E7AB60A">
        <w:rPr>
          <w:rFonts w:ascii="Calibri" w:hAnsi="Calibri" w:eastAsia="Calibri" w:cs="Calibri"/>
          <w:color w:val="1D1D1B"/>
          <w:sz w:val="22"/>
          <w:szCs w:val="22"/>
          <w:lang w:val="en-US"/>
        </w:rPr>
        <w:t>instituciones</w:t>
      </w:r>
      <w:proofErr w:type="spellEnd"/>
      <w:r w:rsidRPr="4E7AB60A">
        <w:rPr>
          <w:rFonts w:ascii="Calibri" w:hAnsi="Calibri" w:eastAsia="Calibri" w:cs="Calibri"/>
          <w:color w:val="1D1D1B"/>
          <w:sz w:val="22"/>
          <w:szCs w:val="22"/>
          <w:lang w:val="en-US"/>
        </w:rPr>
        <w:t xml:space="preserve"> </w:t>
      </w:r>
    </w:p>
    <w:p w:rsidRPr="00263D7F" w:rsidR="001C4444" w:rsidP="4E7AB60A" w:rsidRDefault="00263D7F" w14:paraId="5C01E6F4" w14:textId="45CD899C">
      <w:pPr>
        <w:numPr>
          <w:ilvl w:val="0"/>
          <w:numId w:val="1"/>
        </w:numPr>
        <w:textAlignment w:val="baseline"/>
        <w:rPr>
          <w:rFonts w:ascii="Calibri" w:hAnsi="Calibri" w:eastAsia="Calibri" w:cs="Calibri"/>
          <w:color w:val="1D1D1B"/>
          <w:kern w:val="0"/>
          <w:sz w:val="22"/>
          <w:szCs w:val="22"/>
          <w:lang w:val="es-ES"/>
          <w14:ligatures w14:val="none"/>
        </w:rPr>
      </w:pPr>
      <w:r w:rsidRPr="00263D7F">
        <w:rPr>
          <w:rFonts w:ascii="Calibri" w:hAnsi="Calibri" w:eastAsia="Calibri" w:cs="Calibri"/>
          <w:color w:val="1D1D1B"/>
          <w:sz w:val="22"/>
          <w:szCs w:val="22"/>
          <w:lang w:val="es-ES"/>
        </w:rPr>
        <w:t>Información</w:t>
      </w:r>
      <w:r w:rsidRPr="00263D7F" w:rsidR="6062FC47">
        <w:rPr>
          <w:rFonts w:ascii="Calibri" w:hAnsi="Calibri" w:eastAsia="Calibri" w:cs="Calibri"/>
          <w:color w:val="1D1D1B"/>
          <w:sz w:val="22"/>
          <w:szCs w:val="22"/>
          <w:lang w:val="es-ES"/>
        </w:rPr>
        <w:t xml:space="preserve"> de 121 024 </w:t>
      </w:r>
      <w:r w:rsidRPr="00263D7F">
        <w:rPr>
          <w:rFonts w:ascii="Calibri" w:hAnsi="Calibri" w:eastAsia="Calibri" w:cs="Calibri"/>
          <w:color w:val="1D1D1B"/>
          <w:sz w:val="22"/>
          <w:szCs w:val="22"/>
          <w:lang w:val="es-ES"/>
        </w:rPr>
        <w:t>institucion</w:t>
      </w:r>
      <w:r>
        <w:rPr>
          <w:rFonts w:ascii="Calibri" w:hAnsi="Calibri" w:eastAsia="Calibri" w:cs="Calibri"/>
          <w:color w:val="1D1D1B"/>
          <w:sz w:val="22"/>
          <w:szCs w:val="22"/>
          <w:lang w:val="es-ES"/>
        </w:rPr>
        <w:t xml:space="preserve">es </w:t>
      </w:r>
      <w:r w:rsidRPr="00263D7F" w:rsidR="6062FC47">
        <w:rPr>
          <w:rFonts w:ascii="Calibri" w:hAnsi="Calibri" w:eastAsia="Calibri" w:cs="Calibri"/>
          <w:color w:val="1D1D1B"/>
          <w:sz w:val="22"/>
          <w:szCs w:val="22"/>
          <w:lang w:val="es-ES"/>
        </w:rPr>
        <w:t>académic</w:t>
      </w:r>
      <w:r>
        <w:rPr>
          <w:rFonts w:ascii="Calibri" w:hAnsi="Calibri" w:eastAsia="Calibri" w:cs="Calibri"/>
          <w:color w:val="1D1D1B"/>
          <w:sz w:val="22"/>
          <w:szCs w:val="22"/>
          <w:lang w:val="es-ES"/>
        </w:rPr>
        <w:t>a</w:t>
      </w:r>
      <w:r w:rsidRPr="00263D7F" w:rsidR="6062FC47">
        <w:rPr>
          <w:rFonts w:ascii="Calibri" w:hAnsi="Calibri" w:eastAsia="Calibri" w:cs="Calibri"/>
          <w:color w:val="1D1D1B"/>
          <w:sz w:val="22"/>
          <w:szCs w:val="22"/>
          <w:lang w:val="es-ES"/>
        </w:rPr>
        <w:t>s y 69 432 empleadores</w:t>
      </w:r>
    </w:p>
    <w:p w:rsidRPr="00263D7F" w:rsidR="001C4444" w:rsidP="4E7AB60A" w:rsidRDefault="2AFD4C54" w14:paraId="1CD8E2C6" w14:textId="607EBE98">
      <w:pPr>
        <w:jc w:val="center"/>
        <w:textAlignment w:val="baseline"/>
        <w:rPr>
          <w:rFonts w:ascii="Calibri" w:hAnsi="Calibri" w:eastAsia="Calibri" w:cs="Calibri"/>
          <w:kern w:val="0"/>
          <w:sz w:val="22"/>
          <w:szCs w:val="22"/>
          <w:lang w:val="es-ES" w:eastAsia="en-GB"/>
          <w14:ligatures w14:val="none"/>
        </w:rPr>
      </w:pPr>
      <w:r w:rsidRPr="00263D7F">
        <w:rPr>
          <w:rFonts w:ascii="Calibri" w:hAnsi="Calibri" w:eastAsia="Calibri" w:cs="Calibri"/>
          <w:b/>
          <w:bCs/>
          <w:color w:val="1D1D1B"/>
          <w:kern w:val="0"/>
          <w:sz w:val="22"/>
          <w:szCs w:val="22"/>
          <w:u w:val="single"/>
          <w:lang w:val="es-ES" w:eastAsia="en-GB"/>
          <w14:ligatures w14:val="none"/>
        </w:rPr>
        <w:t>-Fin-</w:t>
      </w:r>
    </w:p>
    <w:p w:rsidR="00263D7F" w:rsidP="001C4444" w:rsidRDefault="00263D7F" w14:paraId="661D54A2" w14:textId="0260A01B">
      <w:pPr>
        <w:textAlignment w:val="baseline"/>
        <w:rPr>
          <w:rFonts w:ascii="Segoe UI" w:hAnsi="Segoe UI" w:eastAsia="Times New Roman" w:cs="Segoe UI"/>
          <w:kern w:val="0"/>
          <w:sz w:val="18"/>
          <w:szCs w:val="18"/>
          <w:lang w:val="es-ES" w:eastAsia="en-GB"/>
          <w14:ligatures w14:val="none"/>
        </w:rPr>
      </w:pPr>
      <w:r w:rsidRPr="00263D7F">
        <w:rPr>
          <w:rFonts w:ascii="Calibri" w:hAnsi="Calibri" w:eastAsia="Times New Roman" w:cs="Calibri"/>
          <w:color w:val="000000"/>
          <w:kern w:val="0"/>
          <w:sz w:val="22"/>
          <w:szCs w:val="22"/>
          <w:lang w:val="es-ES" w:eastAsia="en-GB"/>
          <w14:ligatures w14:val="none"/>
        </w:rPr>
        <w:t>Puede encontrar información metodológica detallada en</w:t>
      </w:r>
      <w:hyperlink w:tgtFrame="_blank" w:history="1" r:id="rId12">
        <w:r w:rsidRPr="00086132" w:rsidR="001C4444">
          <w:rPr>
            <w:rFonts w:ascii="Calibri" w:hAnsi="Calibri" w:eastAsia="Times New Roman" w:cs="Calibri"/>
            <w:color w:val="467886"/>
            <w:kern w:val="0"/>
            <w:sz w:val="22"/>
            <w:szCs w:val="22"/>
            <w:u w:val="single"/>
            <w:lang w:val="es-ES" w:eastAsia="en-GB"/>
            <w14:ligatures w14:val="none"/>
          </w:rPr>
          <w:t xml:space="preserve"> https://www.topuniversities.com/world-university-rankings/methodology</w:t>
        </w:r>
      </w:hyperlink>
    </w:p>
    <w:p w:rsidRPr="00263D7F" w:rsidR="001C4444" w:rsidP="001C4444" w:rsidRDefault="001C4444" w14:paraId="28568A17" w14:textId="1685C042">
      <w:pPr>
        <w:textAlignment w:val="baseline"/>
        <w:rPr>
          <w:rFonts w:ascii="Segoe UI" w:hAnsi="Segoe UI" w:eastAsia="Times New Roman" w:cs="Segoe UI"/>
          <w:kern w:val="0"/>
          <w:sz w:val="18"/>
          <w:szCs w:val="18"/>
          <w:lang w:val="es-ES" w:eastAsia="en-GB"/>
          <w14:ligatures w14:val="none"/>
        </w:rPr>
      </w:pPr>
      <w:r w:rsidRPr="00086132">
        <w:rPr>
          <w:rFonts w:ascii="Calibri" w:hAnsi="Calibri" w:eastAsia="Times New Roman" w:cs="Calibri"/>
          <w:color w:val="000000"/>
          <w:kern w:val="0"/>
          <w:sz w:val="22"/>
          <w:szCs w:val="22"/>
          <w:lang w:val="es-ES" w:eastAsia="en-GB"/>
          <w14:ligatures w14:val="none"/>
        </w:rPr>
        <w:t xml:space="preserve">La clasificación </w:t>
      </w:r>
      <w:r w:rsidRPr="00086132">
        <w:rPr>
          <w:rFonts w:ascii="Calibri" w:hAnsi="Calibri" w:eastAsia="Times New Roman" w:cs="Calibri"/>
          <w:b/>
          <w:bCs/>
          <w:color w:val="000000"/>
          <w:kern w:val="0"/>
          <w:sz w:val="22"/>
          <w:szCs w:val="22"/>
          <w:lang w:val="es-ES" w:eastAsia="en-GB"/>
          <w14:ligatures w14:val="none"/>
        </w:rPr>
        <w:t xml:space="preserve">QS World University Rankings </w:t>
      </w:r>
      <w:r w:rsidRPr="00086132">
        <w:rPr>
          <w:rFonts w:ascii="Calibri" w:hAnsi="Calibri" w:eastAsia="Times New Roman" w:cs="Calibri"/>
          <w:color w:val="000000"/>
          <w:kern w:val="0"/>
          <w:sz w:val="22"/>
          <w:szCs w:val="22"/>
          <w:lang w:val="es-ES" w:eastAsia="en-GB"/>
          <w14:ligatures w14:val="none"/>
        </w:rPr>
        <w:t>completa se publicará cuando se levante la restricción y estará disponible en</w:t>
      </w:r>
      <w:hyperlink w:history="1" r:id="rId13">
        <w:r w:rsidRPr="00E13936" w:rsidR="00263D7F">
          <w:rPr>
            <w:rStyle w:val="Hyperlink"/>
            <w:rFonts w:ascii="Calibri" w:hAnsi="Calibri" w:eastAsia="Times New Roman" w:cs="Calibri"/>
            <w:kern w:val="0"/>
            <w:sz w:val="22"/>
            <w:szCs w:val="22"/>
            <w:lang w:val="es-ES" w:eastAsia="en-GB"/>
            <w14:ligatures w14:val="none"/>
          </w:rPr>
          <w:t xml:space="preserve"> https://www.topuniversities.com/world-university-rankings</w:t>
        </w:r>
      </w:hyperlink>
      <w:r w:rsidRPr="00086132">
        <w:rPr>
          <w:rFonts w:ascii="Calibri" w:hAnsi="Calibri" w:eastAsia="Times New Roman" w:cs="Calibri"/>
          <w:color w:val="000000"/>
          <w:kern w:val="0"/>
          <w:sz w:val="22"/>
          <w:szCs w:val="22"/>
          <w:lang w:val="es-ES" w:eastAsia="en-GB"/>
          <w14:ligatures w14:val="none"/>
        </w:rPr>
        <w:t xml:space="preserve"> </w:t>
      </w:r>
    </w:p>
    <w:p w:rsidR="00AD6A16" w:rsidP="00AD6A16" w:rsidRDefault="00AD6A16" w14:paraId="72586B24" w14:textId="77777777">
      <w:pPr>
        <w:textAlignment w:val="baseline"/>
        <w:rPr>
          <w:rFonts w:ascii="Calibri" w:hAnsi="Calibri" w:eastAsia="Times New Roman" w:cs="Calibri"/>
          <w:color w:val="1D1D1B"/>
          <w:kern w:val="0"/>
          <w:sz w:val="22"/>
          <w:szCs w:val="22"/>
          <w:lang w:val="es-ES" w:eastAsia="en-GB"/>
          <w14:ligatures w14:val="none"/>
        </w:rPr>
      </w:pPr>
    </w:p>
    <w:p w:rsidR="00AD6A16" w:rsidP="00AD6A16" w:rsidRDefault="00AD6A16" w14:paraId="0D1B87E8" w14:textId="77777777">
      <w:pPr>
        <w:textAlignment w:val="baseline"/>
        <w:rPr>
          <w:rFonts w:ascii="Calibri" w:hAnsi="Calibri" w:eastAsia="Times New Roman" w:cs="Calibri"/>
          <w:color w:val="1D1D1B"/>
          <w:kern w:val="0"/>
          <w:sz w:val="22"/>
          <w:szCs w:val="22"/>
          <w:lang w:val="es-ES" w:eastAsia="en-GB"/>
          <w14:ligatures w14:val="none"/>
        </w:rPr>
      </w:pPr>
    </w:p>
    <w:p w:rsidR="00AD6A16" w:rsidP="00AD6A16" w:rsidRDefault="001C4444" w14:paraId="659316C1" w14:textId="4513366B">
      <w:pPr>
        <w:textAlignment w:val="baseline"/>
        <w:rPr>
          <w:rFonts w:ascii="Segoe UI" w:hAnsi="Segoe UI" w:eastAsia="Times New Roman" w:cs="Segoe UI"/>
          <w:kern w:val="0"/>
          <w:sz w:val="18"/>
          <w:szCs w:val="18"/>
          <w:lang w:val="es-ES" w:eastAsia="en-GB"/>
          <w14:ligatures w14:val="none"/>
        </w:rPr>
      </w:pPr>
      <w:r w:rsidRPr="00086132">
        <w:rPr>
          <w:rFonts w:ascii="Calibri" w:hAnsi="Calibri" w:eastAsia="Times New Roman" w:cs="Calibri"/>
          <w:color w:val="1D1D1B"/>
          <w:kern w:val="0"/>
          <w:sz w:val="22"/>
          <w:szCs w:val="22"/>
          <w:lang w:val="es-ES" w:eastAsia="en-GB"/>
          <w14:ligatures w14:val="none"/>
        </w:rPr>
        <w:t>Para obtener más información o solicitar entrevistas con los analistas de QS, póngase en contacto con:                       </w:t>
      </w:r>
    </w:p>
    <w:p w:rsidRPr="00AD6A16" w:rsidR="001C4444" w:rsidP="00AD6A16" w:rsidRDefault="001C4444" w14:paraId="5F95576C" w14:textId="1F10E0F7">
      <w:pPr>
        <w:textAlignment w:val="baseline"/>
        <w:rPr>
          <w:rFonts w:ascii="Segoe UI" w:hAnsi="Segoe UI" w:eastAsia="Times New Roman" w:cs="Segoe UI"/>
          <w:kern w:val="0"/>
          <w:sz w:val="18"/>
          <w:szCs w:val="18"/>
          <w:lang w:val="en-US" w:eastAsia="en-GB"/>
          <w14:ligatures w14:val="none"/>
        </w:rPr>
      </w:pPr>
      <w:r w:rsidRPr="00263D7F">
        <w:rPr>
          <w:rFonts w:ascii="Calibri" w:hAnsi="Calibri" w:eastAsia="Times New Roman" w:cs="Calibri"/>
          <w:b/>
          <w:bCs/>
          <w:color w:val="1D1D1B"/>
          <w:kern w:val="0"/>
          <w:sz w:val="22"/>
          <w:szCs w:val="22"/>
          <w:lang w:val="en-US" w:eastAsia="en-GB"/>
          <w14:ligatures w14:val="none"/>
        </w:rPr>
        <w:t>Simona Bizzozero</w:t>
      </w:r>
      <w:r w:rsidRPr="00263D7F">
        <w:rPr>
          <w:rFonts w:ascii="Calibri" w:hAnsi="Calibri" w:eastAsia="Times New Roman" w:cs="Calibri"/>
          <w:color w:val="1D1D1B"/>
          <w:kern w:val="0"/>
          <w:sz w:val="22"/>
          <w:szCs w:val="22"/>
          <w:lang w:val="en-US" w:eastAsia="en-GB"/>
          <w14:ligatures w14:val="none"/>
        </w:rPr>
        <w:t>                </w:t>
      </w:r>
      <w:r w:rsidRPr="00263D7F">
        <w:rPr>
          <w:rFonts w:ascii="Calibri" w:hAnsi="Calibri" w:eastAsia="Times New Roman" w:cs="Calibri"/>
          <w:color w:val="1D1D1B"/>
          <w:kern w:val="0"/>
          <w:sz w:val="22"/>
          <w:szCs w:val="22"/>
          <w:lang w:val="en-US" w:eastAsia="en-GB"/>
          <w14:ligatures w14:val="none"/>
        </w:rPr>
        <w:br/>
      </w:r>
      <w:r w:rsidRPr="001C4444" w:rsidR="00263D7F">
        <w:rPr>
          <w:rFonts w:ascii="Calibri" w:hAnsi="Calibri" w:eastAsia="Times New Roman" w:cs="Calibri"/>
          <w:color w:val="1D1D1B"/>
          <w:kern w:val="0"/>
          <w:sz w:val="22"/>
          <w:szCs w:val="22"/>
          <w:lang w:val="en-US" w:eastAsia="en-GB"/>
          <w14:ligatures w14:val="none"/>
        </w:rPr>
        <w:t>Director of Communications, QS </w:t>
      </w:r>
      <w:r w:rsidRPr="001C4444" w:rsidR="00263D7F">
        <w:rPr>
          <w:rFonts w:ascii="Calibri" w:hAnsi="Calibri" w:eastAsia="Times New Roman" w:cs="Calibri"/>
          <w:color w:val="1D1D1B"/>
          <w:kern w:val="0"/>
          <w:sz w:val="22"/>
          <w:szCs w:val="22"/>
          <w:lang w:eastAsia="en-GB"/>
          <w14:ligatures w14:val="none"/>
        </w:rPr>
        <w:t>                </w:t>
      </w:r>
      <w:r w:rsidRPr="00263D7F">
        <w:rPr>
          <w:rFonts w:ascii="Calibri" w:hAnsi="Calibri" w:eastAsia="Times New Roman" w:cs="Calibri"/>
          <w:color w:val="1D1D1B"/>
          <w:kern w:val="0"/>
          <w:sz w:val="22"/>
          <w:szCs w:val="22"/>
          <w:lang w:val="en-US" w:eastAsia="en-GB"/>
          <w14:ligatures w14:val="none"/>
        </w:rPr>
        <w:br/>
      </w:r>
      <w:r w:rsidRPr="00263D7F">
        <w:rPr>
          <w:rFonts w:ascii="Calibri" w:hAnsi="Calibri" w:eastAsia="Times New Roman" w:cs="Calibri"/>
          <w:color w:val="1D1D1B"/>
          <w:kern w:val="0"/>
          <w:sz w:val="22"/>
          <w:szCs w:val="22"/>
          <w:lang w:val="en-US" w:eastAsia="en-GB"/>
          <w14:ligatures w14:val="none"/>
        </w:rPr>
        <w:t xml:space="preserve"> </w:t>
      </w:r>
      <w:hyperlink w:history="1" r:id="rId14">
        <w:r w:rsidRPr="00E13936" w:rsidR="00263D7F">
          <w:rPr>
            <w:rStyle w:val="Hyperlink"/>
            <w:rFonts w:ascii="Calibri" w:hAnsi="Calibri" w:eastAsia="Times New Roman" w:cs="Calibri"/>
            <w:kern w:val="0"/>
            <w:sz w:val="22"/>
            <w:szCs w:val="22"/>
            <w:lang w:val="en-US" w:eastAsia="en-GB"/>
            <w14:ligatures w14:val="none"/>
          </w:rPr>
          <w:t>simona@qs.com</w:t>
        </w:r>
      </w:hyperlink>
      <w:r w:rsidR="00263D7F">
        <w:rPr>
          <w:rFonts w:ascii="Calibri" w:hAnsi="Calibri" w:eastAsia="Times New Roman" w:cs="Calibri"/>
          <w:color w:val="1D1D1B"/>
          <w:kern w:val="0"/>
          <w:sz w:val="22"/>
          <w:szCs w:val="22"/>
          <w:lang w:val="en-US" w:eastAsia="en-GB"/>
          <w14:ligatures w14:val="none"/>
        </w:rPr>
        <w:t xml:space="preserve"> </w:t>
      </w:r>
      <w:r w:rsidRPr="00263D7F">
        <w:rPr>
          <w:rFonts w:ascii="Calibri" w:hAnsi="Calibri" w:eastAsia="Times New Roman" w:cs="Calibri"/>
          <w:color w:val="1D1D1B"/>
          <w:kern w:val="0"/>
          <w:sz w:val="22"/>
          <w:szCs w:val="22"/>
          <w:lang w:val="en-US" w:eastAsia="en-GB"/>
          <w14:ligatures w14:val="none"/>
        </w:rPr>
        <w:t xml:space="preserve">| +44 (0) 7880 620856 | </w:t>
      </w:r>
      <w:hyperlink w:tgtFrame="_blank" w:history="1" r:id="rId15">
        <w:r w:rsidRPr="00263D7F">
          <w:rPr>
            <w:rFonts w:ascii="Calibri" w:hAnsi="Calibri" w:eastAsia="Times New Roman" w:cs="Calibri"/>
            <w:color w:val="467886"/>
            <w:kern w:val="0"/>
            <w:sz w:val="22"/>
            <w:szCs w:val="22"/>
            <w:u w:val="single"/>
            <w:lang w:val="en-US" w:eastAsia="en-GB"/>
            <w14:ligatures w14:val="none"/>
          </w:rPr>
          <w:t>LinkedIn</w:t>
        </w:r>
      </w:hyperlink>
      <w:r w:rsidRPr="00263D7F">
        <w:rPr>
          <w:rFonts w:ascii="Calibri" w:hAnsi="Calibri" w:eastAsia="Times New Roman" w:cs="Calibri"/>
          <w:color w:val="1D1D1B"/>
          <w:kern w:val="0"/>
          <w:sz w:val="22"/>
          <w:szCs w:val="22"/>
          <w:lang w:val="en-US" w:eastAsia="en-GB"/>
          <w14:ligatures w14:val="none"/>
        </w:rPr>
        <w:t>        </w:t>
      </w:r>
    </w:p>
    <w:p w:rsidRPr="00086132" w:rsidR="001C4444" w:rsidP="001C4444" w:rsidRDefault="001C4444" w14:paraId="7F47BAFF" w14:textId="77777777">
      <w:pPr>
        <w:spacing w:after="0" w:line="240" w:lineRule="auto"/>
        <w:textAlignment w:val="baseline"/>
        <w:rPr>
          <w:rFonts w:ascii="Segoe UI" w:hAnsi="Segoe UI" w:eastAsia="Times New Roman" w:cs="Segoe UI"/>
          <w:kern w:val="0"/>
          <w:sz w:val="18"/>
          <w:szCs w:val="18"/>
          <w:lang w:val="es-ES" w:eastAsia="en-GB"/>
          <w14:ligatures w14:val="none"/>
        </w:rPr>
      </w:pPr>
      <w:r w:rsidRPr="00086132">
        <w:rPr>
          <w:rFonts w:ascii="Calibri" w:hAnsi="Calibri" w:eastAsia="Times New Roman" w:cs="Calibri"/>
          <w:color w:val="1D1D1B"/>
          <w:kern w:val="0"/>
          <w:sz w:val="22"/>
          <w:szCs w:val="22"/>
          <w:lang w:val="es-ES" w:eastAsia="en-GB"/>
          <w14:ligatures w14:val="none"/>
        </w:rPr>
        <w:t>  </w:t>
      </w:r>
    </w:p>
    <w:p w:rsidRPr="00086132" w:rsidR="001C4444" w:rsidP="001C4444" w:rsidRDefault="001C4444" w14:paraId="7DDDD6FF" w14:textId="77777777">
      <w:pPr>
        <w:spacing w:after="0" w:line="240" w:lineRule="auto"/>
        <w:textAlignment w:val="baseline"/>
        <w:rPr>
          <w:rFonts w:ascii="Segoe UI" w:hAnsi="Segoe UI" w:eastAsia="Times New Roman" w:cs="Segoe UI"/>
          <w:kern w:val="0"/>
          <w:sz w:val="18"/>
          <w:szCs w:val="18"/>
          <w:lang w:val="es-ES" w:eastAsia="en-GB"/>
          <w14:ligatures w14:val="none"/>
        </w:rPr>
      </w:pPr>
      <w:r w:rsidRPr="00086132">
        <w:rPr>
          <w:rFonts w:ascii="Calibri" w:hAnsi="Calibri" w:eastAsia="Times New Roman" w:cs="Calibri"/>
          <w:b/>
          <w:bCs/>
          <w:color w:val="1D1D1B"/>
          <w:kern w:val="0"/>
          <w:sz w:val="22"/>
          <w:szCs w:val="22"/>
          <w:lang w:val="es-ES" w:eastAsia="en-GB"/>
          <w14:ligatures w14:val="none"/>
        </w:rPr>
        <w:t>Will Barbieri          </w:t>
      </w:r>
    </w:p>
    <w:p w:rsidRPr="00263D7F" w:rsidR="00263D7F" w:rsidP="00263D7F" w:rsidRDefault="00263D7F" w14:paraId="243C554A" w14:textId="77777777">
      <w:pPr>
        <w:spacing w:after="0" w:line="240" w:lineRule="auto"/>
        <w:textAlignment w:val="baseline"/>
        <w:rPr>
          <w:rFonts w:ascii="Segoe UI" w:hAnsi="Segoe UI" w:eastAsia="Times New Roman" w:cs="Segoe UI"/>
          <w:kern w:val="0"/>
          <w:sz w:val="18"/>
          <w:szCs w:val="18"/>
          <w:lang w:val="fr-FR" w:eastAsia="en-GB"/>
          <w14:ligatures w14:val="none"/>
        </w:rPr>
      </w:pPr>
      <w:r w:rsidRPr="00263D7F">
        <w:rPr>
          <w:rFonts w:ascii="Calibri" w:hAnsi="Calibri" w:eastAsia="Times New Roman" w:cs="Calibri"/>
          <w:color w:val="1D1D1B"/>
          <w:kern w:val="0"/>
          <w:sz w:val="22"/>
          <w:szCs w:val="22"/>
          <w:lang w:val="fr-FR" w:eastAsia="en-GB"/>
          <w14:ligatures w14:val="none"/>
        </w:rPr>
        <w:t>Communications Manager          </w:t>
      </w:r>
    </w:p>
    <w:p w:rsidRPr="00263D7F" w:rsidR="001C4444" w:rsidP="001C4444" w:rsidRDefault="001C4444" w14:paraId="5BA32617" w14:textId="77777777">
      <w:pPr>
        <w:spacing w:after="0" w:line="240" w:lineRule="auto"/>
        <w:textAlignment w:val="baseline"/>
        <w:rPr>
          <w:rFonts w:ascii="Segoe UI" w:hAnsi="Segoe UI" w:eastAsia="Times New Roman" w:cs="Segoe UI"/>
          <w:kern w:val="0"/>
          <w:sz w:val="18"/>
          <w:szCs w:val="18"/>
          <w:lang w:val="fr-FR" w:eastAsia="en-GB"/>
          <w14:ligatures w14:val="none"/>
        </w:rPr>
      </w:pPr>
      <w:hyperlink w:tgtFrame="_blank" w:history="1" r:id="rId16">
        <w:r w:rsidRPr="00263D7F">
          <w:rPr>
            <w:rFonts w:ascii="Calibri" w:hAnsi="Calibri" w:eastAsia="Times New Roman" w:cs="Calibri"/>
            <w:color w:val="467886"/>
            <w:kern w:val="0"/>
            <w:sz w:val="22"/>
            <w:szCs w:val="22"/>
            <w:u w:val="single"/>
            <w:lang w:val="fr-FR" w:eastAsia="en-GB"/>
            <w14:ligatures w14:val="none"/>
          </w:rPr>
          <w:t>William.barbieri@qs.com</w:t>
        </w:r>
      </w:hyperlink>
      <w:r w:rsidRPr="00263D7F">
        <w:rPr>
          <w:rFonts w:ascii="Calibri" w:hAnsi="Calibri" w:eastAsia="Times New Roman" w:cs="Calibri"/>
          <w:color w:val="1D1D1B"/>
          <w:kern w:val="0"/>
          <w:sz w:val="22"/>
          <w:szCs w:val="22"/>
          <w:lang w:val="fr-FR" w:eastAsia="en-GB"/>
          <w14:ligatures w14:val="none"/>
        </w:rPr>
        <w:t>     </w:t>
      </w:r>
    </w:p>
    <w:p w:rsidRPr="00086132" w:rsidR="001C4444" w:rsidP="001C4444" w:rsidRDefault="001C4444" w14:paraId="1CF935FF" w14:textId="77777777">
      <w:pPr>
        <w:spacing w:after="0" w:line="240" w:lineRule="auto"/>
        <w:textAlignment w:val="baseline"/>
        <w:rPr>
          <w:rFonts w:ascii="Segoe UI" w:hAnsi="Segoe UI" w:eastAsia="Times New Roman" w:cs="Segoe UI"/>
          <w:kern w:val="0"/>
          <w:sz w:val="18"/>
          <w:szCs w:val="18"/>
          <w:lang w:val="es-ES" w:eastAsia="en-GB"/>
          <w14:ligatures w14:val="none"/>
        </w:rPr>
      </w:pPr>
      <w:r w:rsidRPr="00086132">
        <w:rPr>
          <w:rFonts w:ascii="Calibri" w:hAnsi="Calibri" w:eastAsia="Times New Roman" w:cs="Calibri"/>
          <w:color w:val="1D1D1B"/>
          <w:kern w:val="0"/>
          <w:sz w:val="22"/>
          <w:szCs w:val="22"/>
          <w:lang w:val="es-ES" w:eastAsia="en-GB"/>
          <w14:ligatures w14:val="none"/>
        </w:rPr>
        <w:t>  </w:t>
      </w:r>
    </w:p>
    <w:p w:rsidRPr="00086132" w:rsidR="001C4444" w:rsidP="001C4444" w:rsidRDefault="001C4444" w14:paraId="1F9931DC" w14:textId="51E137FE">
      <w:pPr>
        <w:textAlignment w:val="baseline"/>
        <w:rPr>
          <w:rFonts w:ascii="Segoe UI" w:hAnsi="Segoe UI" w:eastAsia="Times New Roman" w:cs="Segoe UI"/>
          <w:kern w:val="0"/>
          <w:sz w:val="18"/>
          <w:szCs w:val="18"/>
          <w:lang w:val="es-ES" w:eastAsia="en-GB"/>
          <w14:ligatures w14:val="none"/>
        </w:rPr>
      </w:pPr>
      <w:r w:rsidRPr="00086132">
        <w:rPr>
          <w:rFonts w:ascii="Calibri" w:hAnsi="Calibri" w:eastAsia="Times New Roman" w:cs="Calibri"/>
          <w:b/>
          <w:bCs/>
          <w:color w:val="1D1D1B"/>
          <w:kern w:val="0"/>
          <w:sz w:val="22"/>
          <w:szCs w:val="22"/>
          <w:u w:val="single"/>
          <w:lang w:val="es-ES" w:eastAsia="en-GB"/>
          <w14:ligatures w14:val="none"/>
        </w:rPr>
        <w:t>Notas para los editores</w:t>
      </w:r>
    </w:p>
    <w:p w:rsidRPr="00263D7F" w:rsidR="00263D7F" w:rsidP="001C4444" w:rsidRDefault="001C4444" w14:paraId="21A2C7C0" w14:textId="4D6B24B1">
      <w:pPr>
        <w:textAlignment w:val="baseline"/>
        <w:rPr>
          <w:rFonts w:ascii="Calibri" w:hAnsi="Calibri" w:eastAsia="Times New Roman" w:cs="Calibri"/>
          <w:color w:val="1D1D1B"/>
          <w:kern w:val="0"/>
          <w:sz w:val="22"/>
          <w:szCs w:val="22"/>
          <w:lang w:val="es-ES" w:eastAsia="en-GB"/>
          <w14:ligatures w14:val="none"/>
        </w:rPr>
      </w:pPr>
      <w:r w:rsidRPr="00086132">
        <w:rPr>
          <w:rFonts w:ascii="Calibri" w:hAnsi="Calibri" w:eastAsia="Times New Roman" w:cs="Calibri"/>
          <w:b/>
          <w:bCs/>
          <w:color w:val="1D1D1B"/>
          <w:kern w:val="0"/>
          <w:sz w:val="22"/>
          <w:szCs w:val="22"/>
          <w:lang w:val="es-ES" w:eastAsia="en-GB"/>
          <w14:ligatures w14:val="none"/>
        </w:rPr>
        <w:t xml:space="preserve">QS </w:t>
      </w:r>
      <w:proofErr w:type="spellStart"/>
      <w:r w:rsidRPr="00086132">
        <w:rPr>
          <w:rFonts w:ascii="Calibri" w:hAnsi="Calibri" w:eastAsia="Times New Roman" w:cs="Calibri"/>
          <w:b/>
          <w:bCs/>
          <w:color w:val="1D1D1B"/>
          <w:kern w:val="0"/>
          <w:sz w:val="22"/>
          <w:szCs w:val="22"/>
          <w:lang w:val="es-ES" w:eastAsia="en-GB"/>
          <w14:ligatures w14:val="none"/>
        </w:rPr>
        <w:t>Quacquarelli</w:t>
      </w:r>
      <w:proofErr w:type="spellEnd"/>
      <w:r w:rsidRPr="00086132">
        <w:rPr>
          <w:rFonts w:ascii="Calibri" w:hAnsi="Calibri" w:eastAsia="Times New Roman" w:cs="Calibri"/>
          <w:b/>
          <w:bCs/>
          <w:color w:val="1D1D1B"/>
          <w:kern w:val="0"/>
          <w:sz w:val="22"/>
          <w:szCs w:val="22"/>
          <w:lang w:val="es-ES" w:eastAsia="en-GB"/>
          <w14:ligatures w14:val="none"/>
        </w:rPr>
        <w:t xml:space="preserve"> Symonds </w:t>
      </w:r>
      <w:r w:rsidRPr="00086132">
        <w:rPr>
          <w:rFonts w:ascii="Calibri" w:hAnsi="Calibri" w:eastAsia="Times New Roman" w:cs="Calibri"/>
          <w:color w:val="1D1D1B"/>
          <w:kern w:val="0"/>
          <w:sz w:val="22"/>
          <w:szCs w:val="22"/>
          <w:lang w:val="es-ES" w:eastAsia="en-GB"/>
          <w14:ligatures w14:val="none"/>
        </w:rPr>
        <w:t>es el proveedor líder mundial de servicios, análisis e información para el sector de la educación superior global, cuya misión es empoderar a personas motivadas de cualquier parte del mundo para que alcancen su potencial a través de los logros educativos, la movilidad internacional y el desarrollo profesiona</w:t>
      </w:r>
      <w:r w:rsidR="00263D7F">
        <w:rPr>
          <w:rFonts w:ascii="Calibri" w:hAnsi="Calibri" w:eastAsia="Times New Roman" w:cs="Calibri"/>
          <w:color w:val="1D1D1B"/>
          <w:kern w:val="0"/>
          <w:sz w:val="22"/>
          <w:szCs w:val="22"/>
          <w:lang w:val="es-ES" w:eastAsia="en-GB"/>
          <w14:ligatures w14:val="none"/>
        </w:rPr>
        <w:t>l.</w:t>
      </w:r>
    </w:p>
    <w:p w:rsidR="001C4444" w:rsidP="001C4444" w:rsidRDefault="001C4444" w14:paraId="4932DBEC" w14:textId="660B48CC">
      <w:pPr>
        <w:textAlignment w:val="baseline"/>
        <w:rPr>
          <w:rFonts w:ascii="Calibri" w:hAnsi="Calibri" w:eastAsia="Times New Roman" w:cs="Calibri"/>
          <w:color w:val="1D1D1B"/>
          <w:kern w:val="0"/>
          <w:sz w:val="22"/>
          <w:szCs w:val="22"/>
          <w:lang w:val="es-ES" w:eastAsia="en-GB"/>
          <w14:ligatures w14:val="none"/>
        </w:rPr>
      </w:pPr>
      <w:r w:rsidRPr="00086132">
        <w:rPr>
          <w:rFonts w:ascii="Calibri" w:hAnsi="Calibri" w:eastAsia="Times New Roman" w:cs="Calibri"/>
          <w:color w:val="1D1D1B"/>
          <w:kern w:val="0"/>
          <w:sz w:val="22"/>
          <w:szCs w:val="22"/>
          <w:lang w:val="es-ES" w:eastAsia="en-GB"/>
          <w14:ligatures w14:val="none"/>
        </w:rPr>
        <w:t xml:space="preserve">La cartera de </w:t>
      </w:r>
      <w:r w:rsidR="00263D7F">
        <w:rPr>
          <w:rFonts w:ascii="Calibri" w:hAnsi="Calibri" w:eastAsia="Times New Roman" w:cs="Calibri"/>
          <w:color w:val="1D1D1B"/>
          <w:kern w:val="0"/>
          <w:sz w:val="22"/>
          <w:szCs w:val="22"/>
          <w:lang w:val="es-ES" w:eastAsia="en-GB"/>
          <w14:ligatures w14:val="none"/>
        </w:rPr>
        <w:t>“</w:t>
      </w:r>
      <w:r w:rsidRPr="00086132">
        <w:rPr>
          <w:rFonts w:ascii="Calibri" w:hAnsi="Calibri" w:eastAsia="Times New Roman" w:cs="Calibri"/>
          <w:color w:val="1D1D1B"/>
          <w:kern w:val="0"/>
          <w:sz w:val="22"/>
          <w:szCs w:val="22"/>
          <w:lang w:val="es-ES" w:eastAsia="en-GB"/>
          <w14:ligatures w14:val="none"/>
        </w:rPr>
        <w:t>QS World University Rankings</w:t>
      </w:r>
      <w:r w:rsidR="00263D7F">
        <w:rPr>
          <w:rFonts w:ascii="Calibri" w:hAnsi="Calibri" w:eastAsia="Times New Roman" w:cs="Calibri"/>
          <w:color w:val="1D1D1B"/>
          <w:kern w:val="0"/>
          <w:sz w:val="22"/>
          <w:szCs w:val="22"/>
          <w:lang w:val="es-ES" w:eastAsia="en-GB"/>
          <w14:ligatures w14:val="none"/>
        </w:rPr>
        <w:t>”</w:t>
      </w:r>
      <w:r w:rsidRPr="00086132">
        <w:rPr>
          <w:rFonts w:ascii="Calibri" w:hAnsi="Calibri" w:eastAsia="Times New Roman" w:cs="Calibri"/>
          <w:color w:val="1D1D1B"/>
          <w:kern w:val="0"/>
          <w:sz w:val="22"/>
          <w:szCs w:val="22"/>
          <w:lang w:val="es-ES" w:eastAsia="en-GB"/>
          <w14:ligatures w14:val="none"/>
        </w:rPr>
        <w:t>, inaugurada en 2004, es la fuente de datos comparativos sobre el rendimiento de las universidades más popular del mundo. Su sitio web insignia,</w:t>
      </w:r>
      <w:hyperlink w:tgtFrame="_blank" w:history="1" r:id="rId17">
        <w:r w:rsidRPr="00086132">
          <w:rPr>
            <w:rFonts w:ascii="Calibri" w:hAnsi="Calibri" w:eastAsia="Times New Roman" w:cs="Calibri"/>
            <w:color w:val="467886"/>
            <w:kern w:val="0"/>
            <w:sz w:val="22"/>
            <w:szCs w:val="22"/>
            <w:u w:val="single"/>
            <w:lang w:val="es-ES" w:eastAsia="en-GB"/>
            <w14:ligatures w14:val="none"/>
          </w:rPr>
          <w:t xml:space="preserve"> www.TopUniversities.com</w:t>
        </w:r>
      </w:hyperlink>
      <w:r w:rsidRPr="00086132">
        <w:rPr>
          <w:rFonts w:ascii="Calibri" w:hAnsi="Calibri" w:eastAsia="Times New Roman" w:cs="Calibri"/>
          <w:color w:val="1D1D1B"/>
          <w:kern w:val="0"/>
          <w:sz w:val="22"/>
          <w:szCs w:val="22"/>
          <w:lang w:val="es-ES" w:eastAsia="en-GB"/>
          <w14:ligatures w14:val="none"/>
        </w:rPr>
        <w:t xml:space="preserve"> —donde se publican sus </w:t>
      </w:r>
      <w:r w:rsidR="00263D7F">
        <w:rPr>
          <w:rFonts w:ascii="Calibri" w:hAnsi="Calibri" w:eastAsia="Times New Roman" w:cs="Calibri"/>
          <w:color w:val="1D1D1B"/>
          <w:kern w:val="0"/>
          <w:sz w:val="22"/>
          <w:szCs w:val="22"/>
          <w:lang w:val="es-ES" w:eastAsia="en-GB"/>
          <w14:ligatures w14:val="none"/>
        </w:rPr>
        <w:t>rankings</w:t>
      </w:r>
      <w:r w:rsidRPr="00086132">
        <w:rPr>
          <w:rFonts w:ascii="Calibri" w:hAnsi="Calibri" w:eastAsia="Times New Roman" w:cs="Calibri"/>
          <w:color w:val="1D1D1B"/>
          <w:kern w:val="0"/>
          <w:sz w:val="22"/>
          <w:szCs w:val="22"/>
          <w:lang w:val="es-ES" w:eastAsia="en-GB"/>
          <w14:ligatures w14:val="none"/>
        </w:rPr>
        <w:t>—, recibió más de 120 millones de visitas en 2024, y en 2025 los medios de comunicación de todo el mundo publicaron más de 135000 recortes de prensa relacionados con QS o en los que se mencionaba a la empresa.</w:t>
      </w:r>
    </w:p>
    <w:p w:rsidRPr="00086132" w:rsidR="00263D7F" w:rsidP="001C4444" w:rsidRDefault="00263D7F" w14:paraId="132AA72F" w14:textId="77777777">
      <w:pPr>
        <w:textAlignment w:val="baseline"/>
        <w:rPr>
          <w:rFonts w:ascii="Segoe UI" w:hAnsi="Segoe UI" w:eastAsia="Times New Roman" w:cs="Segoe UI"/>
          <w:kern w:val="0"/>
          <w:sz w:val="18"/>
          <w:szCs w:val="18"/>
          <w:lang w:val="es-ES" w:eastAsia="en-GB"/>
          <w14:ligatures w14:val="none"/>
        </w:rPr>
      </w:pPr>
    </w:p>
    <w:sectPr w:rsidRPr="00086132" w:rsidR="00263D7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d Hat Text">
    <w:panose1 w:val="02010303040201060303"/>
    <w:charset w:val="00"/>
    <w:family w:val="auto"/>
    <w:pitch w:val="variable"/>
    <w:sig w:usb0="A000006F" w:usb1="4000006B" w:usb2="0000002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C44"/>
    <w:multiLevelType w:val="multilevel"/>
    <w:tmpl w:val="E7ECD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0540A5"/>
    <w:multiLevelType w:val="hybridMultilevel"/>
    <w:tmpl w:val="5ADE64AC"/>
    <w:lvl w:ilvl="0" w:tplc="7A22E3DC">
      <w:start w:val="1"/>
      <w:numFmt w:val="bullet"/>
      <w:lvlText w:val=""/>
      <w:lvlJc w:val="left"/>
      <w:pPr>
        <w:ind w:left="720" w:hanging="360"/>
      </w:pPr>
      <w:rPr>
        <w:rFonts w:hint="default" w:ascii="Symbol" w:hAnsi="Symbol"/>
      </w:rPr>
    </w:lvl>
    <w:lvl w:ilvl="1" w:tplc="052EFA2A">
      <w:start w:val="1"/>
      <w:numFmt w:val="bullet"/>
      <w:lvlText w:val="o"/>
      <w:lvlJc w:val="left"/>
      <w:pPr>
        <w:ind w:left="1440" w:hanging="360"/>
      </w:pPr>
      <w:rPr>
        <w:rFonts w:hint="default" w:ascii="Courier New" w:hAnsi="Courier New"/>
      </w:rPr>
    </w:lvl>
    <w:lvl w:ilvl="2" w:tplc="C5A6251A">
      <w:start w:val="1"/>
      <w:numFmt w:val="bullet"/>
      <w:lvlText w:val=""/>
      <w:lvlJc w:val="left"/>
      <w:pPr>
        <w:ind w:left="2160" w:hanging="360"/>
      </w:pPr>
      <w:rPr>
        <w:rFonts w:hint="default" w:ascii="Wingdings" w:hAnsi="Wingdings"/>
      </w:rPr>
    </w:lvl>
    <w:lvl w:ilvl="3" w:tplc="9932AC32">
      <w:start w:val="1"/>
      <w:numFmt w:val="bullet"/>
      <w:lvlText w:val=""/>
      <w:lvlJc w:val="left"/>
      <w:pPr>
        <w:ind w:left="2880" w:hanging="360"/>
      </w:pPr>
      <w:rPr>
        <w:rFonts w:hint="default" w:ascii="Symbol" w:hAnsi="Symbol"/>
      </w:rPr>
    </w:lvl>
    <w:lvl w:ilvl="4" w:tplc="86A4A8DC">
      <w:start w:val="1"/>
      <w:numFmt w:val="bullet"/>
      <w:lvlText w:val="o"/>
      <w:lvlJc w:val="left"/>
      <w:pPr>
        <w:ind w:left="3600" w:hanging="360"/>
      </w:pPr>
      <w:rPr>
        <w:rFonts w:hint="default" w:ascii="Courier New" w:hAnsi="Courier New"/>
      </w:rPr>
    </w:lvl>
    <w:lvl w:ilvl="5" w:tplc="71A67A2C">
      <w:start w:val="1"/>
      <w:numFmt w:val="bullet"/>
      <w:lvlText w:val=""/>
      <w:lvlJc w:val="left"/>
      <w:pPr>
        <w:ind w:left="4320" w:hanging="360"/>
      </w:pPr>
      <w:rPr>
        <w:rFonts w:hint="default" w:ascii="Wingdings" w:hAnsi="Wingdings"/>
      </w:rPr>
    </w:lvl>
    <w:lvl w:ilvl="6" w:tplc="45A8A334">
      <w:start w:val="1"/>
      <w:numFmt w:val="bullet"/>
      <w:lvlText w:val=""/>
      <w:lvlJc w:val="left"/>
      <w:pPr>
        <w:ind w:left="5040" w:hanging="360"/>
      </w:pPr>
      <w:rPr>
        <w:rFonts w:hint="default" w:ascii="Symbol" w:hAnsi="Symbol"/>
      </w:rPr>
    </w:lvl>
    <w:lvl w:ilvl="7" w:tplc="B412A8AE">
      <w:start w:val="1"/>
      <w:numFmt w:val="bullet"/>
      <w:lvlText w:val="o"/>
      <w:lvlJc w:val="left"/>
      <w:pPr>
        <w:ind w:left="5760" w:hanging="360"/>
      </w:pPr>
      <w:rPr>
        <w:rFonts w:hint="default" w:ascii="Courier New" w:hAnsi="Courier New"/>
      </w:rPr>
    </w:lvl>
    <w:lvl w:ilvl="8" w:tplc="BD74B2BA">
      <w:start w:val="1"/>
      <w:numFmt w:val="bullet"/>
      <w:lvlText w:val=""/>
      <w:lvlJc w:val="left"/>
      <w:pPr>
        <w:ind w:left="6480" w:hanging="360"/>
      </w:pPr>
      <w:rPr>
        <w:rFonts w:hint="default" w:ascii="Wingdings" w:hAnsi="Wingdings"/>
      </w:rPr>
    </w:lvl>
  </w:abstractNum>
  <w:abstractNum w:abstractNumId="2" w15:restartNumberingAfterBreak="0">
    <w:nsid w:val="244221BF"/>
    <w:multiLevelType w:val="multilevel"/>
    <w:tmpl w:val="B1B87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5F5B17D"/>
    <w:multiLevelType w:val="hybridMultilevel"/>
    <w:tmpl w:val="D7567D94"/>
    <w:lvl w:ilvl="0" w:tplc="30AA3404">
      <w:start w:val="1"/>
      <w:numFmt w:val="bullet"/>
      <w:lvlText w:val=""/>
      <w:lvlJc w:val="left"/>
      <w:pPr>
        <w:ind w:left="720" w:hanging="360"/>
      </w:pPr>
      <w:rPr>
        <w:rFonts w:hint="default" w:ascii="Symbol" w:hAnsi="Symbol"/>
      </w:rPr>
    </w:lvl>
    <w:lvl w:ilvl="1" w:tplc="F08E113C">
      <w:start w:val="1"/>
      <w:numFmt w:val="bullet"/>
      <w:lvlText w:val="o"/>
      <w:lvlJc w:val="left"/>
      <w:pPr>
        <w:ind w:left="1440" w:hanging="360"/>
      </w:pPr>
      <w:rPr>
        <w:rFonts w:hint="default" w:ascii="Courier New" w:hAnsi="Courier New"/>
      </w:rPr>
    </w:lvl>
    <w:lvl w:ilvl="2" w:tplc="B19AE6D4">
      <w:start w:val="1"/>
      <w:numFmt w:val="bullet"/>
      <w:lvlText w:val=""/>
      <w:lvlJc w:val="left"/>
      <w:pPr>
        <w:ind w:left="2160" w:hanging="360"/>
      </w:pPr>
      <w:rPr>
        <w:rFonts w:hint="default" w:ascii="Wingdings" w:hAnsi="Wingdings"/>
      </w:rPr>
    </w:lvl>
    <w:lvl w:ilvl="3" w:tplc="EBCECC6E">
      <w:start w:val="1"/>
      <w:numFmt w:val="bullet"/>
      <w:lvlText w:val=""/>
      <w:lvlJc w:val="left"/>
      <w:pPr>
        <w:ind w:left="2880" w:hanging="360"/>
      </w:pPr>
      <w:rPr>
        <w:rFonts w:hint="default" w:ascii="Symbol" w:hAnsi="Symbol"/>
      </w:rPr>
    </w:lvl>
    <w:lvl w:ilvl="4" w:tplc="48C643DA">
      <w:start w:val="1"/>
      <w:numFmt w:val="bullet"/>
      <w:lvlText w:val="o"/>
      <w:lvlJc w:val="left"/>
      <w:pPr>
        <w:ind w:left="3600" w:hanging="360"/>
      </w:pPr>
      <w:rPr>
        <w:rFonts w:hint="default" w:ascii="Courier New" w:hAnsi="Courier New"/>
      </w:rPr>
    </w:lvl>
    <w:lvl w:ilvl="5" w:tplc="79C890F2">
      <w:start w:val="1"/>
      <w:numFmt w:val="bullet"/>
      <w:lvlText w:val=""/>
      <w:lvlJc w:val="left"/>
      <w:pPr>
        <w:ind w:left="4320" w:hanging="360"/>
      </w:pPr>
      <w:rPr>
        <w:rFonts w:hint="default" w:ascii="Wingdings" w:hAnsi="Wingdings"/>
      </w:rPr>
    </w:lvl>
    <w:lvl w:ilvl="6" w:tplc="32A436B4">
      <w:start w:val="1"/>
      <w:numFmt w:val="bullet"/>
      <w:lvlText w:val=""/>
      <w:lvlJc w:val="left"/>
      <w:pPr>
        <w:ind w:left="5040" w:hanging="360"/>
      </w:pPr>
      <w:rPr>
        <w:rFonts w:hint="default" w:ascii="Symbol" w:hAnsi="Symbol"/>
      </w:rPr>
    </w:lvl>
    <w:lvl w:ilvl="7" w:tplc="0CD82A06">
      <w:start w:val="1"/>
      <w:numFmt w:val="bullet"/>
      <w:lvlText w:val="o"/>
      <w:lvlJc w:val="left"/>
      <w:pPr>
        <w:ind w:left="5760" w:hanging="360"/>
      </w:pPr>
      <w:rPr>
        <w:rFonts w:hint="default" w:ascii="Courier New" w:hAnsi="Courier New"/>
      </w:rPr>
    </w:lvl>
    <w:lvl w:ilvl="8" w:tplc="6F7EAE76">
      <w:start w:val="1"/>
      <w:numFmt w:val="bullet"/>
      <w:lvlText w:val=""/>
      <w:lvlJc w:val="left"/>
      <w:pPr>
        <w:ind w:left="6480" w:hanging="360"/>
      </w:pPr>
      <w:rPr>
        <w:rFonts w:hint="default" w:ascii="Wingdings" w:hAnsi="Wingdings"/>
      </w:rPr>
    </w:lvl>
  </w:abstractNum>
  <w:abstractNum w:abstractNumId="4" w15:restartNumberingAfterBreak="0">
    <w:nsid w:val="3A2E46E2"/>
    <w:multiLevelType w:val="hybridMultilevel"/>
    <w:tmpl w:val="342836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3F3040"/>
    <w:multiLevelType w:val="multilevel"/>
    <w:tmpl w:val="8654D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F381026"/>
    <w:multiLevelType w:val="hybridMultilevel"/>
    <w:tmpl w:val="A4667B86"/>
    <w:lvl w:ilvl="0" w:tplc="4B824304">
      <w:start w:val="1"/>
      <w:numFmt w:val="bullet"/>
      <w:lvlText w:val=""/>
      <w:lvlJc w:val="left"/>
      <w:pPr>
        <w:ind w:left="720" w:hanging="360"/>
      </w:pPr>
      <w:rPr>
        <w:rFonts w:hint="default" w:ascii="Symbol" w:hAnsi="Symbol"/>
      </w:rPr>
    </w:lvl>
    <w:lvl w:ilvl="1" w:tplc="7C2410E6">
      <w:start w:val="1"/>
      <w:numFmt w:val="bullet"/>
      <w:lvlText w:val="o"/>
      <w:lvlJc w:val="left"/>
      <w:pPr>
        <w:ind w:left="1440" w:hanging="360"/>
      </w:pPr>
      <w:rPr>
        <w:rFonts w:hint="default" w:ascii="Courier New" w:hAnsi="Courier New"/>
      </w:rPr>
    </w:lvl>
    <w:lvl w:ilvl="2" w:tplc="B3CE96C2">
      <w:start w:val="1"/>
      <w:numFmt w:val="bullet"/>
      <w:lvlText w:val=""/>
      <w:lvlJc w:val="left"/>
      <w:pPr>
        <w:ind w:left="2160" w:hanging="360"/>
      </w:pPr>
      <w:rPr>
        <w:rFonts w:hint="default" w:ascii="Wingdings" w:hAnsi="Wingdings"/>
      </w:rPr>
    </w:lvl>
    <w:lvl w:ilvl="3" w:tplc="37D68192">
      <w:start w:val="1"/>
      <w:numFmt w:val="bullet"/>
      <w:lvlText w:val=""/>
      <w:lvlJc w:val="left"/>
      <w:pPr>
        <w:ind w:left="2880" w:hanging="360"/>
      </w:pPr>
      <w:rPr>
        <w:rFonts w:hint="default" w:ascii="Symbol" w:hAnsi="Symbol"/>
      </w:rPr>
    </w:lvl>
    <w:lvl w:ilvl="4" w:tplc="29AAA95E">
      <w:start w:val="1"/>
      <w:numFmt w:val="bullet"/>
      <w:lvlText w:val="o"/>
      <w:lvlJc w:val="left"/>
      <w:pPr>
        <w:ind w:left="3600" w:hanging="360"/>
      </w:pPr>
      <w:rPr>
        <w:rFonts w:hint="default" w:ascii="Courier New" w:hAnsi="Courier New"/>
      </w:rPr>
    </w:lvl>
    <w:lvl w:ilvl="5" w:tplc="1966A038">
      <w:start w:val="1"/>
      <w:numFmt w:val="bullet"/>
      <w:lvlText w:val=""/>
      <w:lvlJc w:val="left"/>
      <w:pPr>
        <w:ind w:left="4320" w:hanging="360"/>
      </w:pPr>
      <w:rPr>
        <w:rFonts w:hint="default" w:ascii="Wingdings" w:hAnsi="Wingdings"/>
      </w:rPr>
    </w:lvl>
    <w:lvl w:ilvl="6" w:tplc="FB7C73F8">
      <w:start w:val="1"/>
      <w:numFmt w:val="bullet"/>
      <w:lvlText w:val=""/>
      <w:lvlJc w:val="left"/>
      <w:pPr>
        <w:ind w:left="5040" w:hanging="360"/>
      </w:pPr>
      <w:rPr>
        <w:rFonts w:hint="default" w:ascii="Symbol" w:hAnsi="Symbol"/>
      </w:rPr>
    </w:lvl>
    <w:lvl w:ilvl="7" w:tplc="4A980576">
      <w:start w:val="1"/>
      <w:numFmt w:val="bullet"/>
      <w:lvlText w:val="o"/>
      <w:lvlJc w:val="left"/>
      <w:pPr>
        <w:ind w:left="5760" w:hanging="360"/>
      </w:pPr>
      <w:rPr>
        <w:rFonts w:hint="default" w:ascii="Courier New" w:hAnsi="Courier New"/>
      </w:rPr>
    </w:lvl>
    <w:lvl w:ilvl="8" w:tplc="CAAE1B88">
      <w:start w:val="1"/>
      <w:numFmt w:val="bullet"/>
      <w:lvlText w:val=""/>
      <w:lvlJc w:val="left"/>
      <w:pPr>
        <w:ind w:left="6480" w:hanging="360"/>
      </w:pPr>
      <w:rPr>
        <w:rFonts w:hint="default" w:ascii="Wingdings" w:hAnsi="Wingdings"/>
      </w:rPr>
    </w:lvl>
  </w:abstractNum>
  <w:abstractNum w:abstractNumId="7" w15:restartNumberingAfterBreak="0">
    <w:nsid w:val="43794B5D"/>
    <w:multiLevelType w:val="multilevel"/>
    <w:tmpl w:val="02802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07B5698"/>
    <w:multiLevelType w:val="multilevel"/>
    <w:tmpl w:val="B1B87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3FC9BCE"/>
    <w:multiLevelType w:val="hybridMultilevel"/>
    <w:tmpl w:val="2AF8FB72"/>
    <w:lvl w:ilvl="0" w:tplc="0E0AEA52">
      <w:start w:val="1"/>
      <w:numFmt w:val="bullet"/>
      <w:lvlText w:val=""/>
      <w:lvlJc w:val="left"/>
      <w:pPr>
        <w:ind w:left="720" w:hanging="360"/>
      </w:pPr>
      <w:rPr>
        <w:rFonts w:hint="default" w:ascii="Symbol" w:hAnsi="Symbol"/>
      </w:rPr>
    </w:lvl>
    <w:lvl w:ilvl="1" w:tplc="CB308200">
      <w:start w:val="1"/>
      <w:numFmt w:val="bullet"/>
      <w:lvlText w:val="o"/>
      <w:lvlJc w:val="left"/>
      <w:pPr>
        <w:ind w:left="1440" w:hanging="360"/>
      </w:pPr>
      <w:rPr>
        <w:rFonts w:hint="default" w:ascii="Courier New" w:hAnsi="Courier New"/>
      </w:rPr>
    </w:lvl>
    <w:lvl w:ilvl="2" w:tplc="DAF44412">
      <w:start w:val="1"/>
      <w:numFmt w:val="bullet"/>
      <w:lvlText w:val=""/>
      <w:lvlJc w:val="left"/>
      <w:pPr>
        <w:ind w:left="2160" w:hanging="360"/>
      </w:pPr>
      <w:rPr>
        <w:rFonts w:hint="default" w:ascii="Wingdings" w:hAnsi="Wingdings"/>
      </w:rPr>
    </w:lvl>
    <w:lvl w:ilvl="3" w:tplc="F16EAB24">
      <w:start w:val="1"/>
      <w:numFmt w:val="bullet"/>
      <w:lvlText w:val=""/>
      <w:lvlJc w:val="left"/>
      <w:pPr>
        <w:ind w:left="2880" w:hanging="360"/>
      </w:pPr>
      <w:rPr>
        <w:rFonts w:hint="default" w:ascii="Symbol" w:hAnsi="Symbol"/>
      </w:rPr>
    </w:lvl>
    <w:lvl w:ilvl="4" w:tplc="1692611A">
      <w:start w:val="1"/>
      <w:numFmt w:val="bullet"/>
      <w:lvlText w:val="o"/>
      <w:lvlJc w:val="left"/>
      <w:pPr>
        <w:ind w:left="3600" w:hanging="360"/>
      </w:pPr>
      <w:rPr>
        <w:rFonts w:hint="default" w:ascii="Courier New" w:hAnsi="Courier New"/>
      </w:rPr>
    </w:lvl>
    <w:lvl w:ilvl="5" w:tplc="BB007EE6">
      <w:start w:val="1"/>
      <w:numFmt w:val="bullet"/>
      <w:lvlText w:val=""/>
      <w:lvlJc w:val="left"/>
      <w:pPr>
        <w:ind w:left="4320" w:hanging="360"/>
      </w:pPr>
      <w:rPr>
        <w:rFonts w:hint="default" w:ascii="Wingdings" w:hAnsi="Wingdings"/>
      </w:rPr>
    </w:lvl>
    <w:lvl w:ilvl="6" w:tplc="DB34E1F2">
      <w:start w:val="1"/>
      <w:numFmt w:val="bullet"/>
      <w:lvlText w:val=""/>
      <w:lvlJc w:val="left"/>
      <w:pPr>
        <w:ind w:left="5040" w:hanging="360"/>
      </w:pPr>
      <w:rPr>
        <w:rFonts w:hint="default" w:ascii="Symbol" w:hAnsi="Symbol"/>
      </w:rPr>
    </w:lvl>
    <w:lvl w:ilvl="7" w:tplc="7E261CF0">
      <w:start w:val="1"/>
      <w:numFmt w:val="bullet"/>
      <w:lvlText w:val="o"/>
      <w:lvlJc w:val="left"/>
      <w:pPr>
        <w:ind w:left="5760" w:hanging="360"/>
      </w:pPr>
      <w:rPr>
        <w:rFonts w:hint="default" w:ascii="Courier New" w:hAnsi="Courier New"/>
      </w:rPr>
    </w:lvl>
    <w:lvl w:ilvl="8" w:tplc="A07C1E3A">
      <w:start w:val="1"/>
      <w:numFmt w:val="bullet"/>
      <w:lvlText w:val=""/>
      <w:lvlJc w:val="left"/>
      <w:pPr>
        <w:ind w:left="6480" w:hanging="360"/>
      </w:pPr>
      <w:rPr>
        <w:rFonts w:hint="default" w:ascii="Wingdings" w:hAnsi="Wingdings"/>
      </w:rPr>
    </w:lvl>
  </w:abstractNum>
  <w:abstractNum w:abstractNumId="10" w15:restartNumberingAfterBreak="0">
    <w:nsid w:val="6D8E2FF5"/>
    <w:multiLevelType w:val="multilevel"/>
    <w:tmpl w:val="B1B87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69BB5C2"/>
    <w:multiLevelType w:val="hybridMultilevel"/>
    <w:tmpl w:val="3C1A1452"/>
    <w:lvl w:ilvl="0" w:tplc="F8E654D2">
      <w:start w:val="1"/>
      <w:numFmt w:val="bullet"/>
      <w:lvlText w:val=""/>
      <w:lvlJc w:val="left"/>
      <w:pPr>
        <w:ind w:left="720" w:hanging="360"/>
      </w:pPr>
      <w:rPr>
        <w:rFonts w:hint="default" w:ascii="Symbol" w:hAnsi="Symbol"/>
      </w:rPr>
    </w:lvl>
    <w:lvl w:ilvl="1" w:tplc="6D00333A">
      <w:start w:val="1"/>
      <w:numFmt w:val="bullet"/>
      <w:lvlText w:val="o"/>
      <w:lvlJc w:val="left"/>
      <w:pPr>
        <w:ind w:left="1440" w:hanging="360"/>
      </w:pPr>
      <w:rPr>
        <w:rFonts w:hint="default" w:ascii="Courier New" w:hAnsi="Courier New"/>
      </w:rPr>
    </w:lvl>
    <w:lvl w:ilvl="2" w:tplc="B68EFBD8">
      <w:start w:val="1"/>
      <w:numFmt w:val="bullet"/>
      <w:lvlText w:val=""/>
      <w:lvlJc w:val="left"/>
      <w:pPr>
        <w:ind w:left="2160" w:hanging="360"/>
      </w:pPr>
      <w:rPr>
        <w:rFonts w:hint="default" w:ascii="Wingdings" w:hAnsi="Wingdings"/>
      </w:rPr>
    </w:lvl>
    <w:lvl w:ilvl="3" w:tplc="51BAE1C2">
      <w:start w:val="1"/>
      <w:numFmt w:val="bullet"/>
      <w:lvlText w:val=""/>
      <w:lvlJc w:val="left"/>
      <w:pPr>
        <w:ind w:left="2880" w:hanging="360"/>
      </w:pPr>
      <w:rPr>
        <w:rFonts w:hint="default" w:ascii="Symbol" w:hAnsi="Symbol"/>
      </w:rPr>
    </w:lvl>
    <w:lvl w:ilvl="4" w:tplc="8CD8E22C">
      <w:start w:val="1"/>
      <w:numFmt w:val="bullet"/>
      <w:lvlText w:val="o"/>
      <w:lvlJc w:val="left"/>
      <w:pPr>
        <w:ind w:left="3600" w:hanging="360"/>
      </w:pPr>
      <w:rPr>
        <w:rFonts w:hint="default" w:ascii="Courier New" w:hAnsi="Courier New"/>
      </w:rPr>
    </w:lvl>
    <w:lvl w:ilvl="5" w:tplc="722A4FC2">
      <w:start w:val="1"/>
      <w:numFmt w:val="bullet"/>
      <w:lvlText w:val=""/>
      <w:lvlJc w:val="left"/>
      <w:pPr>
        <w:ind w:left="4320" w:hanging="360"/>
      </w:pPr>
      <w:rPr>
        <w:rFonts w:hint="default" w:ascii="Wingdings" w:hAnsi="Wingdings"/>
      </w:rPr>
    </w:lvl>
    <w:lvl w:ilvl="6" w:tplc="5A9A3278">
      <w:start w:val="1"/>
      <w:numFmt w:val="bullet"/>
      <w:lvlText w:val=""/>
      <w:lvlJc w:val="left"/>
      <w:pPr>
        <w:ind w:left="5040" w:hanging="360"/>
      </w:pPr>
      <w:rPr>
        <w:rFonts w:hint="default" w:ascii="Symbol" w:hAnsi="Symbol"/>
      </w:rPr>
    </w:lvl>
    <w:lvl w:ilvl="7" w:tplc="93E4067A">
      <w:start w:val="1"/>
      <w:numFmt w:val="bullet"/>
      <w:lvlText w:val="o"/>
      <w:lvlJc w:val="left"/>
      <w:pPr>
        <w:ind w:left="5760" w:hanging="360"/>
      </w:pPr>
      <w:rPr>
        <w:rFonts w:hint="default" w:ascii="Courier New" w:hAnsi="Courier New"/>
      </w:rPr>
    </w:lvl>
    <w:lvl w:ilvl="8" w:tplc="D2824340">
      <w:start w:val="1"/>
      <w:numFmt w:val="bullet"/>
      <w:lvlText w:val=""/>
      <w:lvlJc w:val="left"/>
      <w:pPr>
        <w:ind w:left="6480" w:hanging="360"/>
      </w:pPr>
      <w:rPr>
        <w:rFonts w:hint="default" w:ascii="Wingdings" w:hAnsi="Wingdings"/>
      </w:rPr>
    </w:lvl>
  </w:abstractNum>
  <w:abstractNum w:abstractNumId="12" w15:restartNumberingAfterBreak="0">
    <w:nsid w:val="776939B6"/>
    <w:multiLevelType w:val="hybridMultilevel"/>
    <w:tmpl w:val="622CA0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13767539">
    <w:abstractNumId w:val="3"/>
  </w:num>
  <w:num w:numId="2" w16cid:durableId="1278877172">
    <w:abstractNumId w:val="1"/>
  </w:num>
  <w:num w:numId="3" w16cid:durableId="280038842">
    <w:abstractNumId w:val="9"/>
  </w:num>
  <w:num w:numId="4" w16cid:durableId="116073382">
    <w:abstractNumId w:val="11"/>
  </w:num>
  <w:num w:numId="5" w16cid:durableId="2079935480">
    <w:abstractNumId w:val="6"/>
  </w:num>
  <w:num w:numId="6" w16cid:durableId="2083873707">
    <w:abstractNumId w:val="10"/>
  </w:num>
  <w:num w:numId="7" w16cid:durableId="717899755">
    <w:abstractNumId w:val="7"/>
  </w:num>
  <w:num w:numId="8" w16cid:durableId="785349783">
    <w:abstractNumId w:val="5"/>
  </w:num>
  <w:num w:numId="9" w16cid:durableId="749618025">
    <w:abstractNumId w:val="0"/>
  </w:num>
  <w:num w:numId="10" w16cid:durableId="1375886241">
    <w:abstractNumId w:val="12"/>
  </w:num>
  <w:num w:numId="11" w16cid:durableId="866411401">
    <w:abstractNumId w:val="4"/>
  </w:num>
  <w:num w:numId="12" w16cid:durableId="1256210633">
    <w:abstractNumId w:val="2"/>
  </w:num>
  <w:num w:numId="13" w16cid:durableId="124121650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97"/>
    <w:rsid w:val="00086132"/>
    <w:rsid w:val="0012396D"/>
    <w:rsid w:val="00154F97"/>
    <w:rsid w:val="001C4444"/>
    <w:rsid w:val="002038A9"/>
    <w:rsid w:val="00263D7F"/>
    <w:rsid w:val="004F60AE"/>
    <w:rsid w:val="00593CDC"/>
    <w:rsid w:val="005A298B"/>
    <w:rsid w:val="00645C68"/>
    <w:rsid w:val="0069360F"/>
    <w:rsid w:val="006A0633"/>
    <w:rsid w:val="006D4E89"/>
    <w:rsid w:val="00714150"/>
    <w:rsid w:val="00793AB0"/>
    <w:rsid w:val="00823001"/>
    <w:rsid w:val="00857E81"/>
    <w:rsid w:val="008A5A97"/>
    <w:rsid w:val="009120CE"/>
    <w:rsid w:val="00A63CF7"/>
    <w:rsid w:val="00A92749"/>
    <w:rsid w:val="00AD17FB"/>
    <w:rsid w:val="00AD6A16"/>
    <w:rsid w:val="00B03A7C"/>
    <w:rsid w:val="00B444D7"/>
    <w:rsid w:val="00BC3E1A"/>
    <w:rsid w:val="00CB506D"/>
    <w:rsid w:val="00ED786D"/>
    <w:rsid w:val="00FB3D2C"/>
    <w:rsid w:val="038EFBF3"/>
    <w:rsid w:val="03B9D1A9"/>
    <w:rsid w:val="05610078"/>
    <w:rsid w:val="1649CB92"/>
    <w:rsid w:val="167A4D3E"/>
    <w:rsid w:val="17E8E5B5"/>
    <w:rsid w:val="19E40377"/>
    <w:rsid w:val="1B8E0276"/>
    <w:rsid w:val="2391B16F"/>
    <w:rsid w:val="2AFD4C54"/>
    <w:rsid w:val="2C7D2B67"/>
    <w:rsid w:val="332083E9"/>
    <w:rsid w:val="33A88A3C"/>
    <w:rsid w:val="33F7F51A"/>
    <w:rsid w:val="353B4763"/>
    <w:rsid w:val="3C297731"/>
    <w:rsid w:val="3C83EC2D"/>
    <w:rsid w:val="3FA04752"/>
    <w:rsid w:val="4432C2E3"/>
    <w:rsid w:val="48D6C14A"/>
    <w:rsid w:val="49F73FBE"/>
    <w:rsid w:val="4AE0A751"/>
    <w:rsid w:val="4C57F43A"/>
    <w:rsid w:val="4E7AB60A"/>
    <w:rsid w:val="4E8DA64D"/>
    <w:rsid w:val="514F70D4"/>
    <w:rsid w:val="572ED432"/>
    <w:rsid w:val="5ACE0804"/>
    <w:rsid w:val="6062FC47"/>
    <w:rsid w:val="615351E5"/>
    <w:rsid w:val="61E66F8C"/>
    <w:rsid w:val="65BF3CD7"/>
    <w:rsid w:val="6A5C2900"/>
    <w:rsid w:val="6E821C8D"/>
    <w:rsid w:val="7258E878"/>
    <w:rsid w:val="7272391B"/>
    <w:rsid w:val="763B86C7"/>
    <w:rsid w:val="7EF75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6D62"/>
  <w15:chartTrackingRefBased/>
  <w15:docId w15:val="{1462D4AD-CD6C-4031-B478-A393AD7560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54F9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F9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F9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4F9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4F9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4F9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4F9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4F9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4F9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4F9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4F9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4F97"/>
    <w:rPr>
      <w:rFonts w:eastAsiaTheme="majorEastAsia" w:cstheme="majorBidi"/>
      <w:color w:val="272727" w:themeColor="text1" w:themeTint="D8"/>
    </w:rPr>
  </w:style>
  <w:style w:type="paragraph" w:styleId="Title">
    <w:name w:val="Title"/>
    <w:basedOn w:val="Normal"/>
    <w:next w:val="Normal"/>
    <w:link w:val="TitleChar"/>
    <w:uiPriority w:val="10"/>
    <w:qFormat/>
    <w:rsid w:val="00154F9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54F9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4F9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54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F97"/>
    <w:pPr>
      <w:spacing w:before="160"/>
      <w:jc w:val="center"/>
    </w:pPr>
    <w:rPr>
      <w:i/>
      <w:iCs/>
      <w:color w:val="404040" w:themeColor="text1" w:themeTint="BF"/>
    </w:rPr>
  </w:style>
  <w:style w:type="character" w:styleId="QuoteChar" w:customStyle="1">
    <w:name w:val="Quote Char"/>
    <w:basedOn w:val="DefaultParagraphFont"/>
    <w:link w:val="Quote"/>
    <w:uiPriority w:val="29"/>
    <w:rsid w:val="00154F97"/>
    <w:rPr>
      <w:i/>
      <w:iCs/>
      <w:color w:val="404040" w:themeColor="text1" w:themeTint="BF"/>
    </w:rPr>
  </w:style>
  <w:style w:type="paragraph" w:styleId="ListParagraph">
    <w:name w:val="List Paragraph"/>
    <w:basedOn w:val="Normal"/>
    <w:uiPriority w:val="34"/>
    <w:qFormat/>
    <w:rsid w:val="00154F97"/>
    <w:pPr>
      <w:ind w:left="720"/>
      <w:contextualSpacing/>
    </w:pPr>
  </w:style>
  <w:style w:type="character" w:styleId="IntenseEmphasis">
    <w:name w:val="Intense Emphasis"/>
    <w:basedOn w:val="DefaultParagraphFont"/>
    <w:uiPriority w:val="21"/>
    <w:qFormat/>
    <w:rsid w:val="00154F97"/>
    <w:rPr>
      <w:i/>
      <w:iCs/>
      <w:color w:val="0F4761" w:themeColor="accent1" w:themeShade="BF"/>
    </w:rPr>
  </w:style>
  <w:style w:type="paragraph" w:styleId="IntenseQuote">
    <w:name w:val="Intense Quote"/>
    <w:basedOn w:val="Normal"/>
    <w:next w:val="Normal"/>
    <w:link w:val="IntenseQuoteChar"/>
    <w:uiPriority w:val="30"/>
    <w:qFormat/>
    <w:rsid w:val="00154F9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54F97"/>
    <w:rPr>
      <w:i/>
      <w:iCs/>
      <w:color w:val="0F4761" w:themeColor="accent1" w:themeShade="BF"/>
    </w:rPr>
  </w:style>
  <w:style w:type="character" w:styleId="IntenseReference">
    <w:name w:val="Intense Reference"/>
    <w:basedOn w:val="DefaultParagraphFont"/>
    <w:uiPriority w:val="32"/>
    <w:qFormat/>
    <w:rsid w:val="00154F97"/>
    <w:rPr>
      <w:b/>
      <w:bCs/>
      <w:smallCaps/>
      <w:color w:val="0F4761" w:themeColor="accent1" w:themeShade="BF"/>
      <w:spacing w:val="5"/>
    </w:rPr>
  </w:style>
  <w:style w:type="paragraph" w:styleId="paragraph" w:customStyle="1">
    <w:name w:val="paragraph"/>
    <w:basedOn w:val="Normal"/>
    <w:rsid w:val="005A298B"/>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5A298B"/>
  </w:style>
  <w:style w:type="character" w:styleId="eop" w:customStyle="1">
    <w:name w:val="eop"/>
    <w:basedOn w:val="DefaultParagraphFont"/>
    <w:rsid w:val="005A298B"/>
  </w:style>
  <w:style w:type="character" w:styleId="scxw105686034" w:customStyle="1">
    <w:name w:val="scxw105686034"/>
    <w:basedOn w:val="DefaultParagraphFont"/>
    <w:rsid w:val="005A298B"/>
  </w:style>
  <w:style w:type="character" w:styleId="CommentReference">
    <w:name w:val="Comment Reference"/>
    <w:basedOn w:val="DefaultParagraphFont"/>
    <w:uiPriority w:val="99"/>
    <w:semiHidden/>
    <w:unhideWhenUsed/>
    <w:rsid w:val="005A298B"/>
    <w:rPr>
      <w:sz w:val="16"/>
      <w:szCs w:val="16"/>
    </w:rPr>
  </w:style>
  <w:style w:type="paragraph" w:styleId="CommentText">
    <w:name w:val="Comment Text"/>
    <w:basedOn w:val="Normal"/>
    <w:link w:val="CommentTextChar"/>
    <w:uiPriority w:val="99"/>
    <w:unhideWhenUsed/>
    <w:rsid w:val="005A298B"/>
    <w:pPr>
      <w:spacing w:line="240" w:lineRule="auto"/>
    </w:pPr>
    <w:rPr>
      <w:sz w:val="20"/>
      <w:szCs w:val="20"/>
    </w:rPr>
  </w:style>
  <w:style w:type="character" w:styleId="CommentTextChar" w:customStyle="1">
    <w:name w:val="Comment Text Char"/>
    <w:basedOn w:val="DefaultParagraphFont"/>
    <w:link w:val="CommentText"/>
    <w:uiPriority w:val="99"/>
    <w:rsid w:val="005A298B"/>
    <w:rPr>
      <w:sz w:val="20"/>
      <w:szCs w:val="20"/>
    </w:rPr>
  </w:style>
  <w:style w:type="paragraph" w:styleId="CommentSubject">
    <w:name w:val="Comment Subject"/>
    <w:basedOn w:val="CommentText"/>
    <w:next w:val="CommentText"/>
    <w:link w:val="CommentSubjectChar"/>
    <w:uiPriority w:val="99"/>
    <w:semiHidden/>
    <w:unhideWhenUsed/>
    <w:rsid w:val="005A298B"/>
    <w:rPr>
      <w:b/>
      <w:bCs/>
    </w:rPr>
  </w:style>
  <w:style w:type="character" w:styleId="CommentSubjectChar" w:customStyle="1">
    <w:name w:val="Comment Subject Char"/>
    <w:basedOn w:val="CommentTextChar"/>
    <w:link w:val="CommentSubject"/>
    <w:uiPriority w:val="99"/>
    <w:semiHidden/>
    <w:rsid w:val="005A298B"/>
    <w:rPr>
      <w:b/>
      <w:bCs/>
      <w:sz w:val="20"/>
      <w:szCs w:val="20"/>
    </w:rPr>
  </w:style>
  <w:style w:type="character" w:styleId="Hyperlink">
    <w:name w:val="Hyperlink"/>
    <w:basedOn w:val="DefaultParagraphFont"/>
    <w:uiPriority w:val="99"/>
    <w:unhideWhenUsed/>
    <w:rsid w:val="00793AB0"/>
    <w:rPr>
      <w:color w:val="467886" w:themeColor="hyperlink"/>
      <w:u w:val="single"/>
    </w:rPr>
  </w:style>
  <w:style w:type="character" w:styleId="UnresolvedMention">
    <w:name w:val="Unresolved Mention"/>
    <w:basedOn w:val="DefaultParagraphFont"/>
    <w:uiPriority w:val="99"/>
    <w:semiHidden/>
    <w:unhideWhenUsed/>
    <w:rsid w:val="00793AB0"/>
    <w:rPr>
      <w:color w:val="605E5C"/>
      <w:shd w:val="clear" w:color="auto" w:fill="E1DFDD"/>
    </w:rPr>
  </w:style>
  <w:style w:type="character" w:styleId="FollowedHyperlink">
    <w:name w:val="FollowedHyperlink"/>
    <w:basedOn w:val="DefaultParagraphFont"/>
    <w:uiPriority w:val="99"/>
    <w:semiHidden/>
    <w:unhideWhenUsed/>
    <w:rsid w:val="001C4444"/>
    <w:rPr>
      <w:color w:val="96607D" w:themeColor="followedHyperlink"/>
      <w:u w:val="single"/>
    </w:rPr>
  </w:style>
  <w:style w:type="character" w:styleId="whitespace-normal" w:customStyle="1">
    <w:name w:val="whitespace-normal"/>
    <w:basedOn w:val="DefaultParagraphFont"/>
    <w:rsid w:val="001C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opuniversities.com/world-university-rankings" TargetMode="External" Id="rId8" /><Relationship Type="http://schemas.openxmlformats.org/officeDocument/2006/relationships/hyperlink" Target="https://www.topuniversities.com/world-university-ranking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topuniversities.com/world-university-rankings/methodology" TargetMode="External" Id="rId12" /><Relationship Type="http://schemas.openxmlformats.org/officeDocument/2006/relationships/hyperlink" Target="http://www.topuniversities.com/" TargetMode="External" Id="rId17" /><Relationship Type="http://schemas.openxmlformats.org/officeDocument/2006/relationships/customXml" Target="../customXml/item2.xml" Id="rId2" /><Relationship Type="http://schemas.openxmlformats.org/officeDocument/2006/relationships/hyperlink" Target="mailto:William.barbieri@qs.com"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opuniversities.com/world-university-rankings/methodology" TargetMode="External" Id="rId11" /><Relationship Type="http://schemas.openxmlformats.org/officeDocument/2006/relationships/styles" Target="styles.xml" Id="rId5" /><Relationship Type="http://schemas.openxmlformats.org/officeDocument/2006/relationships/hyperlink" Target="https://www.linkedin.com/in/simona-bizzozero/" TargetMode="External" Id="rId15" /><Relationship Type="http://schemas.openxmlformats.org/officeDocument/2006/relationships/hyperlink" Target="https://www.oecd-ilibrary.org/en/publications/foundations-for-growth-and-competitiveness-2026_40a7532f-en/full-report/spain_54299696.htm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hyperlink" Target="https://www.ciencia.gob.es/en/Noticias/2024/abril/consejo-universidades.html" TargetMode="External" Id="rId9" /><Relationship Type="http://schemas.openxmlformats.org/officeDocument/2006/relationships/hyperlink" Target="mailto:simona@qs.com"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94950-892C-4B4A-8653-83AAAB0F5BFF}">
  <ds:schemaRefs>
    <ds:schemaRef ds:uri="http://schemas.microsoft.com/sharepoint/v3/contenttype/forms"/>
  </ds:schemaRefs>
</ds:datastoreItem>
</file>

<file path=customXml/itemProps2.xml><?xml version="1.0" encoding="utf-8"?>
<ds:datastoreItem xmlns:ds="http://schemas.openxmlformats.org/officeDocument/2006/customXml" ds:itemID="{3C99A5CD-1C7C-4F64-8975-61CCE622F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F913B-ABE1-42DE-8932-AD77FE69AA65}">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Quacquarelli-Symonds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docId:C6B12D4D1EEC041A54A719E9FD7E175A</cp:keywords>
  <dc:description/>
  <cp:lastModifiedBy>William Barbieri</cp:lastModifiedBy>
  <cp:revision>4</cp:revision>
  <dcterms:created xsi:type="dcterms:W3CDTF">2026-06-11T16:21:00Z</dcterms:created>
  <dcterms:modified xsi:type="dcterms:W3CDTF">2026-06-12T14:33:20Z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