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84E6" w14:textId="09CEA925" w:rsidR="23C77BED" w:rsidRDefault="23C77BED" w:rsidP="23C77BED">
      <w:pPr>
        <w:pStyle w:val="paragraph"/>
        <w:spacing w:before="0" w:beforeAutospacing="0" w:after="160" w:afterAutospacing="0" w:line="360" w:lineRule="auto"/>
        <w:jc w:val="both"/>
        <w:rPr>
          <w:rStyle w:val="normaltextrun"/>
          <w:rFonts w:ascii="PP Telegraf" w:eastAsia="PP Telegraf" w:hAnsi="PP Telegraf" w:cs="PP Telegraf"/>
          <w:b/>
          <w:bCs/>
          <w:color w:val="FF0000"/>
          <w:lang w:val="en-US"/>
        </w:rPr>
      </w:pPr>
    </w:p>
    <w:tbl>
      <w:tblPr>
        <w:tblW w:w="0" w:type="auto"/>
        <w:tblLook w:val="04A0" w:firstRow="1" w:lastRow="0" w:firstColumn="1" w:lastColumn="0" w:noHBand="0" w:noVBand="1"/>
      </w:tblPr>
      <w:tblGrid>
        <w:gridCol w:w="10456"/>
      </w:tblGrid>
      <w:tr w:rsidR="23C77BED" w14:paraId="6363833E" w14:textId="77777777" w:rsidTr="23C77BED">
        <w:trPr>
          <w:trHeight w:val="300"/>
        </w:trPr>
        <w:tc>
          <w:tcPr>
            <w:tcW w:w="10567" w:type="dxa"/>
            <w:tcBorders>
              <w:top w:val="single" w:sz="4" w:space="0" w:color="auto"/>
              <w:left w:val="single" w:sz="4" w:space="0" w:color="auto"/>
              <w:bottom w:val="single" w:sz="4" w:space="0" w:color="auto"/>
              <w:right w:val="single" w:sz="4" w:space="0" w:color="auto"/>
            </w:tcBorders>
            <w:shd w:val="clear" w:color="auto" w:fill="CC0000"/>
            <w:tcMar>
              <w:top w:w="90" w:type="dxa"/>
              <w:left w:w="100" w:type="dxa"/>
              <w:bottom w:w="90" w:type="dxa"/>
              <w:right w:w="100" w:type="dxa"/>
            </w:tcMar>
          </w:tcPr>
          <w:p w14:paraId="3696561C" w14:textId="3301A948" w:rsidR="23C77BED" w:rsidRDefault="23C77BED" w:rsidP="23C77BED">
            <w:pPr>
              <w:spacing w:after="0"/>
              <w:jc w:val="both"/>
              <w:rPr>
                <w:rFonts w:ascii="PP Telegraf" w:eastAsia="PP Telegraf" w:hAnsi="PP Telegraf" w:cs="PP Telegraf"/>
                <w:b/>
                <w:bCs/>
                <w:color w:val="FFFFFF" w:themeColor="background1"/>
              </w:rPr>
            </w:pPr>
            <w:r w:rsidRPr="00CA2A20">
              <w:rPr>
                <w:rFonts w:ascii="PP Telegraf" w:eastAsia="PP Telegraf" w:hAnsi="PP Telegraf" w:cs="PP Telegraf"/>
                <w:b/>
                <w:bCs/>
                <w:color w:val="FFFFFF" w:themeColor="background1"/>
                <w:lang w:val="de-DE"/>
              </w:rPr>
              <w:t xml:space="preserve">INFORMATION UNTER SPERRFRIST BIS DONNERSTAG, 18. </w:t>
            </w:r>
            <w:r w:rsidRPr="23C77BED">
              <w:rPr>
                <w:rFonts w:ascii="PP Telegraf" w:eastAsia="PP Telegraf" w:hAnsi="PP Telegraf" w:cs="PP Telegraf"/>
                <w:b/>
                <w:bCs/>
                <w:color w:val="FFFFFF" w:themeColor="background1"/>
              </w:rPr>
              <w:t>JUNI 2026, 01:01 UHR MESZ</w:t>
            </w:r>
          </w:p>
        </w:tc>
      </w:tr>
    </w:tbl>
    <w:p w14:paraId="236D7178" w14:textId="2298BE1B" w:rsidR="29442E25" w:rsidRDefault="29442E25" w:rsidP="23C77BED">
      <w:pPr>
        <w:spacing w:before="220" w:after="60"/>
        <w:jc w:val="both"/>
        <w:rPr>
          <w:rFonts w:ascii="PP Telegraf" w:eastAsia="PP Telegraf" w:hAnsi="PP Telegraf" w:cs="PP Telegraf"/>
        </w:rPr>
      </w:pPr>
      <w:r>
        <w:rPr>
          <w:noProof/>
        </w:rPr>
        <w:drawing>
          <wp:inline distT="0" distB="0" distL="0" distR="0" wp14:anchorId="6690104F" wp14:editId="73FA683D">
            <wp:extent cx="2209800" cy="714375"/>
            <wp:effectExtent l="0" t="0" r="0" b="0"/>
            <wp:docPr id="14139923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92379" name="Picture 1413992379"/>
                    <pic:cNvPicPr/>
                  </pic:nvPicPr>
                  <pic:blipFill>
                    <a:blip r:embed="rId8">
                      <a:extLst>
                        <a:ext uri="{28A0092B-C50C-407E-A947-70E740481C1C}">
                          <a14:useLocalDpi xmlns:a14="http://schemas.microsoft.com/office/drawing/2010/main"/>
                        </a:ext>
                      </a:extLst>
                    </a:blip>
                    <a:stretch>
                      <a:fillRect/>
                    </a:stretch>
                  </pic:blipFill>
                  <pic:spPr>
                    <a:xfrm>
                      <a:off x="0" y="0"/>
                      <a:ext cx="2209800" cy="714375"/>
                    </a:xfrm>
                    <a:prstGeom prst="rect">
                      <a:avLst/>
                    </a:prstGeom>
                  </pic:spPr>
                </pic:pic>
              </a:graphicData>
            </a:graphic>
          </wp:inline>
        </w:drawing>
      </w:r>
    </w:p>
    <w:p w14:paraId="293641DA" w14:textId="0F43A1C2" w:rsidR="29442E25" w:rsidRPr="00CA2A20" w:rsidRDefault="29442E25" w:rsidP="23C77BED">
      <w:pPr>
        <w:pBdr>
          <w:bottom w:val="single" w:sz="12" w:space="1" w:color="F5A623"/>
        </w:pBdr>
        <w:spacing w:before="80" w:after="140"/>
        <w:jc w:val="both"/>
        <w:rPr>
          <w:rFonts w:ascii="PP Telegraf" w:eastAsia="PP Telegraf" w:hAnsi="PP Telegraf" w:cs="PP Telegraf"/>
          <w:color w:val="1D1D1B"/>
          <w:sz w:val="19"/>
          <w:szCs w:val="19"/>
          <w:lang w:val="de-DE"/>
        </w:rPr>
      </w:pPr>
      <w:r w:rsidRPr="00CA2A20">
        <w:rPr>
          <w:rFonts w:ascii="PP Telegraf" w:eastAsia="PP Telegraf" w:hAnsi="PP Telegraf" w:cs="PP Telegraf"/>
          <w:color w:val="1D1D1B"/>
          <w:sz w:val="19"/>
          <w:szCs w:val="19"/>
          <w:lang w:val="de-DE"/>
        </w:rPr>
        <w:t xml:space="preserve"> </w:t>
      </w:r>
    </w:p>
    <w:p w14:paraId="58FB50E5" w14:textId="30E87E4F" w:rsidR="090568D8" w:rsidRPr="00CA2A20" w:rsidRDefault="090568D8" w:rsidP="23C77BED">
      <w:pPr>
        <w:pStyle w:val="paragraph"/>
        <w:spacing w:before="0" w:beforeAutospacing="0" w:after="160" w:afterAutospacing="0" w:line="360" w:lineRule="auto"/>
        <w:jc w:val="both"/>
        <w:rPr>
          <w:rFonts w:ascii="PP Telegraf" w:eastAsia="PP Telegraf" w:hAnsi="PP Telegraf" w:cs="PP Telegraf"/>
          <w:color w:val="1D1D1B"/>
          <w:sz w:val="34"/>
          <w:szCs w:val="34"/>
          <w:lang w:val="de-DE" w:eastAsia="en-US"/>
        </w:rPr>
      </w:pPr>
      <w:r w:rsidRPr="00CA2A20">
        <w:rPr>
          <w:rFonts w:ascii="PP Telegraf" w:eastAsia="PP Telegraf" w:hAnsi="PP Telegraf" w:cs="PP Telegraf"/>
          <w:color w:val="1D1D1B"/>
          <w:sz w:val="34"/>
          <w:szCs w:val="34"/>
          <w:lang w:val="de-DE" w:eastAsia="en-US"/>
        </w:rPr>
        <w:t>ETH Zürich führt in Europa an, drei Schweizer Universitäten rangieren unter den globalen Top 100</w:t>
      </w:r>
    </w:p>
    <w:p w14:paraId="1C8C6D2F" w14:textId="3C0A27A8" w:rsidR="090568D8" w:rsidRPr="00CA2A20" w:rsidRDefault="090568D8" w:rsidP="23C77BED">
      <w:pPr>
        <w:spacing w:after="60" w:line="276" w:lineRule="auto"/>
        <w:jc w:val="both"/>
        <w:rPr>
          <w:rFonts w:ascii="PP Telegraf" w:eastAsia="PP Telegraf" w:hAnsi="PP Telegraf" w:cs="PP Telegraf"/>
          <w:color w:val="6B7280"/>
          <w:sz w:val="22"/>
          <w:szCs w:val="22"/>
          <w:lang w:val="de-DE"/>
        </w:rPr>
      </w:pPr>
      <w:r w:rsidRPr="00CA2A20">
        <w:rPr>
          <w:rFonts w:ascii="PP Telegraf" w:eastAsia="PP Telegraf" w:hAnsi="PP Telegraf" w:cs="PP Telegraf"/>
          <w:color w:val="6B7280"/>
          <w:sz w:val="22"/>
          <w:szCs w:val="22"/>
          <w:lang w:val="de-DE"/>
        </w:rPr>
        <w:t>Angeführt von der ETH Zürich schneidet die Schweiz im Hochschulbereich weltweit weiterhin überdurchschnittlich gut ab. Sie vereint eine der weltweit höchsten Konzentrationen an Spitzenuniversitäten mit einer starken internationalen Fakultät sowie einem steigenden Ansehen und einer verbesserten Beschäftigungsfähigkeit, selbst wenn der Anteil internationaler Studierender und Mitarbeitender zurückgeht.</w:t>
      </w:r>
    </w:p>
    <w:p w14:paraId="0784EEC5" w14:textId="0B255003" w:rsidR="29442E25" w:rsidRPr="00CA2A20" w:rsidRDefault="29442E25" w:rsidP="23C77BED">
      <w:pPr>
        <w:spacing w:after="40"/>
        <w:jc w:val="both"/>
        <w:rPr>
          <w:rFonts w:ascii="PP Telegraf" w:eastAsia="PP Telegraf" w:hAnsi="PP Telegraf" w:cs="PP Telegraf"/>
          <w:b/>
          <w:bCs/>
          <w:color w:val="F5A623"/>
          <w:sz w:val="18"/>
          <w:szCs w:val="18"/>
          <w:lang w:val="de-DE"/>
        </w:rPr>
      </w:pPr>
      <w:r w:rsidRPr="00CA2A20">
        <w:rPr>
          <w:rFonts w:ascii="PP Telegraf" w:eastAsia="PP Telegraf" w:hAnsi="PP Telegraf" w:cs="PP Telegraf"/>
          <w:b/>
          <w:bCs/>
          <w:color w:val="F5A623"/>
          <w:sz w:val="18"/>
          <w:szCs w:val="18"/>
          <w:lang w:val="de-DE"/>
        </w:rPr>
        <w:t>#QSWUR</w:t>
      </w:r>
    </w:p>
    <w:p w14:paraId="7F670094" w14:textId="2FF37E13" w:rsidR="29442E25" w:rsidRPr="00CA2A20" w:rsidRDefault="29442E25" w:rsidP="23C77BED">
      <w:pPr>
        <w:pBdr>
          <w:bottom w:val="single" w:sz="8" w:space="1" w:color="E5E7EB"/>
        </w:pBdr>
        <w:spacing w:before="60" w:after="140"/>
        <w:jc w:val="both"/>
        <w:rPr>
          <w:rFonts w:ascii="PP Telegraf" w:eastAsia="PP Telegraf" w:hAnsi="PP Telegraf" w:cs="PP Telegraf"/>
          <w:color w:val="6B7280"/>
          <w:sz w:val="19"/>
          <w:szCs w:val="19"/>
          <w:lang w:val="de-DE"/>
        </w:rPr>
      </w:pPr>
      <w:r w:rsidRPr="00CA2A20">
        <w:rPr>
          <w:rFonts w:ascii="PP Telegraf" w:eastAsia="PP Telegraf" w:hAnsi="PP Telegraf" w:cs="PP Telegraf"/>
          <w:color w:val="1D1D1B"/>
          <w:sz w:val="19"/>
          <w:szCs w:val="19"/>
          <w:lang w:val="de-DE"/>
        </w:rPr>
        <w:t xml:space="preserve"> </w:t>
      </w:r>
      <w:r w:rsidRPr="00CA2A20">
        <w:rPr>
          <w:rFonts w:ascii="PP Telegraf" w:eastAsia="PP Telegraf" w:hAnsi="PP Telegraf" w:cs="PP Telegraf"/>
          <w:b/>
          <w:bCs/>
          <w:color w:val="1D1D1B"/>
          <w:sz w:val="19"/>
          <w:szCs w:val="19"/>
          <w:lang w:val="de-DE"/>
        </w:rPr>
        <w:t xml:space="preserve">London, </w:t>
      </w:r>
      <w:r w:rsidR="00CA2A20" w:rsidRPr="00CA2A20">
        <w:rPr>
          <w:rFonts w:ascii="PP Telegraf" w:eastAsia="PP Telegraf" w:hAnsi="PP Telegraf" w:cs="PP Telegraf"/>
          <w:b/>
          <w:bCs/>
          <w:color w:val="1D1D1B"/>
          <w:sz w:val="19"/>
          <w:szCs w:val="19"/>
          <w:lang w:val="de-DE"/>
        </w:rPr>
        <w:t xml:space="preserve">den </w:t>
      </w:r>
      <w:r w:rsidRPr="00CA2A20">
        <w:rPr>
          <w:rFonts w:ascii="PP Telegraf" w:eastAsia="PP Telegraf" w:hAnsi="PP Telegraf" w:cs="PP Telegraf"/>
          <w:b/>
          <w:bCs/>
          <w:color w:val="1D1D1B"/>
          <w:sz w:val="19"/>
          <w:szCs w:val="19"/>
          <w:lang w:val="de-DE"/>
        </w:rPr>
        <w:t>18. Juni 2026</w:t>
      </w:r>
      <w:r w:rsidRPr="00CA2A20">
        <w:rPr>
          <w:rFonts w:ascii="PP Telegraf" w:eastAsia="PP Telegraf" w:hAnsi="PP Telegraf" w:cs="PP Telegraf"/>
          <w:color w:val="6B7280"/>
          <w:sz w:val="19"/>
          <w:szCs w:val="19"/>
          <w:lang w:val="de-DE"/>
        </w:rPr>
        <w:t xml:space="preserve">  │ QS Quacquarelli Symonds</w:t>
      </w:r>
    </w:p>
    <w:tbl>
      <w:tblPr>
        <w:tblW w:w="0" w:type="auto"/>
        <w:jc w:val="center"/>
        <w:tblLook w:val="04A0" w:firstRow="1" w:lastRow="0" w:firstColumn="1" w:lastColumn="0" w:noHBand="0" w:noVBand="1"/>
      </w:tblPr>
      <w:tblGrid>
        <w:gridCol w:w="2940"/>
        <w:gridCol w:w="2382"/>
        <w:gridCol w:w="2187"/>
        <w:gridCol w:w="2334"/>
      </w:tblGrid>
      <w:tr w:rsidR="23C77BED" w14:paraId="608F414A" w14:textId="77777777" w:rsidTr="23C77BED">
        <w:trPr>
          <w:trHeight w:val="300"/>
          <w:jc w:val="center"/>
        </w:trPr>
        <w:tc>
          <w:tcPr>
            <w:tcW w:w="2940"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5837C867" w14:textId="0AF4982F" w:rsidR="35BDF837" w:rsidRPr="00CA2A20" w:rsidRDefault="35BDF837" w:rsidP="23C77BED">
            <w:pPr>
              <w:spacing w:after="30"/>
              <w:jc w:val="center"/>
              <w:rPr>
                <w:rFonts w:ascii="PP Telegraf" w:eastAsia="PP Telegraf" w:hAnsi="PP Telegraf" w:cs="PP Telegraf"/>
                <w:b/>
                <w:bCs/>
                <w:color w:val="F5A623"/>
                <w:sz w:val="52"/>
                <w:szCs w:val="52"/>
                <w:lang w:val="de-DE"/>
              </w:rPr>
            </w:pPr>
            <w:r w:rsidRPr="00CA2A20">
              <w:rPr>
                <w:rFonts w:ascii="PP Telegraf" w:eastAsia="PP Telegraf" w:hAnsi="PP Telegraf" w:cs="PP Telegraf"/>
                <w:b/>
                <w:bCs/>
                <w:color w:val="F5A623"/>
                <w:sz w:val="52"/>
                <w:szCs w:val="52"/>
                <w:lang w:val="de-DE"/>
              </w:rPr>
              <w:t>1</w:t>
            </w:r>
          </w:p>
          <w:p w14:paraId="239E141E" w14:textId="123F641C" w:rsidR="35BDF837" w:rsidRPr="00CA2A20" w:rsidRDefault="35BDF837" w:rsidP="23C77BED">
            <w:pPr>
              <w:spacing w:after="0"/>
              <w:jc w:val="center"/>
              <w:rPr>
                <w:rFonts w:ascii="PP Telegraf" w:eastAsia="PP Telegraf" w:hAnsi="PP Telegraf" w:cs="PP Telegraf"/>
                <w:color w:val="6B7280"/>
                <w:sz w:val="16"/>
                <w:szCs w:val="16"/>
                <w:lang w:val="de-DE"/>
              </w:rPr>
            </w:pPr>
            <w:r w:rsidRPr="00CA2A20">
              <w:rPr>
                <w:rFonts w:ascii="PP Telegraf" w:eastAsia="PP Telegraf" w:hAnsi="PP Telegraf" w:cs="PP Telegraf"/>
                <w:color w:val="6B7280"/>
                <w:sz w:val="16"/>
                <w:szCs w:val="16"/>
                <w:lang w:val="de-DE"/>
              </w:rPr>
              <w:t>ETH Zürich führt in Kontinentaleuropa</w:t>
            </w:r>
          </w:p>
        </w:tc>
        <w:tc>
          <w:tcPr>
            <w:tcW w:w="2382"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4374C39C" w14:textId="69954E10" w:rsidR="35BDF837" w:rsidRDefault="35BDF837" w:rsidP="23C77BED">
            <w:pPr>
              <w:spacing w:after="30"/>
              <w:jc w:val="center"/>
              <w:rPr>
                <w:rFonts w:ascii="PP Telegraf" w:eastAsia="PP Telegraf" w:hAnsi="PP Telegraf" w:cs="PP Telegraf"/>
                <w:b/>
                <w:bCs/>
                <w:color w:val="F5A623"/>
                <w:sz w:val="52"/>
                <w:szCs w:val="52"/>
              </w:rPr>
            </w:pPr>
            <w:r w:rsidRPr="23C77BED">
              <w:rPr>
                <w:rFonts w:ascii="PP Telegraf" w:eastAsia="PP Telegraf" w:hAnsi="PP Telegraf" w:cs="PP Telegraf"/>
                <w:b/>
                <w:bCs/>
                <w:color w:val="F5A623"/>
                <w:sz w:val="52"/>
                <w:szCs w:val="52"/>
              </w:rPr>
              <w:t>11</w:t>
            </w:r>
          </w:p>
          <w:p w14:paraId="06B87E2F" w14:textId="21FB222C" w:rsidR="35BDF837" w:rsidRDefault="35BDF837" w:rsidP="23C77BED">
            <w:pPr>
              <w:spacing w:after="0"/>
              <w:jc w:val="center"/>
            </w:pPr>
            <w:r w:rsidRPr="23C77BED">
              <w:rPr>
                <w:rFonts w:ascii="PP Telegraf" w:eastAsia="PP Telegraf" w:hAnsi="PP Telegraf" w:cs="PP Telegraf"/>
                <w:color w:val="6B7280"/>
                <w:sz w:val="16"/>
                <w:szCs w:val="16"/>
              </w:rPr>
              <w:t xml:space="preserve">Schweizer Universitäten im Ranking </w:t>
            </w:r>
          </w:p>
        </w:tc>
        <w:tc>
          <w:tcPr>
            <w:tcW w:w="2187"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391835E1" w14:textId="0446F034" w:rsidR="35BDF837" w:rsidRDefault="35BDF837" w:rsidP="23C77BED">
            <w:pPr>
              <w:spacing w:after="30"/>
              <w:jc w:val="center"/>
              <w:rPr>
                <w:rFonts w:ascii="PP Telegraf" w:eastAsia="PP Telegraf" w:hAnsi="PP Telegraf" w:cs="PP Telegraf"/>
                <w:b/>
                <w:bCs/>
                <w:color w:val="F5A623"/>
                <w:sz w:val="52"/>
                <w:szCs w:val="52"/>
              </w:rPr>
            </w:pPr>
            <w:r w:rsidRPr="23C77BED">
              <w:rPr>
                <w:rFonts w:ascii="PP Telegraf" w:eastAsia="PP Telegraf" w:hAnsi="PP Telegraf" w:cs="PP Telegraf"/>
                <w:b/>
                <w:bCs/>
                <w:color w:val="F5A623"/>
                <w:sz w:val="52"/>
                <w:szCs w:val="52"/>
              </w:rPr>
              <w:t>3</w:t>
            </w:r>
          </w:p>
          <w:p w14:paraId="6720736F" w14:textId="0A1BFC86" w:rsidR="23C77BED" w:rsidRDefault="23C77BED" w:rsidP="23C77BED">
            <w:pPr>
              <w:spacing w:after="0"/>
              <w:jc w:val="center"/>
              <w:rPr>
                <w:rFonts w:ascii="PP Telegraf" w:eastAsia="PP Telegraf" w:hAnsi="PP Telegraf" w:cs="PP Telegraf"/>
                <w:color w:val="6B7280"/>
                <w:sz w:val="16"/>
                <w:szCs w:val="16"/>
              </w:rPr>
            </w:pPr>
            <w:r w:rsidRPr="23C77BED">
              <w:rPr>
                <w:rFonts w:ascii="PP Telegraf" w:eastAsia="PP Telegraf" w:hAnsi="PP Telegraf" w:cs="PP Telegraf"/>
                <w:color w:val="6B7280"/>
                <w:sz w:val="16"/>
                <w:szCs w:val="16"/>
              </w:rPr>
              <w:t>unter den globalen Top 100</w:t>
            </w:r>
          </w:p>
        </w:tc>
        <w:tc>
          <w:tcPr>
            <w:tcW w:w="2334" w:type="dxa"/>
            <w:tcBorders>
              <w:top w:val="single" w:sz="4" w:space="0" w:color="auto"/>
              <w:left w:val="single" w:sz="4" w:space="0" w:color="auto"/>
              <w:bottom w:val="single" w:sz="4" w:space="0" w:color="auto"/>
              <w:right w:val="single" w:sz="4" w:space="0" w:color="auto"/>
            </w:tcBorders>
            <w:shd w:val="clear" w:color="auto" w:fill="F3F4F6"/>
            <w:tcMar>
              <w:top w:w="140" w:type="dxa"/>
              <w:left w:w="60" w:type="dxa"/>
              <w:bottom w:w="140" w:type="dxa"/>
              <w:right w:w="60" w:type="dxa"/>
            </w:tcMar>
            <w:vAlign w:val="center"/>
          </w:tcPr>
          <w:p w14:paraId="339CFC2E" w14:textId="612E0309" w:rsidR="23C77BED" w:rsidRDefault="61F4FF3F" w:rsidP="23C77BED">
            <w:pPr>
              <w:spacing w:after="30"/>
              <w:jc w:val="center"/>
              <w:rPr>
                <w:rFonts w:ascii="PP Telegraf" w:eastAsia="PP Telegraf" w:hAnsi="PP Telegraf" w:cs="PP Telegraf"/>
                <w:b/>
                <w:bCs/>
                <w:color w:val="F5A623"/>
                <w:sz w:val="52"/>
                <w:szCs w:val="52"/>
              </w:rPr>
            </w:pPr>
            <w:r w:rsidRPr="23C77BED">
              <w:rPr>
                <w:rFonts w:ascii="PP Telegraf" w:eastAsia="PP Telegraf" w:hAnsi="PP Telegraf" w:cs="PP Telegraf"/>
                <w:b/>
                <w:bCs/>
                <w:color w:val="F5A623"/>
                <w:sz w:val="52"/>
                <w:szCs w:val="52"/>
              </w:rPr>
              <w:t>+1</w:t>
            </w:r>
          </w:p>
          <w:p w14:paraId="06FA905B" w14:textId="3389D64E" w:rsidR="23C77BED" w:rsidRDefault="23C77BED" w:rsidP="23C77BED">
            <w:pPr>
              <w:spacing w:after="0"/>
              <w:jc w:val="center"/>
              <w:rPr>
                <w:rFonts w:ascii="PP Telegraf" w:eastAsia="PP Telegraf" w:hAnsi="PP Telegraf" w:cs="PP Telegraf"/>
                <w:color w:val="6B7280"/>
                <w:sz w:val="16"/>
                <w:szCs w:val="16"/>
              </w:rPr>
            </w:pPr>
            <w:r w:rsidRPr="23C77BED">
              <w:rPr>
                <w:rFonts w:ascii="PP Telegraf" w:eastAsia="PP Telegraf" w:hAnsi="PP Telegraf" w:cs="PP Telegraf"/>
                <w:color w:val="6B7280"/>
                <w:sz w:val="16"/>
                <w:szCs w:val="16"/>
              </w:rPr>
              <w:t>Neuzugang im Ranking</w:t>
            </w:r>
          </w:p>
        </w:tc>
      </w:tr>
    </w:tbl>
    <w:p w14:paraId="3114894A" w14:textId="5744D017" w:rsidR="23C77BED" w:rsidRDefault="23C77BED" w:rsidP="23C77BED">
      <w:pPr>
        <w:pStyle w:val="paragraph"/>
        <w:spacing w:before="0" w:beforeAutospacing="0" w:after="160" w:afterAutospacing="0" w:line="360" w:lineRule="auto"/>
        <w:jc w:val="both"/>
        <w:rPr>
          <w:rFonts w:ascii="PP Telegraf" w:eastAsia="PP Telegraf" w:hAnsi="PP Telegraf" w:cs="PP Telegraf"/>
          <w:i/>
          <w:iCs/>
          <w:sz w:val="22"/>
          <w:szCs w:val="22"/>
        </w:rPr>
      </w:pPr>
    </w:p>
    <w:p w14:paraId="535D3060" w14:textId="60E15FC2" w:rsidR="002A7745" w:rsidRPr="00CA2A20" w:rsidRDefault="17426A58" w:rsidP="23C77BED">
      <w:pPr>
        <w:pStyle w:val="paragraph"/>
        <w:spacing w:before="0" w:beforeAutospacing="0" w:after="160" w:afterAutospacing="0" w:line="360" w:lineRule="auto"/>
        <w:jc w:val="both"/>
        <w:textAlignment w:val="baseline"/>
        <w:rPr>
          <w:rFonts w:ascii="PP Telegraf" w:eastAsia="PP Telegraf" w:hAnsi="PP Telegraf" w:cs="PP Telegraf"/>
          <w:sz w:val="18"/>
          <w:szCs w:val="18"/>
          <w:lang w:val="de-DE"/>
        </w:rPr>
      </w:pPr>
      <w:r w:rsidRPr="00CA2A20">
        <w:rPr>
          <w:rStyle w:val="normaltextrun"/>
          <w:rFonts w:ascii="PP Telegraf" w:eastAsia="PP Telegraf" w:hAnsi="PP Telegraf" w:cs="PP Telegraf"/>
          <w:sz w:val="22"/>
          <w:szCs w:val="22"/>
          <w:lang w:val="de-DE"/>
        </w:rPr>
        <w:t>Der internationale Hochschul-Experte QS Quacquarelli Symonds hat heute die</w:t>
      </w:r>
      <w:r w:rsidR="00A91CA8">
        <w:rPr>
          <w:rStyle w:val="normaltextrun"/>
          <w:rFonts w:ascii="PP Telegraf" w:eastAsia="PP Telegraf" w:hAnsi="PP Telegraf" w:cs="PP Telegraf"/>
          <w:sz w:val="22"/>
          <w:szCs w:val="22"/>
          <w:lang w:val="de-DE"/>
        </w:rPr>
        <w:t xml:space="preserve"> 23. </w:t>
      </w:r>
      <w:r w:rsidRPr="00CA2A20">
        <w:rPr>
          <w:rStyle w:val="normaltextrun"/>
          <w:rFonts w:ascii="PP Telegraf" w:eastAsia="PP Telegraf" w:hAnsi="PP Telegraf" w:cs="PP Telegraf"/>
          <w:sz w:val="17"/>
          <w:szCs w:val="17"/>
          <w:vertAlign w:val="superscript"/>
          <w:lang w:val="de-DE"/>
        </w:rPr>
        <w:t>.</w:t>
      </w:r>
      <w:r w:rsidRPr="00CA2A20">
        <w:rPr>
          <w:rStyle w:val="normaltextrun"/>
          <w:rFonts w:ascii="PP Telegraf" w:eastAsia="PP Telegraf" w:hAnsi="PP Telegraf" w:cs="PP Telegraf"/>
          <w:sz w:val="22"/>
          <w:szCs w:val="22"/>
          <w:lang w:val="de-DE"/>
        </w:rPr>
        <w:t xml:space="preserve">jährliche Ausgabe des </w:t>
      </w:r>
      <w:hyperlink r:id="rId9">
        <w:r w:rsidRPr="00CA2A20">
          <w:rPr>
            <w:rStyle w:val="normaltextrun"/>
            <w:rFonts w:ascii="PP Telegraf" w:eastAsia="PP Telegraf" w:hAnsi="PP Telegraf" w:cs="PP Telegraf"/>
            <w:color w:val="467886"/>
            <w:sz w:val="22"/>
            <w:szCs w:val="22"/>
            <w:u w:val="single"/>
            <w:lang w:val="de-DE"/>
          </w:rPr>
          <w:t>QS World University</w:t>
        </w:r>
      </w:hyperlink>
      <w:r w:rsidRPr="00A91CA8">
        <w:rPr>
          <w:rStyle w:val="normaltextrun"/>
          <w:rFonts w:ascii="PP Telegraf" w:eastAsia="PP Telegraf" w:hAnsi="PP Telegraf" w:cs="PP Telegraf"/>
          <w:color w:val="467886"/>
          <w:sz w:val="22"/>
          <w:szCs w:val="22"/>
          <w:u w:val="single"/>
          <w:lang w:val="de-DE"/>
        </w:rPr>
        <w:t xml:space="preserve"> Rankings*</w:t>
      </w:r>
      <w:r w:rsidRPr="00CA2A20">
        <w:rPr>
          <w:rStyle w:val="normaltextrun"/>
          <w:rFonts w:ascii="PP Telegraf" w:eastAsia="PP Telegraf" w:hAnsi="PP Telegraf" w:cs="PP Telegraf"/>
          <w:sz w:val="22"/>
          <w:szCs w:val="22"/>
          <w:lang w:val="de-DE"/>
        </w:rPr>
        <w:t xml:space="preserve"> veröffentlicht. Zum fünfzehnten Mal in Folge </w:t>
      </w:r>
      <w:r w:rsidR="246155C2" w:rsidRPr="00CA2A20">
        <w:rPr>
          <w:rStyle w:val="normaltextrun"/>
          <w:rFonts w:ascii="PP Telegraf" w:eastAsia="PP Telegraf" w:hAnsi="PP Telegraf" w:cs="PP Telegraf"/>
          <w:sz w:val="22"/>
          <w:szCs w:val="22"/>
          <w:lang w:val="de-DE"/>
        </w:rPr>
        <w:t xml:space="preserve">behält </w:t>
      </w:r>
      <w:r w:rsidRPr="00A91CA8">
        <w:rPr>
          <w:rStyle w:val="normaltextrun"/>
          <w:rFonts w:ascii="PP Telegraf" w:eastAsia="PP Telegraf" w:hAnsi="PP Telegraf" w:cs="PP Telegraf"/>
          <w:sz w:val="22"/>
          <w:szCs w:val="22"/>
          <w:lang w:val="de-DE"/>
        </w:rPr>
        <w:t>das</w:t>
      </w:r>
      <w:r w:rsidRPr="00CA2A20">
        <w:rPr>
          <w:rStyle w:val="normaltextrun"/>
          <w:rFonts w:ascii="PP Telegraf" w:eastAsia="PP Telegraf" w:hAnsi="PP Telegraf" w:cs="PP Telegraf"/>
          <w:b/>
          <w:bCs/>
          <w:sz w:val="22"/>
          <w:szCs w:val="22"/>
          <w:lang w:val="de-DE"/>
        </w:rPr>
        <w:t xml:space="preserve"> Massachusetts Institute </w:t>
      </w:r>
      <w:proofErr w:type="spellStart"/>
      <w:r w:rsidRPr="00CA2A20">
        <w:rPr>
          <w:rStyle w:val="normaltextrun"/>
          <w:rFonts w:ascii="PP Telegraf" w:eastAsia="PP Telegraf" w:hAnsi="PP Telegraf" w:cs="PP Telegraf"/>
          <w:b/>
          <w:bCs/>
          <w:sz w:val="22"/>
          <w:szCs w:val="22"/>
          <w:lang w:val="de-DE"/>
        </w:rPr>
        <w:t>of</w:t>
      </w:r>
      <w:proofErr w:type="spellEnd"/>
      <w:r w:rsidRPr="00CA2A20">
        <w:rPr>
          <w:rStyle w:val="normaltextrun"/>
          <w:rFonts w:ascii="PP Telegraf" w:eastAsia="PP Telegraf" w:hAnsi="PP Telegraf" w:cs="PP Telegraf"/>
          <w:b/>
          <w:bCs/>
          <w:sz w:val="22"/>
          <w:szCs w:val="22"/>
          <w:lang w:val="de-DE"/>
        </w:rPr>
        <w:t xml:space="preserve"> Technology </w:t>
      </w:r>
      <w:r w:rsidR="246155C2" w:rsidRPr="00CA2A20">
        <w:rPr>
          <w:rStyle w:val="normaltextrun"/>
          <w:rFonts w:ascii="PP Telegraf" w:eastAsia="PP Telegraf" w:hAnsi="PP Telegraf" w:cs="PP Telegraf"/>
          <w:b/>
          <w:bCs/>
          <w:sz w:val="22"/>
          <w:szCs w:val="22"/>
          <w:lang w:val="de-DE"/>
        </w:rPr>
        <w:t xml:space="preserve">(MIT) </w:t>
      </w:r>
      <w:r w:rsidRPr="00CA2A20">
        <w:rPr>
          <w:rStyle w:val="normaltextrun"/>
          <w:rFonts w:ascii="PP Telegraf" w:eastAsia="PP Telegraf" w:hAnsi="PP Telegraf" w:cs="PP Telegraf"/>
          <w:sz w:val="22"/>
          <w:szCs w:val="22"/>
          <w:lang w:val="de-DE"/>
        </w:rPr>
        <w:t xml:space="preserve">den Spitzenplatz. </w:t>
      </w:r>
      <w:r w:rsidRPr="00A91CA8">
        <w:rPr>
          <w:rStyle w:val="normaltextrun"/>
          <w:rFonts w:ascii="PP Telegraf" w:eastAsia="PP Telegraf" w:hAnsi="PP Telegraf" w:cs="PP Telegraf"/>
          <w:sz w:val="22"/>
          <w:szCs w:val="22"/>
          <w:lang w:val="de-DE"/>
        </w:rPr>
        <w:t xml:space="preserve">Das </w:t>
      </w:r>
      <w:r w:rsidRPr="00CA2A20">
        <w:rPr>
          <w:rStyle w:val="normaltextrun"/>
          <w:rFonts w:ascii="PP Telegraf" w:eastAsia="PP Telegraf" w:hAnsi="PP Telegraf" w:cs="PP Telegraf"/>
          <w:b/>
          <w:bCs/>
          <w:sz w:val="22"/>
          <w:szCs w:val="22"/>
          <w:lang w:val="de-DE"/>
        </w:rPr>
        <w:t xml:space="preserve">Imperial College London </w:t>
      </w:r>
      <w:r w:rsidRPr="00CA2A20">
        <w:rPr>
          <w:rStyle w:val="normaltextrun"/>
          <w:rFonts w:ascii="PP Telegraf" w:eastAsia="PP Telegraf" w:hAnsi="PP Telegraf" w:cs="PP Telegraf"/>
          <w:sz w:val="22"/>
          <w:szCs w:val="22"/>
          <w:lang w:val="de-DE"/>
        </w:rPr>
        <w:t xml:space="preserve">bleibt zum dritten Mal in Folge auf dem zweiten Platz und teilt sich diese Position nun mit </w:t>
      </w:r>
      <w:r w:rsidRPr="00A91CA8">
        <w:rPr>
          <w:rStyle w:val="normaltextrun"/>
          <w:rFonts w:ascii="PP Telegraf" w:eastAsia="PP Telegraf" w:hAnsi="PP Telegraf" w:cs="PP Telegraf"/>
          <w:sz w:val="22"/>
          <w:szCs w:val="22"/>
          <w:lang w:val="de-DE"/>
        </w:rPr>
        <w:t>der</w:t>
      </w:r>
      <w:r w:rsidRPr="00CA2A20">
        <w:rPr>
          <w:rStyle w:val="normaltextrun"/>
          <w:rFonts w:ascii="PP Telegraf" w:eastAsia="PP Telegraf" w:hAnsi="PP Telegraf" w:cs="PP Telegraf"/>
          <w:b/>
          <w:bCs/>
          <w:sz w:val="22"/>
          <w:szCs w:val="22"/>
          <w:lang w:val="de-DE"/>
        </w:rPr>
        <w:t xml:space="preserve"> Stanford University</w:t>
      </w:r>
      <w:r w:rsidRPr="00CA2A20">
        <w:rPr>
          <w:rStyle w:val="normaltextrun"/>
          <w:rFonts w:ascii="PP Telegraf" w:eastAsia="PP Telegraf" w:hAnsi="PP Telegraf" w:cs="PP Telegraf"/>
          <w:sz w:val="22"/>
          <w:szCs w:val="22"/>
          <w:lang w:val="de-DE"/>
        </w:rPr>
        <w:t>, die vom dritten Platz</w:t>
      </w:r>
      <w:r w:rsidR="00A91CA8">
        <w:rPr>
          <w:rStyle w:val="normaltextrun"/>
          <w:rFonts w:ascii="PP Telegraf" w:eastAsia="PP Telegraf" w:hAnsi="PP Telegraf" w:cs="PP Telegraf"/>
          <w:sz w:val="22"/>
          <w:szCs w:val="22"/>
          <w:lang w:val="de-DE"/>
        </w:rPr>
        <w:t xml:space="preserve"> </w:t>
      </w:r>
      <w:r w:rsidRPr="00CA2A20">
        <w:rPr>
          <w:rStyle w:val="normaltextrun"/>
          <w:rFonts w:ascii="PP Telegraf" w:eastAsia="PP Telegraf" w:hAnsi="PP Telegraf" w:cs="PP Telegraf"/>
          <w:sz w:val="22"/>
          <w:szCs w:val="22"/>
          <w:lang w:val="de-DE"/>
        </w:rPr>
        <w:t>aufgestiegen ist</w:t>
      </w:r>
      <w:r w:rsidR="052C5B96" w:rsidRPr="00CA2A20">
        <w:rPr>
          <w:rStyle w:val="normaltextrun"/>
          <w:rFonts w:ascii="PP Telegraf" w:eastAsia="PP Telegraf" w:hAnsi="PP Telegraf" w:cs="PP Telegraf"/>
          <w:sz w:val="22"/>
          <w:szCs w:val="22"/>
          <w:lang w:val="de-DE"/>
        </w:rPr>
        <w:t>.</w:t>
      </w:r>
      <w:r w:rsidR="002A7745" w:rsidRPr="00CA2A20">
        <w:rPr>
          <w:lang w:val="de-DE"/>
        </w:rPr>
        <w:br/>
      </w:r>
      <w:r w:rsidR="279B87B1" w:rsidRPr="00CA2A20">
        <w:rPr>
          <w:rStyle w:val="normaltextrun"/>
          <w:rFonts w:ascii="PP Telegraf" w:eastAsia="PP Telegraf" w:hAnsi="PP Telegraf" w:cs="PP Telegraf"/>
          <w:b/>
          <w:bCs/>
          <w:color w:val="C00000"/>
          <w:sz w:val="22"/>
          <w:szCs w:val="22"/>
          <w:lang w:val="de-DE"/>
        </w:rPr>
        <w:t xml:space="preserve"> </w:t>
      </w:r>
      <w:r w:rsidR="279B87B1" w:rsidRPr="00CA2A20">
        <w:rPr>
          <w:rStyle w:val="normaltextrun"/>
          <w:rFonts w:ascii="PP Telegraf" w:eastAsia="PP Telegraf" w:hAnsi="PP Telegraf" w:cs="PP Telegraf"/>
          <w:b/>
          <w:bCs/>
          <w:color w:val="C00000"/>
          <w:sz w:val="16"/>
          <w:szCs w:val="16"/>
          <w:lang w:val="de-DE"/>
        </w:rPr>
        <w:t>*Der Link wird mit den neuesten Ergebnissen aktualisiert, sobald die Sperrfrist endet.  </w:t>
      </w:r>
    </w:p>
    <w:p w14:paraId="56BD36FF" w14:textId="03D779FF" w:rsidR="00CB506D" w:rsidRPr="00CA2A20" w:rsidRDefault="17426A58" w:rsidP="23C77BED">
      <w:pPr>
        <w:pStyle w:val="paragraph"/>
        <w:spacing w:before="0" w:beforeAutospacing="0" w:after="160" w:afterAutospacing="0" w:line="360" w:lineRule="auto"/>
        <w:jc w:val="both"/>
        <w:textAlignment w:val="baseline"/>
        <w:rPr>
          <w:rStyle w:val="normaltextrun"/>
          <w:rFonts w:ascii="PP Telegraf" w:eastAsia="PP Telegraf" w:hAnsi="PP Telegraf" w:cs="PP Telegraf"/>
          <w:sz w:val="22"/>
          <w:szCs w:val="22"/>
          <w:lang w:val="de-DE"/>
        </w:rPr>
      </w:pPr>
      <w:r w:rsidRPr="00CA2A20">
        <w:rPr>
          <w:rStyle w:val="normaltextrun"/>
          <w:rFonts w:ascii="PP Telegraf" w:eastAsia="PP Telegraf" w:hAnsi="PP Telegraf" w:cs="PP Telegraf"/>
          <w:sz w:val="22"/>
          <w:szCs w:val="22"/>
          <w:lang w:val="de-DE"/>
        </w:rPr>
        <w:t xml:space="preserve">Die Ergebnisse zeigen, dass </w:t>
      </w:r>
      <w:r w:rsidRPr="006D5309">
        <w:rPr>
          <w:rStyle w:val="normaltextrun"/>
          <w:rFonts w:ascii="PP Telegraf" w:eastAsia="PP Telegraf" w:hAnsi="PP Telegraf" w:cs="PP Telegraf"/>
          <w:sz w:val="22"/>
          <w:szCs w:val="22"/>
          <w:lang w:val="de-DE"/>
        </w:rPr>
        <w:t>die</w:t>
      </w:r>
      <w:r w:rsidRPr="00CA2A20">
        <w:rPr>
          <w:rStyle w:val="normaltextrun"/>
          <w:rFonts w:ascii="PP Telegraf" w:eastAsia="PP Telegraf" w:hAnsi="PP Telegraf" w:cs="PP Telegraf"/>
          <w:b/>
          <w:bCs/>
          <w:sz w:val="22"/>
          <w:szCs w:val="22"/>
          <w:lang w:val="de-DE"/>
        </w:rPr>
        <w:t xml:space="preserve"> ETH Zürich </w:t>
      </w:r>
      <w:r w:rsidRPr="006D5309">
        <w:rPr>
          <w:rStyle w:val="normaltextrun"/>
          <w:rFonts w:ascii="PP Telegraf" w:eastAsia="PP Telegraf" w:hAnsi="PP Telegraf" w:cs="PP Telegraf"/>
          <w:sz w:val="22"/>
          <w:szCs w:val="22"/>
          <w:lang w:val="de-DE"/>
        </w:rPr>
        <w:t>weiterhin die beste Universität Kontinentaleuropas ist</w:t>
      </w:r>
      <w:r w:rsidRPr="00CA2A20">
        <w:rPr>
          <w:rStyle w:val="normaltextrun"/>
          <w:rFonts w:ascii="PP Telegraf" w:eastAsia="PP Telegraf" w:hAnsi="PP Telegraf" w:cs="PP Telegraf"/>
          <w:b/>
          <w:bCs/>
          <w:sz w:val="22"/>
          <w:szCs w:val="22"/>
          <w:lang w:val="de-DE"/>
        </w:rPr>
        <w:t xml:space="preserve"> </w:t>
      </w:r>
      <w:r w:rsidRPr="00CA2A20">
        <w:rPr>
          <w:rStyle w:val="normaltextrun"/>
          <w:rFonts w:ascii="PP Telegraf" w:eastAsia="PP Telegraf" w:hAnsi="PP Telegraf" w:cs="PP Telegraf"/>
          <w:sz w:val="22"/>
          <w:szCs w:val="22"/>
          <w:lang w:val="de-DE"/>
        </w:rPr>
        <w:t xml:space="preserve">und </w:t>
      </w:r>
      <w:r w:rsidR="0EF83BF9" w:rsidRPr="00CA2A20">
        <w:rPr>
          <w:rStyle w:val="normaltextrun"/>
          <w:rFonts w:ascii="PP Telegraf" w:eastAsia="PP Telegraf" w:hAnsi="PP Telegraf" w:cs="PP Telegraf"/>
          <w:sz w:val="22"/>
          <w:szCs w:val="22"/>
          <w:lang w:val="de-DE"/>
        </w:rPr>
        <w:t xml:space="preserve">den achten Platz belegt, nach dem siebten Platz im Vorjahr, </w:t>
      </w:r>
      <w:r w:rsidRPr="00CA2A20">
        <w:rPr>
          <w:rStyle w:val="normaltextrun"/>
          <w:rFonts w:ascii="PP Telegraf" w:eastAsia="PP Telegraf" w:hAnsi="PP Telegraf" w:cs="PP Telegraf"/>
          <w:sz w:val="22"/>
          <w:szCs w:val="22"/>
          <w:lang w:val="de-DE"/>
        </w:rPr>
        <w:t>womit die Schweiz eines von nur vier Ländern ist, die in den globalen Top</w:t>
      </w:r>
      <w:r w:rsidR="4CBE30D6" w:rsidRPr="00CA2A20">
        <w:rPr>
          <w:rStyle w:val="normaltextrun"/>
          <w:rFonts w:ascii="PP Telegraf" w:eastAsia="PP Telegraf" w:hAnsi="PP Telegraf" w:cs="PP Telegraf"/>
          <w:sz w:val="22"/>
          <w:szCs w:val="22"/>
          <w:lang w:val="de-DE"/>
        </w:rPr>
        <w:t xml:space="preserve"> 10</w:t>
      </w:r>
      <w:r w:rsidRPr="00CA2A20">
        <w:rPr>
          <w:rStyle w:val="normaltextrun"/>
          <w:rFonts w:ascii="PP Telegraf" w:eastAsia="PP Telegraf" w:hAnsi="PP Telegraf" w:cs="PP Telegraf"/>
          <w:sz w:val="22"/>
          <w:szCs w:val="22"/>
          <w:lang w:val="de-DE"/>
        </w:rPr>
        <w:t xml:space="preserve"> vertreten sind</w:t>
      </w:r>
      <w:r w:rsidR="4CBE30D6" w:rsidRPr="00CA2A20">
        <w:rPr>
          <w:rStyle w:val="normaltextrun"/>
          <w:rFonts w:ascii="PP Telegraf" w:eastAsia="PP Telegraf" w:hAnsi="PP Telegraf" w:cs="PP Telegraf"/>
          <w:sz w:val="22"/>
          <w:szCs w:val="22"/>
          <w:lang w:val="de-DE"/>
        </w:rPr>
        <w:t xml:space="preserve">. </w:t>
      </w:r>
      <w:r w:rsidR="0EF83BF9" w:rsidRPr="00CA2A20">
        <w:rPr>
          <w:rStyle w:val="normaltextrun"/>
          <w:rFonts w:ascii="PP Telegraf" w:eastAsia="PP Telegraf" w:hAnsi="PP Telegraf" w:cs="PP Telegraf"/>
          <w:sz w:val="22"/>
          <w:szCs w:val="22"/>
          <w:lang w:val="de-DE"/>
        </w:rPr>
        <w:t xml:space="preserve">Die EPFL – École polytechnique </w:t>
      </w:r>
      <w:proofErr w:type="spellStart"/>
      <w:r w:rsidR="0EF83BF9" w:rsidRPr="00CA2A20">
        <w:rPr>
          <w:rStyle w:val="normaltextrun"/>
          <w:rFonts w:ascii="PP Telegraf" w:eastAsia="PP Telegraf" w:hAnsi="PP Telegraf" w:cs="PP Telegraf"/>
          <w:sz w:val="22"/>
          <w:szCs w:val="22"/>
          <w:lang w:val="de-DE"/>
        </w:rPr>
        <w:t>fédérale</w:t>
      </w:r>
      <w:proofErr w:type="spellEnd"/>
      <w:r w:rsidR="0EF83BF9" w:rsidRPr="00CA2A20">
        <w:rPr>
          <w:rStyle w:val="normaltextrun"/>
          <w:rFonts w:ascii="PP Telegraf" w:eastAsia="PP Telegraf" w:hAnsi="PP Telegraf" w:cs="PP Telegraf"/>
          <w:sz w:val="22"/>
          <w:szCs w:val="22"/>
          <w:lang w:val="de-DE"/>
        </w:rPr>
        <w:t xml:space="preserve"> de Lausanne – bleibt auf Platz 22, während </w:t>
      </w:r>
      <w:r w:rsidRPr="00CA2A20">
        <w:rPr>
          <w:rStyle w:val="normaltextrun"/>
          <w:rFonts w:ascii="PP Telegraf" w:eastAsia="PP Telegraf" w:hAnsi="PP Telegraf" w:cs="PP Telegraf"/>
          <w:sz w:val="22"/>
          <w:szCs w:val="22"/>
          <w:lang w:val="de-DE"/>
        </w:rPr>
        <w:t xml:space="preserve">die Universität Zürich </w:t>
      </w:r>
      <w:r w:rsidR="19EB740E" w:rsidRPr="00CA2A20">
        <w:rPr>
          <w:rStyle w:val="normaltextrun"/>
          <w:rFonts w:ascii="PP Telegraf" w:eastAsia="PP Telegraf" w:hAnsi="PP Telegraf" w:cs="PP Telegraf"/>
          <w:sz w:val="22"/>
          <w:szCs w:val="22"/>
          <w:lang w:val="de-DE"/>
        </w:rPr>
        <w:t xml:space="preserve">weiter </w:t>
      </w:r>
      <w:r w:rsidR="0EF83BF9" w:rsidRPr="00CA2A20">
        <w:rPr>
          <w:rStyle w:val="normaltextrun"/>
          <w:rFonts w:ascii="PP Telegraf" w:eastAsia="PP Telegraf" w:hAnsi="PP Telegraf" w:cs="PP Telegraf"/>
          <w:sz w:val="22"/>
          <w:szCs w:val="22"/>
          <w:lang w:val="de-DE"/>
        </w:rPr>
        <w:t xml:space="preserve">in die Top 100 </w:t>
      </w:r>
      <w:r w:rsidR="19EB740E" w:rsidRPr="00CA2A20">
        <w:rPr>
          <w:rStyle w:val="normaltextrun"/>
          <w:rFonts w:ascii="PP Telegraf" w:eastAsia="PP Telegraf" w:hAnsi="PP Telegraf" w:cs="PP Telegraf"/>
          <w:sz w:val="22"/>
          <w:szCs w:val="22"/>
          <w:lang w:val="de-DE"/>
        </w:rPr>
        <w:t>vorrückt.</w:t>
      </w:r>
    </w:p>
    <w:tbl>
      <w:tblPr>
        <w:tblW w:w="7828" w:type="dxa"/>
        <w:jc w:val="center"/>
        <w:tblLook w:val="04A0" w:firstRow="1" w:lastRow="0" w:firstColumn="1" w:lastColumn="0" w:noHBand="0" w:noVBand="1"/>
      </w:tblPr>
      <w:tblGrid>
        <w:gridCol w:w="1530"/>
        <w:gridCol w:w="1335"/>
        <w:gridCol w:w="4963"/>
      </w:tblGrid>
      <w:tr w:rsidR="00053BA5" w:rsidRPr="00CA2A20" w14:paraId="69B0CA88" w14:textId="77777777" w:rsidTr="23C77BED">
        <w:trPr>
          <w:trHeight w:val="300"/>
          <w:jc w:val="center"/>
        </w:trPr>
        <w:tc>
          <w:tcPr>
            <w:tcW w:w="7828" w:type="dxa"/>
            <w:gridSpan w:val="3"/>
            <w:tcBorders>
              <w:top w:val="single" w:sz="4" w:space="0" w:color="auto"/>
              <w:left w:val="single" w:sz="4" w:space="0" w:color="auto"/>
              <w:bottom w:val="single" w:sz="4" w:space="0" w:color="auto"/>
              <w:right w:val="single" w:sz="4" w:space="0" w:color="auto"/>
            </w:tcBorders>
            <w:noWrap/>
            <w:vAlign w:val="bottom"/>
            <w:hideMark/>
          </w:tcPr>
          <w:p w14:paraId="393CB9CD" w14:textId="235B39D5" w:rsidR="00053BA5" w:rsidRPr="00CA2A20" w:rsidRDefault="65761E2D" w:rsidP="23C77BED">
            <w:pPr>
              <w:spacing w:after="0" w:line="240" w:lineRule="auto"/>
              <w:jc w:val="both"/>
              <w:rPr>
                <w:rFonts w:ascii="PP Telegraf" w:eastAsia="PP Telegraf" w:hAnsi="PP Telegraf" w:cs="PP Telegraf"/>
                <w:b/>
                <w:bCs/>
                <w:color w:val="1D1D1B"/>
                <w:kern w:val="0"/>
                <w:sz w:val="20"/>
                <w:szCs w:val="20"/>
                <w:lang w:val="de-DE" w:eastAsia="en-GB"/>
                <w14:ligatures w14:val="none"/>
              </w:rPr>
            </w:pPr>
            <w:r w:rsidRPr="00CA2A20">
              <w:rPr>
                <w:rFonts w:ascii="PP Telegraf" w:eastAsia="PP Telegraf" w:hAnsi="PP Telegraf" w:cs="PP Telegraf"/>
                <w:b/>
                <w:bCs/>
                <w:color w:val="1D1D1B"/>
                <w:kern w:val="0"/>
                <w:sz w:val="20"/>
                <w:szCs w:val="20"/>
                <w:lang w:val="de-DE" w:eastAsia="en-GB"/>
                <w14:ligatures w14:val="none"/>
              </w:rPr>
              <w:lastRenderedPageBreak/>
              <w:t>Tabelle</w:t>
            </w:r>
            <w:r w:rsidR="587657FF" w:rsidRPr="00CA2A20">
              <w:rPr>
                <w:rFonts w:ascii="PP Telegraf" w:eastAsia="PP Telegraf" w:hAnsi="PP Telegraf" w:cs="PP Telegraf"/>
                <w:b/>
                <w:bCs/>
                <w:color w:val="1D1D1B"/>
                <w:kern w:val="0"/>
                <w:sz w:val="20"/>
                <w:szCs w:val="20"/>
                <w:lang w:val="de-DE" w:eastAsia="en-GB"/>
                <w14:ligatures w14:val="none"/>
              </w:rPr>
              <w:t xml:space="preserve"> 1</w:t>
            </w:r>
            <w:r w:rsidRPr="00CA2A20">
              <w:rPr>
                <w:rFonts w:ascii="PP Telegraf" w:eastAsia="PP Telegraf" w:hAnsi="PP Telegraf" w:cs="PP Telegraf"/>
                <w:b/>
                <w:bCs/>
                <w:color w:val="1D1D1B"/>
                <w:kern w:val="0"/>
                <w:sz w:val="20"/>
                <w:szCs w:val="20"/>
                <w:lang w:val="de-DE" w:eastAsia="en-GB"/>
                <w14:ligatures w14:val="none"/>
              </w:rPr>
              <w:t>: Schweiz – Rangliste der Universitäten</w:t>
            </w:r>
          </w:p>
        </w:tc>
      </w:tr>
      <w:tr w:rsidR="00053BA5" w:rsidRPr="002670BF" w14:paraId="38DC63E1"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3E56B42C" w14:textId="0EC64905" w:rsidR="00053BA5" w:rsidRPr="002670BF" w:rsidRDefault="65761E2D" w:rsidP="23C77BED">
            <w:pPr>
              <w:spacing w:after="0" w:line="240" w:lineRule="auto"/>
              <w:jc w:val="both"/>
              <w:rPr>
                <w:rFonts w:ascii="PP Telegraf" w:eastAsia="PP Telegraf" w:hAnsi="PP Telegraf" w:cs="PP Telegraf"/>
                <w:b/>
                <w:bCs/>
                <w:color w:val="1D1D1B"/>
                <w:kern w:val="0"/>
                <w:sz w:val="20"/>
                <w:szCs w:val="20"/>
                <w:lang w:eastAsia="en-GB"/>
                <w14:ligatures w14:val="none"/>
              </w:rPr>
            </w:pPr>
            <w:r w:rsidRPr="23C77BED">
              <w:rPr>
                <w:rFonts w:ascii="PP Telegraf" w:eastAsia="PP Telegraf" w:hAnsi="PP Telegraf" w:cs="PP Telegraf"/>
                <w:b/>
                <w:bCs/>
                <w:color w:val="1D1D1B"/>
                <w:kern w:val="0"/>
                <w:sz w:val="20"/>
                <w:szCs w:val="20"/>
                <w:lang w:eastAsia="en-GB"/>
                <w14:ligatures w14:val="none"/>
              </w:rPr>
              <w:t>Rang</w:t>
            </w:r>
            <w:r w:rsidR="3CF822DB" w:rsidRPr="23C77BED">
              <w:rPr>
                <w:rFonts w:ascii="PP Telegraf" w:eastAsia="PP Telegraf" w:hAnsi="PP Telegraf" w:cs="PP Telegraf"/>
                <w:b/>
                <w:bCs/>
                <w:color w:val="1D1D1B"/>
                <w:kern w:val="0"/>
                <w:sz w:val="20"/>
                <w:szCs w:val="20"/>
                <w:lang w:eastAsia="en-GB"/>
                <w14:ligatures w14:val="none"/>
              </w:rPr>
              <w:t xml:space="preserve"> 2027</w:t>
            </w:r>
          </w:p>
        </w:tc>
        <w:tc>
          <w:tcPr>
            <w:tcW w:w="1335" w:type="dxa"/>
            <w:tcBorders>
              <w:top w:val="nil"/>
              <w:left w:val="nil"/>
              <w:bottom w:val="single" w:sz="4" w:space="0" w:color="auto"/>
              <w:right w:val="single" w:sz="4" w:space="0" w:color="auto"/>
            </w:tcBorders>
            <w:noWrap/>
            <w:vAlign w:val="bottom"/>
            <w:hideMark/>
          </w:tcPr>
          <w:p w14:paraId="1F4AE3FD" w14:textId="7300EE8D" w:rsidR="00053BA5" w:rsidRPr="002670BF" w:rsidRDefault="65761E2D" w:rsidP="23C77BED">
            <w:pPr>
              <w:spacing w:after="0" w:line="240" w:lineRule="auto"/>
              <w:jc w:val="both"/>
              <w:rPr>
                <w:rFonts w:ascii="PP Telegraf" w:eastAsia="PP Telegraf" w:hAnsi="PP Telegraf" w:cs="PP Telegraf"/>
                <w:b/>
                <w:bCs/>
                <w:color w:val="1D1D1B"/>
                <w:kern w:val="0"/>
                <w:sz w:val="20"/>
                <w:szCs w:val="20"/>
                <w:lang w:eastAsia="en-GB"/>
                <w14:ligatures w14:val="none"/>
              </w:rPr>
            </w:pPr>
            <w:r w:rsidRPr="23C77BED">
              <w:rPr>
                <w:rFonts w:ascii="PP Telegraf" w:eastAsia="PP Telegraf" w:hAnsi="PP Telegraf" w:cs="PP Telegraf"/>
                <w:b/>
                <w:bCs/>
                <w:color w:val="1D1D1B"/>
                <w:kern w:val="0"/>
                <w:sz w:val="20"/>
                <w:szCs w:val="20"/>
                <w:lang w:eastAsia="en-GB"/>
                <w14:ligatures w14:val="none"/>
              </w:rPr>
              <w:t>Rang</w:t>
            </w:r>
            <w:r w:rsidR="095AF4AC" w:rsidRPr="23C77BED">
              <w:rPr>
                <w:rFonts w:ascii="PP Telegraf" w:eastAsia="PP Telegraf" w:hAnsi="PP Telegraf" w:cs="PP Telegraf"/>
                <w:b/>
                <w:bCs/>
                <w:color w:val="1D1D1B"/>
                <w:kern w:val="0"/>
                <w:sz w:val="20"/>
                <w:szCs w:val="20"/>
                <w:lang w:eastAsia="en-GB"/>
                <w14:ligatures w14:val="none"/>
              </w:rPr>
              <w:t xml:space="preserve"> 2026</w:t>
            </w:r>
          </w:p>
        </w:tc>
        <w:tc>
          <w:tcPr>
            <w:tcW w:w="4963" w:type="dxa"/>
            <w:tcBorders>
              <w:top w:val="nil"/>
              <w:left w:val="nil"/>
              <w:bottom w:val="single" w:sz="4" w:space="0" w:color="auto"/>
              <w:right w:val="single" w:sz="4" w:space="0" w:color="auto"/>
            </w:tcBorders>
            <w:noWrap/>
            <w:vAlign w:val="bottom"/>
            <w:hideMark/>
          </w:tcPr>
          <w:p w14:paraId="171918E2" w14:textId="77777777" w:rsidR="00053BA5" w:rsidRPr="002670BF" w:rsidRDefault="65761E2D" w:rsidP="23C77BED">
            <w:pPr>
              <w:spacing w:after="0" w:line="240" w:lineRule="auto"/>
              <w:jc w:val="both"/>
              <w:rPr>
                <w:rFonts w:ascii="PP Telegraf" w:eastAsia="PP Telegraf" w:hAnsi="PP Telegraf" w:cs="PP Telegraf"/>
                <w:b/>
                <w:bCs/>
                <w:color w:val="1D1D1B"/>
                <w:kern w:val="0"/>
                <w:sz w:val="20"/>
                <w:szCs w:val="20"/>
                <w:lang w:eastAsia="en-GB"/>
                <w14:ligatures w14:val="none"/>
              </w:rPr>
            </w:pPr>
            <w:r w:rsidRPr="23C77BED">
              <w:rPr>
                <w:rFonts w:ascii="PP Telegraf" w:eastAsia="PP Telegraf" w:hAnsi="PP Telegraf" w:cs="PP Telegraf"/>
                <w:b/>
                <w:bCs/>
                <w:color w:val="1D1D1B"/>
                <w:kern w:val="0"/>
                <w:sz w:val="20"/>
                <w:szCs w:val="20"/>
                <w:lang w:eastAsia="en-GB"/>
                <w14:ligatures w14:val="none"/>
              </w:rPr>
              <w:t>Einrichtung</w:t>
            </w:r>
          </w:p>
        </w:tc>
      </w:tr>
      <w:tr w:rsidR="00053BA5" w:rsidRPr="002670BF" w14:paraId="20CE370C"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79F0770A"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8</w:t>
            </w:r>
          </w:p>
        </w:tc>
        <w:tc>
          <w:tcPr>
            <w:tcW w:w="1335" w:type="dxa"/>
            <w:tcBorders>
              <w:top w:val="nil"/>
              <w:left w:val="nil"/>
              <w:bottom w:val="single" w:sz="4" w:space="0" w:color="auto"/>
              <w:right w:val="single" w:sz="4" w:space="0" w:color="auto"/>
            </w:tcBorders>
            <w:noWrap/>
            <w:vAlign w:val="bottom"/>
            <w:hideMark/>
          </w:tcPr>
          <w:p w14:paraId="1913C5B4"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7</w:t>
            </w:r>
          </w:p>
        </w:tc>
        <w:tc>
          <w:tcPr>
            <w:tcW w:w="4963" w:type="dxa"/>
            <w:tcBorders>
              <w:top w:val="nil"/>
              <w:left w:val="nil"/>
              <w:bottom w:val="single" w:sz="4" w:space="0" w:color="auto"/>
              <w:right w:val="single" w:sz="4" w:space="0" w:color="auto"/>
            </w:tcBorders>
            <w:noWrap/>
            <w:vAlign w:val="bottom"/>
            <w:hideMark/>
          </w:tcPr>
          <w:p w14:paraId="269442AA"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ETH Zürich</w:t>
            </w:r>
          </w:p>
        </w:tc>
      </w:tr>
      <w:tr w:rsidR="00053BA5" w:rsidRPr="00CA2A20" w14:paraId="767CFD8A"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22227F2F"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22</w:t>
            </w:r>
          </w:p>
        </w:tc>
        <w:tc>
          <w:tcPr>
            <w:tcW w:w="1335" w:type="dxa"/>
            <w:tcBorders>
              <w:top w:val="nil"/>
              <w:left w:val="nil"/>
              <w:bottom w:val="single" w:sz="4" w:space="0" w:color="auto"/>
              <w:right w:val="single" w:sz="4" w:space="0" w:color="auto"/>
            </w:tcBorders>
            <w:noWrap/>
            <w:vAlign w:val="bottom"/>
            <w:hideMark/>
          </w:tcPr>
          <w:p w14:paraId="2075EDEA"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22</w:t>
            </w:r>
          </w:p>
        </w:tc>
        <w:tc>
          <w:tcPr>
            <w:tcW w:w="4963" w:type="dxa"/>
            <w:tcBorders>
              <w:top w:val="nil"/>
              <w:left w:val="nil"/>
              <w:bottom w:val="single" w:sz="4" w:space="0" w:color="auto"/>
              <w:right w:val="single" w:sz="4" w:space="0" w:color="auto"/>
            </w:tcBorders>
            <w:noWrap/>
            <w:vAlign w:val="bottom"/>
            <w:hideMark/>
          </w:tcPr>
          <w:p w14:paraId="6734FA8E" w14:textId="77777777" w:rsidR="00053BA5" w:rsidRPr="00CA2A20" w:rsidRDefault="65761E2D" w:rsidP="23C77BED">
            <w:pPr>
              <w:spacing w:after="0" w:line="240" w:lineRule="auto"/>
              <w:jc w:val="both"/>
              <w:rPr>
                <w:rFonts w:ascii="PP Telegraf" w:eastAsia="PP Telegraf" w:hAnsi="PP Telegraf" w:cs="PP Telegraf"/>
                <w:color w:val="1D1D1B"/>
                <w:kern w:val="0"/>
                <w:sz w:val="20"/>
                <w:szCs w:val="20"/>
                <w:lang w:val="de-DE" w:eastAsia="en-GB"/>
                <w14:ligatures w14:val="none"/>
              </w:rPr>
            </w:pPr>
            <w:r w:rsidRPr="00CA2A20">
              <w:rPr>
                <w:rFonts w:ascii="PP Telegraf" w:eastAsia="PP Telegraf" w:hAnsi="PP Telegraf" w:cs="PP Telegraf"/>
                <w:color w:val="1D1D1B"/>
                <w:kern w:val="0"/>
                <w:sz w:val="20"/>
                <w:szCs w:val="20"/>
                <w:lang w:val="de-DE" w:eastAsia="en-GB"/>
                <w14:ligatures w14:val="none"/>
              </w:rPr>
              <w:t>EPFL – Eidgenössische Technische Hochschule Lausanne</w:t>
            </w:r>
          </w:p>
        </w:tc>
      </w:tr>
      <w:tr w:rsidR="00053BA5" w:rsidRPr="002670BF" w14:paraId="6B7FE264"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34177CD0"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98</w:t>
            </w:r>
          </w:p>
        </w:tc>
        <w:tc>
          <w:tcPr>
            <w:tcW w:w="1335" w:type="dxa"/>
            <w:tcBorders>
              <w:top w:val="nil"/>
              <w:left w:val="nil"/>
              <w:bottom w:val="single" w:sz="4" w:space="0" w:color="auto"/>
              <w:right w:val="single" w:sz="4" w:space="0" w:color="auto"/>
            </w:tcBorders>
            <w:noWrap/>
            <w:vAlign w:val="bottom"/>
            <w:hideMark/>
          </w:tcPr>
          <w:p w14:paraId="041BFDC6"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100</w:t>
            </w:r>
          </w:p>
        </w:tc>
        <w:tc>
          <w:tcPr>
            <w:tcW w:w="4963" w:type="dxa"/>
            <w:tcBorders>
              <w:top w:val="nil"/>
              <w:left w:val="nil"/>
              <w:bottom w:val="single" w:sz="4" w:space="0" w:color="auto"/>
              <w:right w:val="single" w:sz="4" w:space="0" w:color="auto"/>
            </w:tcBorders>
            <w:noWrap/>
            <w:vAlign w:val="bottom"/>
            <w:hideMark/>
          </w:tcPr>
          <w:p w14:paraId="40E34FF9"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Universität Zürich</w:t>
            </w:r>
          </w:p>
        </w:tc>
      </w:tr>
      <w:tr w:rsidR="00053BA5" w:rsidRPr="002670BF" w14:paraId="6487969E"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241CF57D"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150</w:t>
            </w:r>
          </w:p>
        </w:tc>
        <w:tc>
          <w:tcPr>
            <w:tcW w:w="1335" w:type="dxa"/>
            <w:tcBorders>
              <w:top w:val="nil"/>
              <w:left w:val="nil"/>
              <w:bottom w:val="single" w:sz="4" w:space="0" w:color="auto"/>
              <w:right w:val="single" w:sz="4" w:space="0" w:color="auto"/>
            </w:tcBorders>
            <w:noWrap/>
            <w:vAlign w:val="bottom"/>
            <w:hideMark/>
          </w:tcPr>
          <w:p w14:paraId="06028A44"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158</w:t>
            </w:r>
          </w:p>
        </w:tc>
        <w:tc>
          <w:tcPr>
            <w:tcW w:w="4963" w:type="dxa"/>
            <w:tcBorders>
              <w:top w:val="nil"/>
              <w:left w:val="nil"/>
              <w:bottom w:val="single" w:sz="4" w:space="0" w:color="auto"/>
              <w:right w:val="single" w:sz="4" w:space="0" w:color="auto"/>
            </w:tcBorders>
            <w:noWrap/>
            <w:vAlign w:val="bottom"/>
            <w:hideMark/>
          </w:tcPr>
          <w:p w14:paraId="2A7EFB9E"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Universität Basel</w:t>
            </w:r>
          </w:p>
        </w:tc>
      </w:tr>
      <w:tr w:rsidR="00053BA5" w:rsidRPr="002670BF" w14:paraId="7E6F9BC7"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40AA0A68"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168</w:t>
            </w:r>
          </w:p>
        </w:tc>
        <w:tc>
          <w:tcPr>
            <w:tcW w:w="1335" w:type="dxa"/>
            <w:tcBorders>
              <w:top w:val="nil"/>
              <w:left w:val="nil"/>
              <w:bottom w:val="single" w:sz="4" w:space="0" w:color="auto"/>
              <w:right w:val="single" w:sz="4" w:space="0" w:color="auto"/>
            </w:tcBorders>
            <w:noWrap/>
            <w:vAlign w:val="bottom"/>
            <w:hideMark/>
          </w:tcPr>
          <w:p w14:paraId="565E1DE8"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155</w:t>
            </w:r>
          </w:p>
        </w:tc>
        <w:tc>
          <w:tcPr>
            <w:tcW w:w="4963" w:type="dxa"/>
            <w:tcBorders>
              <w:top w:val="nil"/>
              <w:left w:val="nil"/>
              <w:bottom w:val="single" w:sz="4" w:space="0" w:color="auto"/>
              <w:right w:val="single" w:sz="4" w:space="0" w:color="auto"/>
            </w:tcBorders>
            <w:noWrap/>
            <w:vAlign w:val="bottom"/>
            <w:hideMark/>
          </w:tcPr>
          <w:p w14:paraId="73AE3D39"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Universität Genf</w:t>
            </w:r>
          </w:p>
        </w:tc>
      </w:tr>
      <w:tr w:rsidR="00053BA5" w:rsidRPr="002670BF" w14:paraId="2FCCC433"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1AB82D09"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191</w:t>
            </w:r>
          </w:p>
        </w:tc>
        <w:tc>
          <w:tcPr>
            <w:tcW w:w="1335" w:type="dxa"/>
            <w:tcBorders>
              <w:top w:val="nil"/>
              <w:left w:val="nil"/>
              <w:bottom w:val="single" w:sz="4" w:space="0" w:color="auto"/>
              <w:right w:val="single" w:sz="4" w:space="0" w:color="auto"/>
            </w:tcBorders>
            <w:noWrap/>
            <w:vAlign w:val="bottom"/>
            <w:hideMark/>
          </w:tcPr>
          <w:p w14:paraId="26A482F8"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184</w:t>
            </w:r>
          </w:p>
        </w:tc>
        <w:tc>
          <w:tcPr>
            <w:tcW w:w="4963" w:type="dxa"/>
            <w:tcBorders>
              <w:top w:val="nil"/>
              <w:left w:val="nil"/>
              <w:bottom w:val="single" w:sz="4" w:space="0" w:color="auto"/>
              <w:right w:val="single" w:sz="4" w:space="0" w:color="auto"/>
            </w:tcBorders>
            <w:noWrap/>
            <w:vAlign w:val="bottom"/>
            <w:hideMark/>
          </w:tcPr>
          <w:p w14:paraId="10412FA0"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Universität Bern</w:t>
            </w:r>
          </w:p>
        </w:tc>
      </w:tr>
      <w:tr w:rsidR="00053BA5" w:rsidRPr="002670BF" w14:paraId="1663E424"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5D8F9F68"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233</w:t>
            </w:r>
          </w:p>
        </w:tc>
        <w:tc>
          <w:tcPr>
            <w:tcW w:w="1335" w:type="dxa"/>
            <w:tcBorders>
              <w:top w:val="nil"/>
              <w:left w:val="nil"/>
              <w:bottom w:val="single" w:sz="4" w:space="0" w:color="auto"/>
              <w:right w:val="single" w:sz="4" w:space="0" w:color="auto"/>
            </w:tcBorders>
            <w:noWrap/>
            <w:vAlign w:val="bottom"/>
            <w:hideMark/>
          </w:tcPr>
          <w:p w14:paraId="69E3528A"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212</w:t>
            </w:r>
          </w:p>
        </w:tc>
        <w:tc>
          <w:tcPr>
            <w:tcW w:w="4963" w:type="dxa"/>
            <w:tcBorders>
              <w:top w:val="nil"/>
              <w:left w:val="nil"/>
              <w:bottom w:val="single" w:sz="4" w:space="0" w:color="auto"/>
              <w:right w:val="single" w:sz="4" w:space="0" w:color="auto"/>
            </w:tcBorders>
            <w:noWrap/>
            <w:vAlign w:val="bottom"/>
            <w:hideMark/>
          </w:tcPr>
          <w:p w14:paraId="50E25857"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Universität Lausanne</w:t>
            </w:r>
          </w:p>
        </w:tc>
      </w:tr>
      <w:tr w:rsidR="00053BA5" w:rsidRPr="00CA2A20" w14:paraId="6D46EB92"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1133E716"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456</w:t>
            </w:r>
          </w:p>
        </w:tc>
        <w:tc>
          <w:tcPr>
            <w:tcW w:w="1335" w:type="dxa"/>
            <w:tcBorders>
              <w:top w:val="nil"/>
              <w:left w:val="nil"/>
              <w:bottom w:val="single" w:sz="4" w:space="0" w:color="auto"/>
              <w:right w:val="single" w:sz="4" w:space="0" w:color="auto"/>
            </w:tcBorders>
            <w:noWrap/>
            <w:vAlign w:val="bottom"/>
            <w:hideMark/>
          </w:tcPr>
          <w:p w14:paraId="0F34FEB4"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473</w:t>
            </w:r>
          </w:p>
        </w:tc>
        <w:tc>
          <w:tcPr>
            <w:tcW w:w="4963" w:type="dxa"/>
            <w:tcBorders>
              <w:top w:val="nil"/>
              <w:left w:val="nil"/>
              <w:bottom w:val="single" w:sz="4" w:space="0" w:color="auto"/>
              <w:right w:val="single" w:sz="4" w:space="0" w:color="auto"/>
            </w:tcBorders>
            <w:noWrap/>
            <w:vAlign w:val="bottom"/>
            <w:hideMark/>
          </w:tcPr>
          <w:p w14:paraId="7F1BEC58"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val="it-IT" w:eastAsia="en-GB"/>
                <w14:ligatures w14:val="none"/>
              </w:rPr>
            </w:pPr>
            <w:r w:rsidRPr="23C77BED">
              <w:rPr>
                <w:rFonts w:ascii="PP Telegraf" w:eastAsia="PP Telegraf" w:hAnsi="PP Telegraf" w:cs="PP Telegraf"/>
                <w:color w:val="1D1D1B"/>
                <w:kern w:val="0"/>
                <w:sz w:val="20"/>
                <w:szCs w:val="20"/>
                <w:lang w:val="it-IT" w:eastAsia="en-GB"/>
                <w14:ligatures w14:val="none"/>
              </w:rPr>
              <w:t>USI – Università della Svizzera italiana</w:t>
            </w:r>
          </w:p>
        </w:tc>
      </w:tr>
      <w:tr w:rsidR="00053BA5" w:rsidRPr="002670BF" w14:paraId="584CD1C3"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54C826C4"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670</w:t>
            </w:r>
          </w:p>
        </w:tc>
        <w:tc>
          <w:tcPr>
            <w:tcW w:w="1335" w:type="dxa"/>
            <w:tcBorders>
              <w:top w:val="nil"/>
              <w:left w:val="nil"/>
              <w:bottom w:val="single" w:sz="4" w:space="0" w:color="auto"/>
              <w:right w:val="single" w:sz="4" w:space="0" w:color="auto"/>
            </w:tcBorders>
            <w:noWrap/>
            <w:vAlign w:val="bottom"/>
            <w:hideMark/>
          </w:tcPr>
          <w:p w14:paraId="1D84083E"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642</w:t>
            </w:r>
          </w:p>
        </w:tc>
        <w:tc>
          <w:tcPr>
            <w:tcW w:w="4963" w:type="dxa"/>
            <w:tcBorders>
              <w:top w:val="nil"/>
              <w:left w:val="nil"/>
              <w:bottom w:val="single" w:sz="4" w:space="0" w:color="auto"/>
              <w:right w:val="single" w:sz="4" w:space="0" w:color="auto"/>
            </w:tcBorders>
            <w:noWrap/>
            <w:vAlign w:val="bottom"/>
            <w:hideMark/>
          </w:tcPr>
          <w:p w14:paraId="6D3D0099"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Universität Freiburg</w:t>
            </w:r>
          </w:p>
        </w:tc>
      </w:tr>
      <w:tr w:rsidR="00053BA5" w:rsidRPr="00CA2A20" w14:paraId="74BFFAFE"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1617FA23"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851–900</w:t>
            </w:r>
          </w:p>
        </w:tc>
        <w:tc>
          <w:tcPr>
            <w:tcW w:w="1335" w:type="dxa"/>
            <w:tcBorders>
              <w:top w:val="nil"/>
              <w:left w:val="nil"/>
              <w:bottom w:val="single" w:sz="4" w:space="0" w:color="auto"/>
              <w:right w:val="single" w:sz="4" w:space="0" w:color="auto"/>
            </w:tcBorders>
            <w:noWrap/>
            <w:vAlign w:val="bottom"/>
            <w:hideMark/>
          </w:tcPr>
          <w:p w14:paraId="30E3D174"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801–850</w:t>
            </w:r>
          </w:p>
        </w:tc>
        <w:tc>
          <w:tcPr>
            <w:tcW w:w="4963" w:type="dxa"/>
            <w:tcBorders>
              <w:top w:val="nil"/>
              <w:left w:val="nil"/>
              <w:bottom w:val="single" w:sz="4" w:space="0" w:color="auto"/>
              <w:right w:val="single" w:sz="4" w:space="0" w:color="auto"/>
            </w:tcBorders>
            <w:noWrap/>
            <w:vAlign w:val="bottom"/>
            <w:hideMark/>
          </w:tcPr>
          <w:p w14:paraId="2EE72695" w14:textId="77777777" w:rsidR="00053BA5" w:rsidRPr="00CA2A20" w:rsidRDefault="65761E2D" w:rsidP="23C77BED">
            <w:pPr>
              <w:spacing w:after="0" w:line="240" w:lineRule="auto"/>
              <w:jc w:val="both"/>
              <w:rPr>
                <w:rFonts w:ascii="PP Telegraf" w:eastAsia="PP Telegraf" w:hAnsi="PP Telegraf" w:cs="PP Telegraf"/>
                <w:color w:val="1D1D1B"/>
                <w:kern w:val="0"/>
                <w:sz w:val="20"/>
                <w:szCs w:val="20"/>
                <w:lang w:val="de-DE" w:eastAsia="en-GB"/>
                <w14:ligatures w14:val="none"/>
              </w:rPr>
            </w:pPr>
            <w:r w:rsidRPr="00CA2A20">
              <w:rPr>
                <w:rFonts w:ascii="PP Telegraf" w:eastAsia="PP Telegraf" w:hAnsi="PP Telegraf" w:cs="PP Telegraf"/>
                <w:color w:val="1D1D1B"/>
                <w:kern w:val="0"/>
                <w:sz w:val="20"/>
                <w:szCs w:val="20"/>
                <w:lang w:val="de-DE" w:eastAsia="en-GB"/>
                <w14:ligatures w14:val="none"/>
              </w:rPr>
              <w:t>Zürcher Hochschule für Angewandte Wissenschaften (ZHAW)</w:t>
            </w:r>
          </w:p>
        </w:tc>
      </w:tr>
      <w:tr w:rsidR="00053BA5" w:rsidRPr="002670BF" w14:paraId="028D4644" w14:textId="77777777" w:rsidTr="23C77BED">
        <w:trPr>
          <w:trHeight w:val="300"/>
          <w:jc w:val="center"/>
        </w:trPr>
        <w:tc>
          <w:tcPr>
            <w:tcW w:w="1530" w:type="dxa"/>
            <w:tcBorders>
              <w:top w:val="nil"/>
              <w:left w:val="single" w:sz="4" w:space="0" w:color="auto"/>
              <w:bottom w:val="single" w:sz="4" w:space="0" w:color="auto"/>
              <w:right w:val="single" w:sz="4" w:space="0" w:color="auto"/>
            </w:tcBorders>
            <w:noWrap/>
            <w:vAlign w:val="bottom"/>
            <w:hideMark/>
          </w:tcPr>
          <w:p w14:paraId="040CCC73"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1201–1400</w:t>
            </w:r>
          </w:p>
        </w:tc>
        <w:tc>
          <w:tcPr>
            <w:tcW w:w="1335" w:type="dxa"/>
            <w:tcBorders>
              <w:top w:val="nil"/>
              <w:left w:val="nil"/>
              <w:bottom w:val="single" w:sz="4" w:space="0" w:color="auto"/>
              <w:right w:val="single" w:sz="4" w:space="0" w:color="auto"/>
            </w:tcBorders>
            <w:noWrap/>
            <w:vAlign w:val="bottom"/>
            <w:hideMark/>
          </w:tcPr>
          <w:p w14:paraId="7A0C1A16"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 xml:space="preserve"> </w:t>
            </w:r>
          </w:p>
        </w:tc>
        <w:tc>
          <w:tcPr>
            <w:tcW w:w="4963" w:type="dxa"/>
            <w:tcBorders>
              <w:top w:val="nil"/>
              <w:left w:val="nil"/>
              <w:bottom w:val="single" w:sz="4" w:space="0" w:color="auto"/>
              <w:right w:val="single" w:sz="4" w:space="0" w:color="auto"/>
            </w:tcBorders>
            <w:noWrap/>
            <w:vAlign w:val="bottom"/>
            <w:hideMark/>
          </w:tcPr>
          <w:p w14:paraId="3D51B4AE" w14:textId="77777777" w:rsidR="00053BA5" w:rsidRPr="002670BF" w:rsidRDefault="65761E2D" w:rsidP="23C77BED">
            <w:pPr>
              <w:spacing w:after="0" w:line="240" w:lineRule="auto"/>
              <w:jc w:val="both"/>
              <w:rPr>
                <w:rFonts w:ascii="PP Telegraf" w:eastAsia="PP Telegraf" w:hAnsi="PP Telegraf" w:cs="PP Telegraf"/>
                <w:color w:val="1D1D1B"/>
                <w:kern w:val="0"/>
                <w:sz w:val="20"/>
                <w:szCs w:val="20"/>
                <w:lang w:eastAsia="en-GB"/>
                <w14:ligatures w14:val="none"/>
              </w:rPr>
            </w:pPr>
            <w:r w:rsidRPr="23C77BED">
              <w:rPr>
                <w:rFonts w:ascii="PP Telegraf" w:eastAsia="PP Telegraf" w:hAnsi="PP Telegraf" w:cs="PP Telegraf"/>
                <w:color w:val="1D1D1B"/>
                <w:kern w:val="0"/>
                <w:sz w:val="20"/>
                <w:szCs w:val="20"/>
                <w:lang w:eastAsia="en-GB"/>
                <w14:ligatures w14:val="none"/>
              </w:rPr>
              <w:t>Universität Neuenburg</w:t>
            </w:r>
          </w:p>
        </w:tc>
      </w:tr>
    </w:tbl>
    <w:p w14:paraId="5C9A14F1" w14:textId="77777777" w:rsidR="00597873" w:rsidRPr="002670BF" w:rsidRDefault="00597873" w:rsidP="23C77BED">
      <w:pPr>
        <w:pStyle w:val="paragraph"/>
        <w:spacing w:before="0" w:beforeAutospacing="0" w:after="0" w:afterAutospacing="0"/>
        <w:jc w:val="both"/>
        <w:textAlignment w:val="baseline"/>
        <w:rPr>
          <w:rStyle w:val="normaltextrun"/>
          <w:rFonts w:ascii="PP Telegraf" w:eastAsia="PP Telegraf" w:hAnsi="PP Telegraf" w:cs="PP Telegraf"/>
          <w:sz w:val="22"/>
          <w:szCs w:val="22"/>
        </w:rPr>
      </w:pPr>
    </w:p>
    <w:p w14:paraId="650E6073" w14:textId="17FC1065" w:rsidR="00597873" w:rsidRDefault="4C3915CB" w:rsidP="23C77BED">
      <w:pPr>
        <w:pStyle w:val="paragraph"/>
        <w:spacing w:before="0" w:beforeAutospacing="0" w:after="160" w:afterAutospacing="0" w:line="360" w:lineRule="auto"/>
        <w:jc w:val="both"/>
        <w:textAlignment w:val="baseline"/>
        <w:rPr>
          <w:rStyle w:val="normaltextrun"/>
          <w:rFonts w:ascii="PP Telegraf" w:eastAsia="PP Telegraf" w:hAnsi="PP Telegraf" w:cs="PP Telegraf"/>
          <w:b/>
          <w:bCs/>
          <w:color w:val="000000"/>
          <w:sz w:val="22"/>
          <w:szCs w:val="22"/>
          <w:u w:val="single"/>
          <w:shd w:val="clear" w:color="auto" w:fill="FFFFFF"/>
        </w:rPr>
      </w:pPr>
      <w:r w:rsidRPr="23C77BED">
        <w:rPr>
          <w:rStyle w:val="normaltextrun"/>
          <w:rFonts w:ascii="PP Telegraf" w:eastAsia="PP Telegraf" w:hAnsi="PP Telegraf" w:cs="PP Telegraf"/>
          <w:b/>
          <w:bCs/>
          <w:color w:val="000000"/>
          <w:sz w:val="22"/>
          <w:szCs w:val="22"/>
          <w:u w:val="single"/>
          <w:shd w:val="clear" w:color="auto" w:fill="FFFFFF"/>
        </w:rPr>
        <w:t xml:space="preserve">Zusammenfassung: </w:t>
      </w:r>
      <w:r w:rsidR="4B6FD092" w:rsidRPr="23C77BED">
        <w:rPr>
          <w:rStyle w:val="normaltextrun"/>
          <w:rFonts w:ascii="PP Telegraf" w:eastAsia="PP Telegraf" w:hAnsi="PP Telegraf" w:cs="PP Telegraf"/>
          <w:b/>
          <w:bCs/>
          <w:color w:val="000000"/>
          <w:sz w:val="22"/>
          <w:szCs w:val="22"/>
          <w:u w:val="single"/>
          <w:shd w:val="clear" w:color="auto" w:fill="FFFFFF"/>
        </w:rPr>
        <w:t>Schweiz</w:t>
      </w:r>
    </w:p>
    <w:p w14:paraId="05B588F0" w14:textId="77777777" w:rsidR="00FA7B26" w:rsidRPr="00CA2A20" w:rsidRDefault="44410494" w:rsidP="23C77BED">
      <w:pPr>
        <w:pStyle w:val="paragraph"/>
        <w:numPr>
          <w:ilvl w:val="0"/>
          <w:numId w:val="9"/>
        </w:numPr>
        <w:spacing w:before="0" w:beforeAutospacing="0" w:after="160" w:afterAutospacing="0" w:line="360" w:lineRule="auto"/>
        <w:jc w:val="both"/>
        <w:textAlignment w:val="baseline"/>
        <w:rPr>
          <w:rFonts w:ascii="PP Telegraf" w:eastAsia="PP Telegraf" w:hAnsi="PP Telegraf" w:cs="PP Telegraf"/>
          <w:color w:val="000000"/>
          <w:sz w:val="22"/>
          <w:szCs w:val="22"/>
          <w:shd w:val="clear" w:color="auto" w:fill="FFFFFF"/>
          <w:lang w:val="de-DE"/>
        </w:rPr>
      </w:pPr>
      <w:r w:rsidRPr="00CA2A20">
        <w:rPr>
          <w:rFonts w:ascii="PP Telegraf" w:eastAsia="PP Telegraf" w:hAnsi="PP Telegraf" w:cs="PP Telegraf"/>
          <w:color w:val="000000"/>
          <w:sz w:val="22"/>
          <w:szCs w:val="22"/>
          <w:shd w:val="clear" w:color="auto" w:fill="FFFFFF"/>
          <w:lang w:val="de-DE"/>
        </w:rPr>
        <w:t xml:space="preserve">Die ETH Zürich bleibt die am höchsten platzierte Universität Kontinentaleuropas, obwohl sie weltweit auf den achten Platz zurückgefallen ist, was die Spitzenposition der Schweiz im Hochschulbereich untermauert. </w:t>
      </w:r>
    </w:p>
    <w:p w14:paraId="2053003C" w14:textId="6DA7B7D0" w:rsidR="00FA7B26" w:rsidRPr="00CA2A20" w:rsidRDefault="7B8C8061" w:rsidP="23C77BED">
      <w:pPr>
        <w:pStyle w:val="paragraph"/>
        <w:numPr>
          <w:ilvl w:val="0"/>
          <w:numId w:val="9"/>
        </w:numPr>
        <w:spacing w:before="0" w:beforeAutospacing="0" w:after="160" w:afterAutospacing="0" w:line="360" w:lineRule="auto"/>
        <w:jc w:val="both"/>
        <w:textAlignment w:val="baseline"/>
        <w:rPr>
          <w:rFonts w:ascii="PP Telegraf" w:eastAsia="PP Telegraf" w:hAnsi="PP Telegraf" w:cs="PP Telegraf"/>
          <w:color w:val="000000"/>
          <w:sz w:val="22"/>
          <w:szCs w:val="22"/>
          <w:shd w:val="clear" w:color="auto" w:fill="FFFFFF"/>
          <w:lang w:val="de-DE"/>
        </w:rPr>
      </w:pPr>
      <w:r w:rsidRPr="00CA2A20">
        <w:rPr>
          <w:rFonts w:ascii="PP Telegraf" w:eastAsia="PP Telegraf" w:hAnsi="PP Telegraf" w:cs="PP Telegraf"/>
          <w:color w:val="000000"/>
          <w:sz w:val="22"/>
          <w:szCs w:val="22"/>
          <w:shd w:val="clear" w:color="auto" w:fill="FFFFFF"/>
          <w:lang w:val="de-DE"/>
        </w:rPr>
        <w:t xml:space="preserve">Die Schweiz verfügt nach wie vor über eine der weltweit höchsten Konzentrationen an Spitzenhochschulen, wobei 27 % der bewerteten Universitäten unter den globalen Top 100 rangieren. </w:t>
      </w:r>
    </w:p>
    <w:p w14:paraId="5301F53F" w14:textId="166CF533" w:rsidR="00FA7B26" w:rsidRPr="00CA2A20" w:rsidRDefault="44410494" w:rsidP="23C77BED">
      <w:pPr>
        <w:pStyle w:val="paragraph"/>
        <w:numPr>
          <w:ilvl w:val="0"/>
          <w:numId w:val="9"/>
        </w:numPr>
        <w:spacing w:before="0" w:beforeAutospacing="0" w:after="160" w:afterAutospacing="0" w:line="360" w:lineRule="auto"/>
        <w:jc w:val="both"/>
        <w:textAlignment w:val="baseline"/>
        <w:rPr>
          <w:rFonts w:ascii="PP Telegraf" w:eastAsia="PP Telegraf" w:hAnsi="PP Telegraf" w:cs="PP Telegraf"/>
          <w:color w:val="000000"/>
          <w:sz w:val="22"/>
          <w:szCs w:val="22"/>
          <w:shd w:val="clear" w:color="auto" w:fill="FFFFFF"/>
          <w:lang w:val="de-DE"/>
        </w:rPr>
      </w:pPr>
      <w:r w:rsidRPr="00CA2A20">
        <w:rPr>
          <w:rFonts w:ascii="PP Telegraf" w:eastAsia="PP Telegraf" w:hAnsi="PP Telegraf" w:cs="PP Telegraf"/>
          <w:color w:val="000000"/>
          <w:sz w:val="22"/>
          <w:szCs w:val="22"/>
          <w:shd w:val="clear" w:color="auto" w:fill="FFFFFF"/>
          <w:lang w:val="de-DE"/>
        </w:rPr>
        <w:t xml:space="preserve">Schweizer Universitäten schneiden bei den Internationalisierungsindikatoren weltweit weiterhin überdurchschnittlich gut ab; vier Hochschulen rangieren unter den weltweit 50 besten in Bezug auf den Anteil internationaler Lehrkräfte. </w:t>
      </w:r>
    </w:p>
    <w:p w14:paraId="0D2A570B" w14:textId="703C7267" w:rsidR="00FA7B26" w:rsidRPr="00CA2A20" w:rsidRDefault="7B8C8061" w:rsidP="23C77BED">
      <w:pPr>
        <w:pStyle w:val="paragraph"/>
        <w:numPr>
          <w:ilvl w:val="0"/>
          <w:numId w:val="9"/>
        </w:numPr>
        <w:spacing w:before="0" w:beforeAutospacing="0" w:after="160" w:afterAutospacing="0" w:line="360" w:lineRule="auto"/>
        <w:jc w:val="both"/>
        <w:textAlignment w:val="baseline"/>
        <w:rPr>
          <w:rFonts w:ascii="PP Telegraf" w:eastAsia="PP Telegraf" w:hAnsi="PP Telegraf" w:cs="PP Telegraf"/>
          <w:color w:val="000000"/>
          <w:sz w:val="22"/>
          <w:szCs w:val="22"/>
          <w:shd w:val="clear" w:color="auto" w:fill="FFFFFF"/>
          <w:lang w:val="de-DE"/>
        </w:rPr>
      </w:pPr>
      <w:r w:rsidRPr="00CA2A20">
        <w:rPr>
          <w:rFonts w:ascii="PP Telegraf" w:eastAsia="PP Telegraf" w:hAnsi="PP Telegraf" w:cs="PP Telegraf"/>
          <w:color w:val="000000"/>
          <w:sz w:val="22"/>
          <w:szCs w:val="22"/>
          <w:shd w:val="clear" w:color="auto" w:fill="FFFFFF"/>
          <w:lang w:val="de-DE"/>
        </w:rPr>
        <w:t>Die nationale Entwicklung zeigt eine gemischte Dynamik: Zuwächse bei der akademischen Reputation und der Beschäftigungsfähigkeit werden durch rückläufige Anteile internationaler Studierender und Lehrkräfte ausgeglichen</w:t>
      </w:r>
      <w:r w:rsidR="627AE244" w:rsidRPr="00CA2A20">
        <w:rPr>
          <w:rFonts w:ascii="PP Telegraf" w:eastAsia="PP Telegraf" w:hAnsi="PP Telegraf" w:cs="PP Telegraf"/>
          <w:color w:val="000000"/>
          <w:sz w:val="22"/>
          <w:szCs w:val="22"/>
          <w:shd w:val="clear" w:color="auto" w:fill="FFFFFF"/>
          <w:lang w:val="de-DE"/>
        </w:rPr>
        <w:t>.</w:t>
      </w:r>
    </w:p>
    <w:p w14:paraId="2C59FCB7" w14:textId="77777777" w:rsidR="00FA7B26" w:rsidRPr="00CA2A20" w:rsidRDefault="44410494" w:rsidP="23C77BED">
      <w:pPr>
        <w:pStyle w:val="paragraph"/>
        <w:numPr>
          <w:ilvl w:val="0"/>
          <w:numId w:val="9"/>
        </w:numPr>
        <w:spacing w:before="0" w:beforeAutospacing="0" w:after="160" w:afterAutospacing="0" w:line="360" w:lineRule="auto"/>
        <w:jc w:val="both"/>
        <w:textAlignment w:val="baseline"/>
        <w:rPr>
          <w:rFonts w:ascii="PP Telegraf" w:eastAsia="PP Telegraf" w:hAnsi="PP Telegraf" w:cs="PP Telegraf"/>
          <w:color w:val="000000"/>
          <w:sz w:val="22"/>
          <w:szCs w:val="22"/>
          <w:shd w:val="clear" w:color="auto" w:fill="FFFFFF"/>
          <w:lang w:val="de-DE"/>
        </w:rPr>
      </w:pPr>
      <w:r w:rsidRPr="00CA2A20">
        <w:rPr>
          <w:rFonts w:ascii="PP Telegraf" w:eastAsia="PP Telegraf" w:hAnsi="PP Telegraf" w:cs="PP Telegraf"/>
          <w:color w:val="000000"/>
          <w:sz w:val="22"/>
          <w:szCs w:val="22"/>
          <w:shd w:val="clear" w:color="auto" w:fill="FFFFFF"/>
          <w:lang w:val="de-DE"/>
        </w:rPr>
        <w:t xml:space="preserve">Die ETH Zürich bleibt in Kontinentaleuropa führend im Bereich Nachhaltigkeit, obwohl sie bei diesem Indikator weltweit vom zweiten auf den elften Platz zurückgefallen ist. </w:t>
      </w:r>
    </w:p>
    <w:p w14:paraId="1340C968" w14:textId="77777777" w:rsidR="00FA7B26" w:rsidRPr="00CA2A20" w:rsidRDefault="44410494" w:rsidP="23C77BED">
      <w:pPr>
        <w:pStyle w:val="paragraph"/>
        <w:numPr>
          <w:ilvl w:val="0"/>
          <w:numId w:val="9"/>
        </w:numPr>
        <w:spacing w:before="0" w:beforeAutospacing="0" w:after="160" w:afterAutospacing="0" w:line="360" w:lineRule="auto"/>
        <w:jc w:val="both"/>
        <w:textAlignment w:val="baseline"/>
        <w:rPr>
          <w:rFonts w:ascii="PP Telegraf" w:eastAsia="PP Telegraf" w:hAnsi="PP Telegraf" w:cs="PP Telegraf"/>
          <w:color w:val="000000"/>
          <w:sz w:val="22"/>
          <w:szCs w:val="22"/>
          <w:shd w:val="clear" w:color="auto" w:fill="FFFFFF"/>
          <w:lang w:val="de-DE"/>
        </w:rPr>
      </w:pPr>
      <w:r w:rsidRPr="00CA2A20">
        <w:rPr>
          <w:rFonts w:ascii="PP Telegraf" w:eastAsia="PP Telegraf" w:hAnsi="PP Telegraf" w:cs="PP Telegraf"/>
          <w:color w:val="000000"/>
          <w:sz w:val="22"/>
          <w:szCs w:val="22"/>
          <w:shd w:val="clear" w:color="auto" w:fill="FFFFFF"/>
          <w:lang w:val="de-DE"/>
        </w:rPr>
        <w:t xml:space="preserve">Die USI – </w:t>
      </w:r>
      <w:proofErr w:type="spellStart"/>
      <w:r w:rsidRPr="00CA2A20">
        <w:rPr>
          <w:rFonts w:ascii="PP Telegraf" w:eastAsia="PP Telegraf" w:hAnsi="PP Telegraf" w:cs="PP Telegraf"/>
          <w:color w:val="000000"/>
          <w:sz w:val="22"/>
          <w:szCs w:val="22"/>
          <w:shd w:val="clear" w:color="auto" w:fill="FFFFFF"/>
          <w:lang w:val="de-DE"/>
        </w:rPr>
        <w:t>Università</w:t>
      </w:r>
      <w:proofErr w:type="spellEnd"/>
      <w:r w:rsidRPr="00CA2A20">
        <w:rPr>
          <w:rFonts w:ascii="PP Telegraf" w:eastAsia="PP Telegraf" w:hAnsi="PP Telegraf" w:cs="PP Telegraf"/>
          <w:color w:val="000000"/>
          <w:sz w:val="22"/>
          <w:szCs w:val="22"/>
          <w:shd w:val="clear" w:color="auto" w:fill="FFFFFF"/>
          <w:lang w:val="de-DE"/>
        </w:rPr>
        <w:t xml:space="preserve"> della Svizzera italiana verzeichnet die stärkste Verbesserung im Schweizer Ranking und klettert dank einer verbesserten Zitierleistung in der Forschung um 17 Plätze nach oben. </w:t>
      </w:r>
    </w:p>
    <w:p w14:paraId="0FD56FEE" w14:textId="475E275A" w:rsidR="00FA7B26" w:rsidRPr="00CA2A20" w:rsidRDefault="7B8C8061" w:rsidP="23C77BED">
      <w:pPr>
        <w:pStyle w:val="paragraph"/>
        <w:numPr>
          <w:ilvl w:val="0"/>
          <w:numId w:val="9"/>
        </w:numPr>
        <w:spacing w:before="0" w:beforeAutospacing="0" w:after="160" w:afterAutospacing="0" w:line="360" w:lineRule="auto"/>
        <w:jc w:val="both"/>
        <w:textAlignment w:val="baseline"/>
        <w:rPr>
          <w:rStyle w:val="normaltextrun"/>
          <w:rFonts w:ascii="PP Telegraf" w:eastAsia="PP Telegraf" w:hAnsi="PP Telegraf" w:cs="PP Telegraf"/>
          <w:color w:val="000000"/>
          <w:sz w:val="22"/>
          <w:szCs w:val="22"/>
          <w:shd w:val="clear" w:color="auto" w:fill="FFFFFF"/>
          <w:lang w:val="de-DE"/>
        </w:rPr>
      </w:pPr>
      <w:r w:rsidRPr="00CA2A20">
        <w:rPr>
          <w:rFonts w:ascii="PP Telegraf" w:eastAsia="PP Telegraf" w:hAnsi="PP Telegraf" w:cs="PP Telegraf"/>
          <w:color w:val="000000"/>
          <w:sz w:val="22"/>
          <w:szCs w:val="22"/>
          <w:shd w:val="clear" w:color="auto" w:fill="FFFFFF"/>
          <w:lang w:val="de-DE"/>
        </w:rPr>
        <w:t>Die Universität Basel kehrt nach Verbesserungen bei der akademischen Reputation und den Beschäftigungsergebnissen der Absolventen in die globalen Top 150 zurück.</w:t>
      </w:r>
    </w:p>
    <w:p w14:paraId="32FEB3D2" w14:textId="21A35620" w:rsidR="49AAF08C" w:rsidRPr="00CA2A20" w:rsidRDefault="49AAF08C" w:rsidP="23C77BED">
      <w:pPr>
        <w:pStyle w:val="paragraph"/>
        <w:numPr>
          <w:ilvl w:val="0"/>
          <w:numId w:val="9"/>
        </w:numPr>
        <w:spacing w:before="0" w:beforeAutospacing="0" w:after="160" w:afterAutospacing="0" w:line="360" w:lineRule="auto"/>
        <w:jc w:val="both"/>
        <w:rPr>
          <w:rFonts w:ascii="PP Telegraf" w:eastAsia="PP Telegraf" w:hAnsi="PP Telegraf" w:cs="PP Telegraf"/>
          <w:sz w:val="22"/>
          <w:szCs w:val="22"/>
          <w:lang w:val="de-DE"/>
        </w:rPr>
      </w:pPr>
      <w:r w:rsidRPr="00CA2A20">
        <w:rPr>
          <w:rFonts w:ascii="PP Telegraf" w:eastAsia="PP Telegraf" w:hAnsi="PP Telegraf" w:cs="PP Telegraf"/>
          <w:sz w:val="22"/>
          <w:szCs w:val="22"/>
          <w:lang w:val="de-DE"/>
        </w:rPr>
        <w:lastRenderedPageBreak/>
        <w:t>Die Schweiz scheint gut positioniert zu sein, um ihr Profil in den Bereichen Hochschulbildung und Forschung weiter zu stärken, unterstützt durch die</w:t>
      </w:r>
      <w:hyperlink r:id="rId10">
        <w:r w:rsidRPr="00CA2A20">
          <w:rPr>
            <w:rStyle w:val="Hyperlink"/>
            <w:rFonts w:ascii="PP Telegraf" w:eastAsia="PP Telegraf" w:hAnsi="PP Telegraf" w:cs="PP Telegraf"/>
            <w:sz w:val="22"/>
            <w:szCs w:val="22"/>
            <w:lang w:val="de-DE"/>
          </w:rPr>
          <w:t xml:space="preserve"> 29,2 Milliarden Franken schwere Bildungs- und Innovationsstrategie</w:t>
        </w:r>
      </w:hyperlink>
      <w:r w:rsidRPr="00CA2A20">
        <w:rPr>
          <w:rFonts w:ascii="PP Telegraf" w:eastAsia="PP Telegraf" w:hAnsi="PP Telegraf" w:cs="PP Telegraf"/>
          <w:sz w:val="22"/>
          <w:szCs w:val="22"/>
          <w:lang w:val="de-DE"/>
        </w:rPr>
        <w:t xml:space="preserve"> des Landes </w:t>
      </w:r>
      <w:hyperlink r:id="rId11">
        <w:r w:rsidRPr="00CA2A20">
          <w:rPr>
            <w:rStyle w:val="Hyperlink"/>
            <w:rFonts w:ascii="PP Telegraf" w:eastAsia="PP Telegraf" w:hAnsi="PP Telegraf" w:cs="PP Telegraf"/>
            <w:sz w:val="22"/>
            <w:szCs w:val="22"/>
            <w:lang w:val="de-DE"/>
          </w:rPr>
          <w:t>für 2025–2028</w:t>
        </w:r>
      </w:hyperlink>
      <w:r w:rsidRPr="00CA2A20">
        <w:rPr>
          <w:rFonts w:ascii="PP Telegraf" w:eastAsia="PP Telegraf" w:hAnsi="PP Telegraf" w:cs="PP Telegraf"/>
          <w:sz w:val="22"/>
          <w:szCs w:val="22"/>
          <w:lang w:val="de-DE"/>
        </w:rPr>
        <w:t xml:space="preserve"> und ihre </w:t>
      </w:r>
      <w:hyperlink r:id="rId12">
        <w:r w:rsidRPr="00CA2A20">
          <w:rPr>
            <w:rStyle w:val="Hyperlink"/>
            <w:rFonts w:ascii="PP Telegraf" w:eastAsia="PP Telegraf" w:hAnsi="PP Telegraf" w:cs="PP Telegraf"/>
            <w:sz w:val="22"/>
            <w:szCs w:val="22"/>
            <w:lang w:val="de-DE"/>
          </w:rPr>
          <w:t>erneute Teilnahme an den Förderprogrammen „Horizon Europe“ und „ERC“</w:t>
        </w:r>
      </w:hyperlink>
      <w:r w:rsidRPr="00CA2A20">
        <w:rPr>
          <w:rFonts w:ascii="PP Telegraf" w:eastAsia="PP Telegraf" w:hAnsi="PP Telegraf" w:cs="PP Telegraf"/>
          <w:sz w:val="22"/>
          <w:szCs w:val="22"/>
          <w:lang w:val="de-DE"/>
        </w:rPr>
        <w:t>, von denen beide eine Ausweitung der internationalen Forschungszusammenarbeit und der Fördermöglichkeiten im gesamten Sektor erwarten lassen.</w:t>
      </w:r>
    </w:p>
    <w:p w14:paraId="115FAEFD" w14:textId="18D31035" w:rsidR="00F82231" w:rsidRPr="00CA2A20" w:rsidRDefault="0BECA9AF" w:rsidP="23C77BED">
      <w:pPr>
        <w:pStyle w:val="paragraph"/>
        <w:spacing w:before="0" w:beforeAutospacing="0" w:after="160" w:afterAutospacing="0" w:line="360" w:lineRule="auto"/>
        <w:jc w:val="both"/>
        <w:textAlignment w:val="baseline"/>
        <w:rPr>
          <w:rFonts w:ascii="PP Telegraf" w:eastAsia="PP Telegraf" w:hAnsi="PP Telegraf" w:cs="PP Telegraf"/>
          <w:sz w:val="22"/>
          <w:szCs w:val="22"/>
          <w:lang w:val="de-DE"/>
        </w:rPr>
      </w:pPr>
      <w:r w:rsidRPr="00CA2A20">
        <w:rPr>
          <w:rFonts w:ascii="PP Telegraf" w:eastAsia="PP Telegraf" w:hAnsi="PP Telegraf" w:cs="PP Telegraf"/>
          <w:b/>
          <w:bCs/>
          <w:sz w:val="22"/>
          <w:szCs w:val="22"/>
          <w:lang w:val="de-DE"/>
        </w:rPr>
        <w:t xml:space="preserve">Ben Sowter, Senior </w:t>
      </w:r>
      <w:proofErr w:type="spellStart"/>
      <w:r w:rsidRPr="00CA2A20">
        <w:rPr>
          <w:rFonts w:ascii="PP Telegraf" w:eastAsia="PP Telegraf" w:hAnsi="PP Telegraf" w:cs="PP Telegraf"/>
          <w:b/>
          <w:bCs/>
          <w:sz w:val="22"/>
          <w:szCs w:val="22"/>
          <w:lang w:val="de-DE"/>
        </w:rPr>
        <w:t>Vice</w:t>
      </w:r>
      <w:proofErr w:type="spellEnd"/>
      <w:r w:rsidRPr="00CA2A20">
        <w:rPr>
          <w:rFonts w:ascii="PP Telegraf" w:eastAsia="PP Telegraf" w:hAnsi="PP Telegraf" w:cs="PP Telegraf"/>
          <w:b/>
          <w:bCs/>
          <w:sz w:val="22"/>
          <w:szCs w:val="22"/>
          <w:lang w:val="de-DE"/>
        </w:rPr>
        <w:t xml:space="preserve"> </w:t>
      </w:r>
      <w:proofErr w:type="spellStart"/>
      <w:r w:rsidRPr="00CA2A20">
        <w:rPr>
          <w:rFonts w:ascii="PP Telegraf" w:eastAsia="PP Telegraf" w:hAnsi="PP Telegraf" w:cs="PP Telegraf"/>
          <w:b/>
          <w:bCs/>
          <w:sz w:val="22"/>
          <w:szCs w:val="22"/>
          <w:lang w:val="de-DE"/>
        </w:rPr>
        <w:t>President</w:t>
      </w:r>
      <w:proofErr w:type="spellEnd"/>
      <w:r w:rsidRPr="00CA2A20">
        <w:rPr>
          <w:rFonts w:ascii="PP Telegraf" w:eastAsia="PP Telegraf" w:hAnsi="PP Telegraf" w:cs="PP Telegraf"/>
          <w:b/>
          <w:bCs/>
          <w:sz w:val="22"/>
          <w:szCs w:val="22"/>
          <w:lang w:val="de-DE"/>
        </w:rPr>
        <w:t xml:space="preserve"> bei QS,</w:t>
      </w:r>
      <w:r w:rsidR="00632BD4">
        <w:rPr>
          <w:rFonts w:ascii="PP Telegraf" w:eastAsia="PP Telegraf" w:hAnsi="PP Telegraf" w:cs="PP Telegraf"/>
          <w:b/>
          <w:bCs/>
          <w:sz w:val="22"/>
          <w:szCs w:val="22"/>
          <w:lang w:val="de-DE"/>
        </w:rPr>
        <w:t xml:space="preserve"> sagt:</w:t>
      </w:r>
      <w:r w:rsidRPr="00CA2A20">
        <w:rPr>
          <w:rFonts w:ascii="PP Telegraf" w:eastAsia="PP Telegraf" w:hAnsi="PP Telegraf" w:cs="PP Telegraf"/>
          <w:b/>
          <w:bCs/>
          <w:sz w:val="22"/>
          <w:szCs w:val="22"/>
          <w:lang w:val="de-DE"/>
        </w:rPr>
        <w:t xml:space="preserve"> </w:t>
      </w:r>
      <w:r w:rsidRPr="00CA2A20">
        <w:rPr>
          <w:rFonts w:ascii="PP Telegraf" w:eastAsia="PP Telegraf" w:hAnsi="PP Telegraf" w:cs="PP Telegraf"/>
          <w:sz w:val="22"/>
          <w:szCs w:val="22"/>
          <w:lang w:val="de-DE"/>
        </w:rPr>
        <w:t xml:space="preserve">sagte: </w:t>
      </w:r>
      <w:r w:rsidR="7B8C8061" w:rsidRPr="00CA2A20">
        <w:rPr>
          <w:rFonts w:ascii="PP Telegraf" w:eastAsia="PP Telegraf" w:hAnsi="PP Telegraf" w:cs="PP Telegraf"/>
          <w:i/>
          <w:iCs/>
          <w:sz w:val="22"/>
          <w:szCs w:val="22"/>
          <w:lang w:val="de-DE"/>
        </w:rPr>
        <w:t>„Die Schweiz verbindet weiterhin Größe mit hoher institutioneller Leistung, angeführt von der ETH Zürich auf Platz acht weltweit und der EPFL auf</w:t>
      </w:r>
      <w:r w:rsidR="00C42045">
        <w:rPr>
          <w:rFonts w:ascii="PP Telegraf" w:eastAsia="PP Telegraf" w:hAnsi="PP Telegraf" w:cs="PP Telegraf"/>
          <w:i/>
          <w:iCs/>
          <w:sz w:val="22"/>
          <w:szCs w:val="22"/>
          <w:lang w:val="de-DE"/>
        </w:rPr>
        <w:t xml:space="preserve"> Platz 22</w:t>
      </w:r>
      <w:r w:rsidR="7B8C8061" w:rsidRPr="00CA2A20">
        <w:rPr>
          <w:rFonts w:ascii="PP Telegraf" w:eastAsia="PP Telegraf" w:hAnsi="PP Telegraf" w:cs="PP Telegraf"/>
          <w:i/>
          <w:iCs/>
          <w:sz w:val="22"/>
          <w:szCs w:val="22"/>
          <w:lang w:val="de-DE"/>
        </w:rPr>
        <w:t>. Während die Veränderungen in den Rankings bei den Schweizer Universitäten in diesem Jahr gemischt ausfielen, deuten die Verbesserungen bei Einrichtungen wie der Universität Basel und der USI auf eine anhaltende Stärke in Bezug auf Forschungswirkung, Reputation und Absolventenergebnisse hin</w:t>
      </w:r>
      <w:r w:rsidR="1DAD0852" w:rsidRPr="00CA2A20">
        <w:rPr>
          <w:rFonts w:ascii="PP Telegraf" w:eastAsia="PP Telegraf" w:hAnsi="PP Telegraf" w:cs="PP Telegraf"/>
          <w:i/>
          <w:iCs/>
          <w:sz w:val="22"/>
          <w:szCs w:val="22"/>
          <w:lang w:val="de-DE"/>
        </w:rPr>
        <w:t xml:space="preserve">.“ </w:t>
      </w:r>
    </w:p>
    <w:p w14:paraId="10F1F45F" w14:textId="7CD4F8F4" w:rsidR="00ED7A38" w:rsidRPr="00CA2A20" w:rsidRDefault="2F87A2A7" w:rsidP="23C77BED">
      <w:pPr>
        <w:pStyle w:val="paragraph"/>
        <w:spacing w:before="0" w:beforeAutospacing="0" w:after="160" w:afterAutospacing="0" w:line="360" w:lineRule="auto"/>
        <w:jc w:val="both"/>
        <w:textAlignment w:val="baseline"/>
        <w:rPr>
          <w:rFonts w:ascii="PP Telegraf" w:eastAsia="PP Telegraf" w:hAnsi="PP Telegraf" w:cs="PP Telegraf"/>
          <w:b/>
          <w:bCs/>
          <w:sz w:val="22"/>
          <w:szCs w:val="22"/>
          <w:u w:val="single"/>
          <w:lang w:val="de-DE"/>
        </w:rPr>
      </w:pPr>
      <w:r w:rsidRPr="00CA2A20">
        <w:rPr>
          <w:rFonts w:ascii="PP Telegraf" w:eastAsia="PP Telegraf" w:hAnsi="PP Telegraf" w:cs="PP Telegraf"/>
          <w:b/>
          <w:bCs/>
          <w:sz w:val="22"/>
          <w:szCs w:val="22"/>
          <w:u w:val="single"/>
          <w:lang w:val="de-DE"/>
        </w:rPr>
        <w:t>Überblick über die Schweiz</w:t>
      </w:r>
    </w:p>
    <w:p w14:paraId="1D506160" w14:textId="2810FC4C" w:rsidR="00F82231" w:rsidRPr="00CA2A20" w:rsidRDefault="7445EFC0" w:rsidP="23C77BED">
      <w:pPr>
        <w:pStyle w:val="paragraph"/>
        <w:spacing w:before="0" w:beforeAutospacing="0" w:after="160" w:afterAutospacing="0" w:line="360" w:lineRule="auto"/>
        <w:jc w:val="both"/>
        <w:textAlignment w:val="baseline"/>
        <w:rPr>
          <w:rFonts w:ascii="PP Telegraf" w:eastAsia="PP Telegraf" w:hAnsi="PP Telegraf" w:cs="PP Telegraf"/>
          <w:sz w:val="22"/>
          <w:szCs w:val="22"/>
          <w:lang w:val="de-DE"/>
        </w:rPr>
      </w:pPr>
      <w:r w:rsidRPr="00CA2A20">
        <w:rPr>
          <w:rFonts w:ascii="PP Telegraf" w:eastAsia="PP Telegraf" w:hAnsi="PP Telegraf" w:cs="PP Telegraf"/>
          <w:sz w:val="22"/>
          <w:szCs w:val="22"/>
          <w:lang w:val="de-DE"/>
        </w:rPr>
        <w:t>Die Schweiz liegt gemeinsam mit Frankreich an der Spitze der Länder mit den meisten Universitäten unter den Top 50 in Kontinentaleuropa</w:t>
      </w:r>
      <w:r w:rsidR="0489D4A6" w:rsidRPr="00CA2A20">
        <w:rPr>
          <w:rFonts w:ascii="PP Telegraf" w:eastAsia="PP Telegraf" w:hAnsi="PP Telegraf" w:cs="PP Telegraf"/>
          <w:sz w:val="22"/>
          <w:szCs w:val="22"/>
          <w:lang w:val="de-DE"/>
        </w:rPr>
        <w:t>, jeweils mit zwei</w:t>
      </w:r>
      <w:r w:rsidRPr="00CA2A20">
        <w:rPr>
          <w:rFonts w:ascii="PP Telegraf" w:eastAsia="PP Telegraf" w:hAnsi="PP Telegraf" w:cs="PP Telegraf"/>
          <w:sz w:val="22"/>
          <w:szCs w:val="22"/>
          <w:lang w:val="de-DE"/>
        </w:rPr>
        <w:t xml:space="preserve">. Mit nur </w:t>
      </w:r>
      <w:r w:rsidR="00C42045">
        <w:rPr>
          <w:rFonts w:ascii="PP Telegraf" w:eastAsia="PP Telegraf" w:hAnsi="PP Telegraf" w:cs="PP Telegraf"/>
          <w:sz w:val="22"/>
          <w:szCs w:val="22"/>
          <w:lang w:val="de-DE"/>
        </w:rPr>
        <w:t>zehn</w:t>
      </w:r>
      <w:r w:rsidRPr="00CA2A20">
        <w:rPr>
          <w:rFonts w:ascii="PP Telegraf" w:eastAsia="PP Telegraf" w:hAnsi="PP Telegraf" w:cs="PP Telegraf"/>
          <w:sz w:val="22"/>
          <w:szCs w:val="22"/>
          <w:lang w:val="de-DE"/>
        </w:rPr>
        <w:t xml:space="preserve"> vertretenen Universitäten weist die Schweiz jedoch eine der weltweit höchsten Konzentrationen an Spitzenhochschulen auf: 18 % platzieren sich unter den Top 50, womit sie nur hinter Singapur und der Sonderverwaltungszone Hongkong liegt. </w:t>
      </w:r>
    </w:p>
    <w:p w14:paraId="57AD5646" w14:textId="22E0731E" w:rsidR="002670BF" w:rsidRPr="00CA2A20" w:rsidRDefault="7CEC9F3F" w:rsidP="23C77BED">
      <w:pPr>
        <w:pStyle w:val="paragraph"/>
        <w:spacing w:before="0" w:beforeAutospacing="0" w:after="160" w:afterAutospacing="0" w:line="360" w:lineRule="auto"/>
        <w:jc w:val="both"/>
        <w:textAlignment w:val="baseline"/>
        <w:rPr>
          <w:rFonts w:ascii="PP Telegraf" w:eastAsia="PP Telegraf" w:hAnsi="PP Telegraf" w:cs="PP Telegraf"/>
          <w:sz w:val="22"/>
          <w:szCs w:val="22"/>
          <w:lang w:val="de-DE"/>
        </w:rPr>
      </w:pPr>
      <w:r w:rsidRPr="00CA2A20">
        <w:rPr>
          <w:rFonts w:ascii="PP Telegraf" w:eastAsia="PP Telegraf" w:hAnsi="PP Telegraf" w:cs="PP Telegraf"/>
          <w:sz w:val="22"/>
          <w:szCs w:val="22"/>
          <w:lang w:val="de-DE"/>
        </w:rPr>
        <w:t xml:space="preserve">Das diesjährige Ranking ist das umfangreichste aller Zeiten und umfasst mehr als 1500 Universitäten aus 106 Hochschulsystemen. QS bewertet </w:t>
      </w:r>
      <w:r w:rsidR="00C42045">
        <w:rPr>
          <w:rFonts w:ascii="PP Telegraf" w:eastAsia="PP Telegraf" w:hAnsi="PP Telegraf" w:cs="PP Telegraf"/>
          <w:sz w:val="22"/>
          <w:szCs w:val="22"/>
          <w:lang w:val="de-DE"/>
        </w:rPr>
        <w:t>elf</w:t>
      </w:r>
      <w:r w:rsidRPr="00CA2A20">
        <w:rPr>
          <w:rFonts w:ascii="PP Telegraf" w:eastAsia="PP Telegraf" w:hAnsi="PP Telegraf" w:cs="PP Telegraf"/>
          <w:sz w:val="22"/>
          <w:szCs w:val="22"/>
          <w:lang w:val="de-DE"/>
        </w:rPr>
        <w:t xml:space="preserve"> Schweizer Einrichtungen</w:t>
      </w:r>
      <w:r w:rsidR="2EB46D64" w:rsidRPr="00CA2A20">
        <w:rPr>
          <w:rFonts w:ascii="PP Telegraf" w:eastAsia="PP Telegraf" w:hAnsi="PP Telegraf" w:cs="PP Telegraf"/>
          <w:sz w:val="22"/>
          <w:szCs w:val="22"/>
          <w:lang w:val="de-DE"/>
        </w:rPr>
        <w:t xml:space="preserve">. </w:t>
      </w:r>
      <w:r w:rsidRPr="00CA2A20">
        <w:rPr>
          <w:rFonts w:ascii="PP Telegraf" w:eastAsia="PP Telegraf" w:hAnsi="PP Telegraf" w:cs="PP Telegraf"/>
          <w:sz w:val="22"/>
          <w:szCs w:val="22"/>
          <w:lang w:val="de-DE"/>
        </w:rPr>
        <w:t xml:space="preserve">Davon steigen drei auf, sechs fallen ab und eine bleibt stabil, </w:t>
      </w:r>
      <w:r w:rsidR="65C5B339" w:rsidRPr="00CA2A20">
        <w:rPr>
          <w:rFonts w:ascii="PP Telegraf" w:eastAsia="PP Telegraf" w:hAnsi="PP Telegraf" w:cs="PP Telegraf"/>
          <w:sz w:val="22"/>
          <w:szCs w:val="22"/>
          <w:lang w:val="de-DE"/>
        </w:rPr>
        <w:t>während die Universität Neuenburg zum ersten Mal vertreten ist (1201–1400).</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89"/>
        <w:gridCol w:w="860"/>
        <w:gridCol w:w="535"/>
        <w:gridCol w:w="884"/>
        <w:gridCol w:w="838"/>
        <w:gridCol w:w="567"/>
        <w:gridCol w:w="2551"/>
        <w:gridCol w:w="709"/>
        <w:gridCol w:w="567"/>
        <w:gridCol w:w="484"/>
        <w:gridCol w:w="508"/>
        <w:gridCol w:w="567"/>
      </w:tblGrid>
      <w:tr w:rsidR="00277203" w:rsidRPr="00CA2A20" w14:paraId="359273E0" w14:textId="77777777" w:rsidTr="0046433F">
        <w:trPr>
          <w:tblHeader/>
          <w:jc w:val="center"/>
        </w:trPr>
        <w:tc>
          <w:tcPr>
            <w:tcW w:w="9780" w:type="dxa"/>
            <w:gridSpan w:val="12"/>
            <w:noWrap/>
            <w:tcMar>
              <w:top w:w="60" w:type="dxa"/>
              <w:left w:w="100" w:type="dxa"/>
              <w:bottom w:w="60" w:type="dxa"/>
              <w:right w:w="100" w:type="dxa"/>
            </w:tcMar>
            <w:vAlign w:val="center"/>
          </w:tcPr>
          <w:p w14:paraId="754A119C" w14:textId="1FBCDE6E" w:rsidR="00277203" w:rsidRPr="00CA2A20" w:rsidRDefault="1C93322C" w:rsidP="23C77BED">
            <w:pPr>
              <w:spacing w:after="0" w:line="240" w:lineRule="auto"/>
              <w:jc w:val="both"/>
              <w:rPr>
                <w:rFonts w:ascii="PP Telegraf" w:eastAsia="PP Telegraf" w:hAnsi="PP Telegraf" w:cs="PP Telegraf"/>
                <w:b/>
                <w:bCs/>
                <w:kern w:val="0"/>
                <w:sz w:val="18"/>
                <w:szCs w:val="18"/>
                <w:lang w:val="de-DE" w:eastAsia="en-GB"/>
                <w14:ligatures w14:val="none"/>
              </w:rPr>
            </w:pPr>
            <w:r w:rsidRPr="00CA2A20">
              <w:rPr>
                <w:rFonts w:ascii="PP Telegraf" w:eastAsia="PP Telegraf" w:hAnsi="PP Telegraf" w:cs="PP Telegraf"/>
                <w:b/>
                <w:bCs/>
                <w:kern w:val="0"/>
                <w:sz w:val="18"/>
                <w:szCs w:val="18"/>
                <w:lang w:val="de-DE" w:eastAsia="en-GB"/>
                <w14:ligatures w14:val="none"/>
              </w:rPr>
              <w:t>Tabelle 2: Aufschlüsselung nach Kontinentaleuropa nach Gesamtzahl der bewerteten Universitäten</w:t>
            </w:r>
          </w:p>
        </w:tc>
      </w:tr>
      <w:tr w:rsidR="002670BF" w:rsidRPr="00277203" w14:paraId="1B21AAA9" w14:textId="77777777" w:rsidTr="0046433F">
        <w:trPr>
          <w:tblHeader/>
          <w:jc w:val="center"/>
        </w:trPr>
        <w:tc>
          <w:tcPr>
            <w:tcW w:w="1133" w:type="dxa"/>
            <w:vMerge w:val="restart"/>
            <w:noWrap/>
            <w:tcMar>
              <w:top w:w="60" w:type="dxa"/>
              <w:left w:w="100" w:type="dxa"/>
              <w:bottom w:w="60" w:type="dxa"/>
              <w:right w:w="100" w:type="dxa"/>
            </w:tcMar>
            <w:vAlign w:val="center"/>
          </w:tcPr>
          <w:p w14:paraId="2FD3AE25" w14:textId="77777777" w:rsidR="002670BF" w:rsidRPr="0046433F" w:rsidRDefault="4C795DAC" w:rsidP="23C77BED">
            <w:pPr>
              <w:spacing w:after="0" w:line="240" w:lineRule="auto"/>
              <w:jc w:val="both"/>
              <w:rPr>
                <w:rFonts w:ascii="PP Telegraf" w:eastAsia="PP Telegraf" w:hAnsi="PP Telegraf" w:cs="PP Telegraf"/>
                <w:kern w:val="0"/>
                <w:sz w:val="12"/>
                <w:szCs w:val="12"/>
                <w:lang w:eastAsia="en-GB"/>
                <w14:ligatures w14:val="none"/>
              </w:rPr>
            </w:pPr>
            <w:r w:rsidRPr="0046433F">
              <w:rPr>
                <w:rFonts w:ascii="PP Telegraf" w:eastAsia="PP Telegraf" w:hAnsi="PP Telegraf" w:cs="PP Telegraf"/>
                <w:b/>
                <w:bCs/>
                <w:noProof/>
                <w:kern w:val="0"/>
                <w:sz w:val="12"/>
                <w:szCs w:val="12"/>
                <w:lang w:eastAsia="en-GB"/>
                <w14:ligatures w14:val="none"/>
              </w:rPr>
              <w:t>Hochschulsystem</w:t>
            </w:r>
          </w:p>
        </w:tc>
        <w:tc>
          <w:tcPr>
            <w:tcW w:w="754" w:type="dxa"/>
            <w:vMerge w:val="restart"/>
            <w:noWrap/>
            <w:tcMar>
              <w:top w:w="60" w:type="dxa"/>
              <w:left w:w="100" w:type="dxa"/>
              <w:bottom w:w="60" w:type="dxa"/>
              <w:right w:w="100" w:type="dxa"/>
            </w:tcMar>
            <w:vAlign w:val="center"/>
          </w:tcPr>
          <w:p w14:paraId="66CC9ECD" w14:textId="77777777" w:rsidR="002670BF" w:rsidRPr="0046433F" w:rsidRDefault="4C795DAC" w:rsidP="23C77BED">
            <w:pPr>
              <w:spacing w:after="0" w:line="240" w:lineRule="auto"/>
              <w:jc w:val="both"/>
              <w:rPr>
                <w:rFonts w:ascii="PP Telegraf" w:eastAsia="PP Telegraf" w:hAnsi="PP Telegraf" w:cs="PP Telegraf"/>
                <w:kern w:val="0"/>
                <w:sz w:val="12"/>
                <w:szCs w:val="12"/>
                <w:lang w:eastAsia="en-GB"/>
                <w14:ligatures w14:val="none"/>
              </w:rPr>
            </w:pPr>
            <w:r w:rsidRPr="0046433F">
              <w:rPr>
                <w:rFonts w:ascii="PP Telegraf" w:eastAsia="PP Telegraf" w:hAnsi="PP Telegraf" w:cs="PP Telegraf"/>
                <w:b/>
                <w:bCs/>
                <w:noProof/>
                <w:kern w:val="0"/>
                <w:sz w:val="12"/>
                <w:szCs w:val="12"/>
                <w:lang w:eastAsia="en-GB"/>
                <w14:ligatures w14:val="none"/>
              </w:rPr>
              <w:t>Gesamtzahl der bewerteten</w:t>
            </w:r>
          </w:p>
        </w:tc>
        <w:tc>
          <w:tcPr>
            <w:tcW w:w="535" w:type="dxa"/>
            <w:vMerge w:val="restart"/>
            <w:noWrap/>
            <w:tcMar>
              <w:top w:w="60" w:type="dxa"/>
              <w:left w:w="100" w:type="dxa"/>
              <w:bottom w:w="60" w:type="dxa"/>
              <w:right w:w="100" w:type="dxa"/>
            </w:tcMar>
            <w:vAlign w:val="center"/>
          </w:tcPr>
          <w:p w14:paraId="52F504C0" w14:textId="77777777" w:rsidR="002670BF" w:rsidRPr="0046433F" w:rsidRDefault="4C795DAC" w:rsidP="23C77BED">
            <w:pPr>
              <w:spacing w:after="0" w:line="240" w:lineRule="auto"/>
              <w:jc w:val="both"/>
              <w:rPr>
                <w:rFonts w:ascii="PP Telegraf" w:eastAsia="PP Telegraf" w:hAnsi="PP Telegraf" w:cs="PP Telegraf"/>
                <w:color w:val="00B050"/>
                <w:kern w:val="0"/>
                <w:sz w:val="12"/>
                <w:szCs w:val="12"/>
                <w:lang w:eastAsia="en-GB"/>
                <w14:ligatures w14:val="none"/>
              </w:rPr>
            </w:pPr>
            <w:r w:rsidRPr="0046433F">
              <w:rPr>
                <w:rFonts w:ascii="PP Telegraf" w:eastAsia="PP Telegraf" w:hAnsi="PP Telegraf" w:cs="PP Telegraf"/>
                <w:b/>
                <w:bCs/>
                <w:noProof/>
                <w:color w:val="00B050"/>
                <w:kern w:val="0"/>
                <w:sz w:val="12"/>
                <w:szCs w:val="12"/>
                <w:lang w:eastAsia="en-GB"/>
                <w14:ligatures w14:val="none"/>
              </w:rPr>
              <w:t>Auf</w:t>
            </w:r>
          </w:p>
        </w:tc>
        <w:tc>
          <w:tcPr>
            <w:tcW w:w="696" w:type="dxa"/>
            <w:vMerge w:val="restart"/>
            <w:noWrap/>
            <w:tcMar>
              <w:top w:w="60" w:type="dxa"/>
              <w:left w:w="100" w:type="dxa"/>
              <w:bottom w:w="60" w:type="dxa"/>
              <w:right w:w="100" w:type="dxa"/>
            </w:tcMar>
            <w:vAlign w:val="center"/>
          </w:tcPr>
          <w:p w14:paraId="1CC41145" w14:textId="77777777" w:rsidR="002670BF" w:rsidRPr="0046433F" w:rsidRDefault="4C795DAC" w:rsidP="23C77BED">
            <w:pPr>
              <w:spacing w:after="0" w:line="240" w:lineRule="auto"/>
              <w:jc w:val="both"/>
              <w:rPr>
                <w:rFonts w:ascii="PP Telegraf" w:eastAsia="PP Telegraf" w:hAnsi="PP Telegraf" w:cs="PP Telegraf"/>
                <w:color w:val="FFC000"/>
                <w:kern w:val="0"/>
                <w:sz w:val="12"/>
                <w:szCs w:val="12"/>
                <w:lang w:eastAsia="en-GB"/>
                <w14:ligatures w14:val="none"/>
              </w:rPr>
            </w:pPr>
            <w:r w:rsidRPr="0046433F">
              <w:rPr>
                <w:rFonts w:ascii="PP Telegraf" w:eastAsia="PP Telegraf" w:hAnsi="PP Telegraf" w:cs="PP Telegraf"/>
                <w:b/>
                <w:bCs/>
                <w:noProof/>
                <w:color w:val="FFC000"/>
                <w:kern w:val="0"/>
                <w:sz w:val="12"/>
                <w:szCs w:val="12"/>
                <w:lang w:eastAsia="en-GB"/>
                <w14:ligatures w14:val="none"/>
              </w:rPr>
              <w:t>Unverändert</w:t>
            </w:r>
          </w:p>
        </w:tc>
        <w:tc>
          <w:tcPr>
            <w:tcW w:w="709" w:type="dxa"/>
            <w:vMerge w:val="restart"/>
            <w:noWrap/>
            <w:tcMar>
              <w:top w:w="60" w:type="dxa"/>
              <w:left w:w="100" w:type="dxa"/>
              <w:bottom w:w="60" w:type="dxa"/>
              <w:right w:w="100" w:type="dxa"/>
            </w:tcMar>
            <w:vAlign w:val="center"/>
          </w:tcPr>
          <w:p w14:paraId="28D73D8A" w14:textId="77777777" w:rsidR="002670BF" w:rsidRPr="0046433F" w:rsidRDefault="4C795DAC" w:rsidP="23C77BED">
            <w:pPr>
              <w:spacing w:after="0" w:line="240" w:lineRule="auto"/>
              <w:jc w:val="both"/>
              <w:rPr>
                <w:rFonts w:ascii="PP Telegraf" w:eastAsia="PP Telegraf" w:hAnsi="PP Telegraf" w:cs="PP Telegraf"/>
                <w:color w:val="C00000"/>
                <w:kern w:val="0"/>
                <w:sz w:val="12"/>
                <w:szCs w:val="12"/>
                <w:lang w:eastAsia="en-GB"/>
                <w14:ligatures w14:val="none"/>
              </w:rPr>
            </w:pPr>
            <w:r w:rsidRPr="0046433F">
              <w:rPr>
                <w:rFonts w:ascii="PP Telegraf" w:eastAsia="PP Telegraf" w:hAnsi="PP Telegraf" w:cs="PP Telegraf"/>
                <w:b/>
                <w:bCs/>
                <w:noProof/>
                <w:color w:val="C00000"/>
                <w:kern w:val="0"/>
                <w:sz w:val="12"/>
                <w:szCs w:val="12"/>
                <w:lang w:eastAsia="en-GB"/>
                <w14:ligatures w14:val="none"/>
              </w:rPr>
              <w:t>Rückschritt</w:t>
            </w:r>
          </w:p>
        </w:tc>
        <w:tc>
          <w:tcPr>
            <w:tcW w:w="567" w:type="dxa"/>
            <w:vMerge w:val="restart"/>
            <w:noWrap/>
            <w:tcMar>
              <w:top w:w="60" w:type="dxa"/>
              <w:left w:w="100" w:type="dxa"/>
              <w:bottom w:w="60" w:type="dxa"/>
              <w:right w:w="100" w:type="dxa"/>
            </w:tcMar>
            <w:vAlign w:val="center"/>
          </w:tcPr>
          <w:p w14:paraId="646096D2" w14:textId="77777777" w:rsidR="002670BF" w:rsidRPr="0046433F" w:rsidRDefault="4C795DAC" w:rsidP="23C77BED">
            <w:pPr>
              <w:spacing w:after="0" w:line="240" w:lineRule="auto"/>
              <w:jc w:val="both"/>
              <w:rPr>
                <w:rFonts w:ascii="PP Telegraf" w:eastAsia="PP Telegraf" w:hAnsi="PP Telegraf" w:cs="PP Telegraf"/>
                <w:color w:val="0070C0"/>
                <w:kern w:val="0"/>
                <w:sz w:val="12"/>
                <w:szCs w:val="12"/>
                <w:lang w:eastAsia="en-GB"/>
                <w14:ligatures w14:val="none"/>
              </w:rPr>
            </w:pPr>
            <w:r w:rsidRPr="0046433F">
              <w:rPr>
                <w:rFonts w:ascii="PP Telegraf" w:eastAsia="PP Telegraf" w:hAnsi="PP Telegraf" w:cs="PP Telegraf"/>
                <w:b/>
                <w:bCs/>
                <w:noProof/>
                <w:color w:val="0070C0"/>
                <w:kern w:val="0"/>
                <w:sz w:val="12"/>
                <w:szCs w:val="12"/>
                <w:lang w:eastAsia="en-GB"/>
                <w14:ligatures w14:val="none"/>
              </w:rPr>
              <w:t>Neu</w:t>
            </w:r>
          </w:p>
        </w:tc>
        <w:tc>
          <w:tcPr>
            <w:tcW w:w="3260" w:type="dxa"/>
            <w:gridSpan w:val="2"/>
            <w:shd w:val="clear" w:color="auto" w:fill="F2F2F2" w:themeFill="background1" w:themeFillShade="F2"/>
            <w:noWrap/>
            <w:tcMar>
              <w:top w:w="60" w:type="dxa"/>
              <w:left w:w="100" w:type="dxa"/>
              <w:bottom w:w="60" w:type="dxa"/>
              <w:right w:w="100" w:type="dxa"/>
            </w:tcMar>
            <w:vAlign w:val="center"/>
          </w:tcPr>
          <w:p w14:paraId="6886DF43" w14:textId="77777777" w:rsidR="002670BF" w:rsidRPr="0046433F" w:rsidRDefault="4C795DAC" w:rsidP="23C77BED">
            <w:pPr>
              <w:spacing w:after="0" w:line="240" w:lineRule="auto"/>
              <w:jc w:val="both"/>
              <w:rPr>
                <w:rFonts w:ascii="PP Telegraf" w:eastAsia="PP Telegraf" w:hAnsi="PP Telegraf" w:cs="PP Telegraf"/>
                <w:kern w:val="0"/>
                <w:sz w:val="12"/>
                <w:szCs w:val="12"/>
                <w:lang w:eastAsia="en-GB"/>
                <w14:ligatures w14:val="none"/>
              </w:rPr>
            </w:pPr>
            <w:r w:rsidRPr="0046433F">
              <w:rPr>
                <w:rFonts w:ascii="PP Telegraf" w:eastAsia="PP Telegraf" w:hAnsi="PP Telegraf" w:cs="PP Telegraf"/>
                <w:b/>
                <w:bCs/>
                <w:noProof/>
                <w:kern w:val="0"/>
                <w:sz w:val="12"/>
                <w:szCs w:val="12"/>
                <w:lang w:eastAsia="en-GB"/>
                <w14:ligatures w14:val="none"/>
              </w:rPr>
              <w:t>Top-Universität</w:t>
            </w:r>
          </w:p>
        </w:tc>
        <w:tc>
          <w:tcPr>
            <w:tcW w:w="567" w:type="dxa"/>
            <w:vMerge w:val="restart"/>
            <w:noWrap/>
            <w:tcMar>
              <w:top w:w="60" w:type="dxa"/>
              <w:left w:w="100" w:type="dxa"/>
              <w:bottom w:w="60" w:type="dxa"/>
              <w:right w:w="100" w:type="dxa"/>
            </w:tcMar>
            <w:vAlign w:val="center"/>
          </w:tcPr>
          <w:p w14:paraId="192FF98A" w14:textId="77777777" w:rsidR="002670BF" w:rsidRPr="0046433F" w:rsidRDefault="4C795DAC" w:rsidP="23C77BED">
            <w:pPr>
              <w:spacing w:after="0" w:line="240" w:lineRule="auto"/>
              <w:jc w:val="both"/>
              <w:rPr>
                <w:rFonts w:ascii="PP Telegraf" w:eastAsia="PP Telegraf" w:hAnsi="PP Telegraf" w:cs="PP Telegraf"/>
                <w:kern w:val="0"/>
                <w:sz w:val="12"/>
                <w:szCs w:val="12"/>
                <w:lang w:eastAsia="en-GB"/>
                <w14:ligatures w14:val="none"/>
              </w:rPr>
            </w:pPr>
            <w:r w:rsidRPr="0046433F">
              <w:rPr>
                <w:rFonts w:ascii="PP Telegraf" w:eastAsia="PP Telegraf" w:hAnsi="PP Telegraf" w:cs="PP Telegraf"/>
                <w:b/>
                <w:bCs/>
                <w:noProof/>
                <w:kern w:val="0"/>
                <w:sz w:val="12"/>
                <w:szCs w:val="12"/>
                <w:lang w:eastAsia="en-GB"/>
                <w14:ligatures w14:val="none"/>
              </w:rPr>
              <w:t>Top 10</w:t>
            </w:r>
          </w:p>
        </w:tc>
        <w:tc>
          <w:tcPr>
            <w:tcW w:w="484" w:type="dxa"/>
            <w:vMerge w:val="restart"/>
            <w:noWrap/>
            <w:tcMar>
              <w:top w:w="60" w:type="dxa"/>
              <w:left w:w="100" w:type="dxa"/>
              <w:bottom w:w="60" w:type="dxa"/>
              <w:right w:w="100" w:type="dxa"/>
            </w:tcMar>
            <w:vAlign w:val="center"/>
          </w:tcPr>
          <w:p w14:paraId="6084E1B2" w14:textId="77777777" w:rsidR="002670BF" w:rsidRPr="0046433F" w:rsidRDefault="4C795DAC" w:rsidP="23C77BED">
            <w:pPr>
              <w:spacing w:after="0" w:line="240" w:lineRule="auto"/>
              <w:jc w:val="both"/>
              <w:rPr>
                <w:rFonts w:ascii="PP Telegraf" w:eastAsia="PP Telegraf" w:hAnsi="PP Telegraf" w:cs="PP Telegraf"/>
                <w:kern w:val="0"/>
                <w:sz w:val="12"/>
                <w:szCs w:val="12"/>
                <w:lang w:eastAsia="en-GB"/>
                <w14:ligatures w14:val="none"/>
              </w:rPr>
            </w:pPr>
            <w:r w:rsidRPr="0046433F">
              <w:rPr>
                <w:rFonts w:ascii="PP Telegraf" w:eastAsia="PP Telegraf" w:hAnsi="PP Telegraf" w:cs="PP Telegraf"/>
                <w:b/>
                <w:bCs/>
                <w:noProof/>
                <w:kern w:val="0"/>
                <w:sz w:val="12"/>
                <w:szCs w:val="12"/>
                <w:lang w:eastAsia="en-GB"/>
                <w14:ligatures w14:val="none"/>
              </w:rPr>
              <w:t>Top 50</w:t>
            </w:r>
          </w:p>
        </w:tc>
        <w:tc>
          <w:tcPr>
            <w:tcW w:w="508" w:type="dxa"/>
            <w:vMerge w:val="restart"/>
            <w:noWrap/>
            <w:tcMar>
              <w:top w:w="60" w:type="dxa"/>
              <w:left w:w="100" w:type="dxa"/>
              <w:bottom w:w="60" w:type="dxa"/>
              <w:right w:w="100" w:type="dxa"/>
            </w:tcMar>
            <w:vAlign w:val="center"/>
          </w:tcPr>
          <w:p w14:paraId="64D35D34" w14:textId="77777777" w:rsidR="002670BF" w:rsidRPr="0046433F" w:rsidRDefault="4C795DAC" w:rsidP="23C77BED">
            <w:pPr>
              <w:spacing w:after="0" w:line="240" w:lineRule="auto"/>
              <w:jc w:val="both"/>
              <w:rPr>
                <w:rFonts w:ascii="PP Telegraf" w:eastAsia="PP Telegraf" w:hAnsi="PP Telegraf" w:cs="PP Telegraf"/>
                <w:kern w:val="0"/>
                <w:sz w:val="12"/>
                <w:szCs w:val="12"/>
                <w:lang w:eastAsia="en-GB"/>
                <w14:ligatures w14:val="none"/>
              </w:rPr>
            </w:pPr>
            <w:r w:rsidRPr="0046433F">
              <w:rPr>
                <w:rFonts w:ascii="PP Telegraf" w:eastAsia="PP Telegraf" w:hAnsi="PP Telegraf" w:cs="PP Telegraf"/>
                <w:b/>
                <w:bCs/>
                <w:noProof/>
                <w:kern w:val="0"/>
                <w:sz w:val="12"/>
                <w:szCs w:val="12"/>
                <w:lang w:eastAsia="en-GB"/>
                <w14:ligatures w14:val="none"/>
              </w:rPr>
              <w:t>Top 100</w:t>
            </w:r>
          </w:p>
        </w:tc>
        <w:tc>
          <w:tcPr>
            <w:tcW w:w="567" w:type="dxa"/>
            <w:vMerge w:val="restart"/>
            <w:noWrap/>
            <w:tcMar>
              <w:top w:w="60" w:type="dxa"/>
              <w:left w:w="100" w:type="dxa"/>
              <w:bottom w:w="60" w:type="dxa"/>
              <w:right w:w="100" w:type="dxa"/>
            </w:tcMar>
            <w:vAlign w:val="center"/>
          </w:tcPr>
          <w:p w14:paraId="1BAB712E" w14:textId="77777777" w:rsidR="002670BF" w:rsidRPr="0046433F" w:rsidRDefault="4C795DAC" w:rsidP="23C77BED">
            <w:pPr>
              <w:spacing w:after="0" w:line="240" w:lineRule="auto"/>
              <w:jc w:val="both"/>
              <w:rPr>
                <w:rFonts w:ascii="PP Telegraf" w:eastAsia="PP Telegraf" w:hAnsi="PP Telegraf" w:cs="PP Telegraf"/>
                <w:kern w:val="0"/>
                <w:sz w:val="12"/>
                <w:szCs w:val="12"/>
                <w:lang w:eastAsia="en-GB"/>
                <w14:ligatures w14:val="none"/>
              </w:rPr>
            </w:pPr>
            <w:r w:rsidRPr="0046433F">
              <w:rPr>
                <w:rFonts w:ascii="PP Telegraf" w:eastAsia="PP Telegraf" w:hAnsi="PP Telegraf" w:cs="PP Telegraf"/>
                <w:b/>
                <w:bCs/>
                <w:noProof/>
                <w:kern w:val="0"/>
                <w:sz w:val="12"/>
                <w:szCs w:val="12"/>
                <w:lang w:eastAsia="en-GB"/>
                <w14:ligatures w14:val="none"/>
              </w:rPr>
              <w:t>Top 500</w:t>
            </w:r>
          </w:p>
        </w:tc>
      </w:tr>
      <w:tr w:rsidR="002670BF" w:rsidRPr="00277203" w14:paraId="25A73D3C" w14:textId="77777777" w:rsidTr="0046433F">
        <w:trPr>
          <w:tblHeader/>
          <w:jc w:val="center"/>
        </w:trPr>
        <w:tc>
          <w:tcPr>
            <w:tcW w:w="1133" w:type="dxa"/>
            <w:vMerge/>
          </w:tcPr>
          <w:p w14:paraId="759CCAAA" w14:textId="77777777" w:rsidR="002670BF" w:rsidRPr="00277203" w:rsidRDefault="002670BF" w:rsidP="002670BF">
            <w:pPr>
              <w:spacing w:after="0" w:line="240" w:lineRule="auto"/>
              <w:rPr>
                <w:rFonts w:ascii="PP Telegraf" w:eastAsia="PP Telegraf" w:hAnsi="PP Telegraf" w:cs="PP Telegraf"/>
                <w:kern w:val="0"/>
                <w:sz w:val="16"/>
                <w:szCs w:val="16"/>
                <w:lang w:eastAsia="en-GB"/>
                <w14:ligatures w14:val="none"/>
              </w:rPr>
            </w:pPr>
          </w:p>
        </w:tc>
        <w:tc>
          <w:tcPr>
            <w:tcW w:w="754" w:type="dxa"/>
            <w:vMerge/>
          </w:tcPr>
          <w:p w14:paraId="1B17E195" w14:textId="77777777" w:rsidR="002670BF" w:rsidRPr="00277203" w:rsidRDefault="002670BF" w:rsidP="002670BF">
            <w:pPr>
              <w:spacing w:after="0" w:line="240" w:lineRule="auto"/>
              <w:rPr>
                <w:rFonts w:ascii="PP Telegraf" w:eastAsia="PP Telegraf" w:hAnsi="PP Telegraf" w:cs="PP Telegraf"/>
                <w:kern w:val="0"/>
                <w:sz w:val="16"/>
                <w:szCs w:val="16"/>
                <w:lang w:eastAsia="en-GB"/>
                <w14:ligatures w14:val="none"/>
              </w:rPr>
            </w:pPr>
          </w:p>
        </w:tc>
        <w:tc>
          <w:tcPr>
            <w:tcW w:w="535" w:type="dxa"/>
            <w:vMerge/>
          </w:tcPr>
          <w:p w14:paraId="7E35D47C" w14:textId="77777777" w:rsidR="002670BF" w:rsidRPr="00277203" w:rsidRDefault="002670BF" w:rsidP="002670BF">
            <w:pPr>
              <w:spacing w:after="0" w:line="240" w:lineRule="auto"/>
              <w:rPr>
                <w:rFonts w:ascii="PP Telegraf" w:eastAsia="PP Telegraf" w:hAnsi="PP Telegraf" w:cs="PP Telegraf"/>
                <w:color w:val="00B050"/>
                <w:kern w:val="0"/>
                <w:sz w:val="16"/>
                <w:szCs w:val="16"/>
                <w:lang w:eastAsia="en-GB"/>
                <w14:ligatures w14:val="none"/>
              </w:rPr>
            </w:pPr>
          </w:p>
        </w:tc>
        <w:tc>
          <w:tcPr>
            <w:tcW w:w="696" w:type="dxa"/>
            <w:vMerge/>
          </w:tcPr>
          <w:p w14:paraId="7225A490" w14:textId="77777777" w:rsidR="002670BF" w:rsidRPr="00277203" w:rsidRDefault="002670BF" w:rsidP="002670BF">
            <w:pPr>
              <w:spacing w:after="0" w:line="240" w:lineRule="auto"/>
              <w:rPr>
                <w:rFonts w:ascii="PP Telegraf" w:eastAsia="PP Telegraf" w:hAnsi="PP Telegraf" w:cs="PP Telegraf"/>
                <w:color w:val="FFC000"/>
                <w:kern w:val="0"/>
                <w:sz w:val="16"/>
                <w:szCs w:val="16"/>
                <w:lang w:eastAsia="en-GB"/>
                <w14:ligatures w14:val="none"/>
              </w:rPr>
            </w:pPr>
          </w:p>
        </w:tc>
        <w:tc>
          <w:tcPr>
            <w:tcW w:w="709" w:type="dxa"/>
            <w:vMerge/>
          </w:tcPr>
          <w:p w14:paraId="29270A8C" w14:textId="77777777" w:rsidR="002670BF" w:rsidRPr="00277203" w:rsidRDefault="002670BF" w:rsidP="002670BF">
            <w:pPr>
              <w:spacing w:after="0" w:line="240" w:lineRule="auto"/>
              <w:rPr>
                <w:rFonts w:ascii="PP Telegraf" w:eastAsia="PP Telegraf" w:hAnsi="PP Telegraf" w:cs="PP Telegraf"/>
                <w:color w:val="C00000"/>
                <w:kern w:val="0"/>
                <w:sz w:val="16"/>
                <w:szCs w:val="16"/>
                <w:lang w:eastAsia="en-GB"/>
                <w14:ligatures w14:val="none"/>
              </w:rPr>
            </w:pPr>
          </w:p>
        </w:tc>
        <w:tc>
          <w:tcPr>
            <w:tcW w:w="567" w:type="dxa"/>
            <w:vMerge/>
          </w:tcPr>
          <w:p w14:paraId="59CC556E" w14:textId="77777777" w:rsidR="002670BF" w:rsidRPr="00277203" w:rsidRDefault="002670BF" w:rsidP="002670BF">
            <w:pPr>
              <w:spacing w:after="0" w:line="240" w:lineRule="auto"/>
              <w:rPr>
                <w:rFonts w:ascii="PP Telegraf" w:eastAsia="PP Telegraf" w:hAnsi="PP Telegraf" w:cs="PP Telegraf"/>
                <w:color w:val="0070C0"/>
                <w:kern w:val="0"/>
                <w:sz w:val="16"/>
                <w:szCs w:val="16"/>
                <w:lang w:eastAsia="en-GB"/>
                <w14:ligatures w14:val="none"/>
              </w:rPr>
            </w:pPr>
          </w:p>
        </w:tc>
        <w:tc>
          <w:tcPr>
            <w:tcW w:w="2551" w:type="dxa"/>
            <w:shd w:val="clear" w:color="auto" w:fill="F2F2F2" w:themeFill="background1" w:themeFillShade="F2"/>
            <w:noWrap/>
            <w:tcMar>
              <w:top w:w="60" w:type="dxa"/>
              <w:left w:w="100" w:type="dxa"/>
              <w:bottom w:w="60" w:type="dxa"/>
              <w:right w:w="100" w:type="dxa"/>
            </w:tcMar>
            <w:vAlign w:val="center"/>
          </w:tcPr>
          <w:p w14:paraId="0EF63C20"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noProof/>
                <w:kern w:val="0"/>
                <w:sz w:val="16"/>
                <w:szCs w:val="16"/>
                <w:lang w:eastAsia="en-GB"/>
                <w14:ligatures w14:val="none"/>
              </w:rPr>
              <w:t>Name</w:t>
            </w:r>
          </w:p>
        </w:tc>
        <w:tc>
          <w:tcPr>
            <w:tcW w:w="709" w:type="dxa"/>
            <w:shd w:val="clear" w:color="auto" w:fill="F2F2F2" w:themeFill="background1" w:themeFillShade="F2"/>
            <w:noWrap/>
            <w:tcMar>
              <w:top w:w="60" w:type="dxa"/>
              <w:left w:w="100" w:type="dxa"/>
              <w:bottom w:w="60" w:type="dxa"/>
              <w:right w:w="100" w:type="dxa"/>
            </w:tcMar>
            <w:vAlign w:val="center"/>
          </w:tcPr>
          <w:p w14:paraId="176D3EF7"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noProof/>
                <w:kern w:val="0"/>
                <w:sz w:val="16"/>
                <w:szCs w:val="16"/>
                <w:lang w:eastAsia="en-GB"/>
                <w14:ligatures w14:val="none"/>
              </w:rPr>
              <w:t>Rang</w:t>
            </w:r>
          </w:p>
        </w:tc>
        <w:tc>
          <w:tcPr>
            <w:tcW w:w="567" w:type="dxa"/>
            <w:vMerge/>
          </w:tcPr>
          <w:p w14:paraId="55154B11" w14:textId="77777777" w:rsidR="002670BF" w:rsidRPr="00277203" w:rsidRDefault="002670BF" w:rsidP="002670BF">
            <w:pPr>
              <w:spacing w:after="0" w:line="240" w:lineRule="auto"/>
              <w:rPr>
                <w:rFonts w:ascii="PP Telegraf" w:eastAsia="PP Telegraf" w:hAnsi="PP Telegraf" w:cs="PP Telegraf"/>
                <w:kern w:val="0"/>
                <w:sz w:val="16"/>
                <w:szCs w:val="16"/>
                <w:lang w:eastAsia="en-GB"/>
                <w14:ligatures w14:val="none"/>
              </w:rPr>
            </w:pPr>
          </w:p>
        </w:tc>
        <w:tc>
          <w:tcPr>
            <w:tcW w:w="484" w:type="dxa"/>
            <w:vMerge/>
          </w:tcPr>
          <w:p w14:paraId="2CEDB400" w14:textId="77777777" w:rsidR="002670BF" w:rsidRPr="00277203" w:rsidRDefault="002670BF" w:rsidP="002670BF">
            <w:pPr>
              <w:spacing w:after="0" w:line="240" w:lineRule="auto"/>
              <w:rPr>
                <w:rFonts w:ascii="PP Telegraf" w:eastAsia="PP Telegraf" w:hAnsi="PP Telegraf" w:cs="PP Telegraf"/>
                <w:kern w:val="0"/>
                <w:sz w:val="16"/>
                <w:szCs w:val="16"/>
                <w:lang w:eastAsia="en-GB"/>
                <w14:ligatures w14:val="none"/>
              </w:rPr>
            </w:pPr>
          </w:p>
        </w:tc>
        <w:tc>
          <w:tcPr>
            <w:tcW w:w="508" w:type="dxa"/>
            <w:vMerge/>
          </w:tcPr>
          <w:p w14:paraId="361F4243" w14:textId="77777777" w:rsidR="002670BF" w:rsidRPr="00277203" w:rsidRDefault="002670BF" w:rsidP="002670BF">
            <w:pPr>
              <w:spacing w:after="0" w:line="240" w:lineRule="auto"/>
              <w:rPr>
                <w:rFonts w:ascii="PP Telegraf" w:eastAsia="PP Telegraf" w:hAnsi="PP Telegraf" w:cs="PP Telegraf"/>
                <w:kern w:val="0"/>
                <w:sz w:val="16"/>
                <w:szCs w:val="16"/>
                <w:lang w:eastAsia="en-GB"/>
                <w14:ligatures w14:val="none"/>
              </w:rPr>
            </w:pPr>
          </w:p>
        </w:tc>
        <w:tc>
          <w:tcPr>
            <w:tcW w:w="567" w:type="dxa"/>
            <w:vMerge/>
          </w:tcPr>
          <w:p w14:paraId="683DCB25" w14:textId="77777777" w:rsidR="002670BF" w:rsidRPr="00277203" w:rsidRDefault="002670BF" w:rsidP="002670BF">
            <w:pPr>
              <w:spacing w:after="0" w:line="240" w:lineRule="auto"/>
              <w:rPr>
                <w:rFonts w:ascii="PP Telegraf" w:eastAsia="PP Telegraf" w:hAnsi="PP Telegraf" w:cs="PP Telegraf"/>
                <w:kern w:val="0"/>
                <w:sz w:val="16"/>
                <w:szCs w:val="16"/>
                <w:lang w:eastAsia="en-GB"/>
                <w14:ligatures w14:val="none"/>
              </w:rPr>
            </w:pPr>
          </w:p>
        </w:tc>
      </w:tr>
      <w:tr w:rsidR="002670BF" w:rsidRPr="00277203" w14:paraId="388C79A0" w14:textId="77777777" w:rsidTr="0046433F">
        <w:trPr>
          <w:jc w:val="center"/>
        </w:trPr>
        <w:tc>
          <w:tcPr>
            <w:tcW w:w="1133" w:type="dxa"/>
            <w:noWrap/>
            <w:tcMar>
              <w:top w:w="60" w:type="dxa"/>
              <w:left w:w="100" w:type="dxa"/>
              <w:bottom w:w="60" w:type="dxa"/>
              <w:right w:w="100" w:type="dxa"/>
            </w:tcMar>
            <w:vAlign w:val="center"/>
          </w:tcPr>
          <w:p w14:paraId="1BE4E4C4"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Deutschland</w:t>
            </w:r>
          </w:p>
        </w:tc>
        <w:tc>
          <w:tcPr>
            <w:tcW w:w="754" w:type="dxa"/>
            <w:noWrap/>
            <w:tcMar>
              <w:top w:w="60" w:type="dxa"/>
              <w:left w:w="100" w:type="dxa"/>
              <w:bottom w:w="60" w:type="dxa"/>
              <w:right w:w="100" w:type="dxa"/>
            </w:tcMar>
            <w:vAlign w:val="center"/>
          </w:tcPr>
          <w:p w14:paraId="3728EEFF"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60</w:t>
            </w:r>
          </w:p>
        </w:tc>
        <w:tc>
          <w:tcPr>
            <w:tcW w:w="535" w:type="dxa"/>
            <w:noWrap/>
            <w:tcMar>
              <w:top w:w="60" w:type="dxa"/>
              <w:left w:w="100" w:type="dxa"/>
              <w:bottom w:w="60" w:type="dxa"/>
              <w:right w:w="100" w:type="dxa"/>
            </w:tcMar>
            <w:vAlign w:val="center"/>
          </w:tcPr>
          <w:p w14:paraId="38658487"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16 %</w:t>
            </w:r>
          </w:p>
        </w:tc>
        <w:tc>
          <w:tcPr>
            <w:tcW w:w="696" w:type="dxa"/>
            <w:noWrap/>
            <w:tcMar>
              <w:top w:w="60" w:type="dxa"/>
              <w:left w:w="100" w:type="dxa"/>
              <w:bottom w:w="60" w:type="dxa"/>
              <w:right w:w="100" w:type="dxa"/>
            </w:tcMar>
            <w:vAlign w:val="center"/>
          </w:tcPr>
          <w:p w14:paraId="299A0B5B"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6 %</w:t>
            </w:r>
          </w:p>
        </w:tc>
        <w:tc>
          <w:tcPr>
            <w:tcW w:w="709" w:type="dxa"/>
            <w:noWrap/>
            <w:tcMar>
              <w:top w:w="60" w:type="dxa"/>
              <w:left w:w="100" w:type="dxa"/>
              <w:bottom w:w="60" w:type="dxa"/>
              <w:right w:w="100" w:type="dxa"/>
            </w:tcMar>
            <w:vAlign w:val="center"/>
          </w:tcPr>
          <w:p w14:paraId="15B27382"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78 %</w:t>
            </w:r>
          </w:p>
        </w:tc>
        <w:tc>
          <w:tcPr>
            <w:tcW w:w="567" w:type="dxa"/>
            <w:noWrap/>
            <w:tcMar>
              <w:top w:w="60" w:type="dxa"/>
              <w:left w:w="100" w:type="dxa"/>
              <w:bottom w:w="60" w:type="dxa"/>
              <w:right w:w="100" w:type="dxa"/>
            </w:tcMar>
            <w:vAlign w:val="center"/>
          </w:tcPr>
          <w:p w14:paraId="7A0606B5"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11</w:t>
            </w:r>
          </w:p>
        </w:tc>
        <w:tc>
          <w:tcPr>
            <w:tcW w:w="2551" w:type="dxa"/>
            <w:shd w:val="clear" w:color="auto" w:fill="F2F2F2" w:themeFill="background1" w:themeFillShade="F2"/>
            <w:noWrap/>
            <w:tcMar>
              <w:top w:w="60" w:type="dxa"/>
              <w:left w:w="100" w:type="dxa"/>
              <w:bottom w:w="60" w:type="dxa"/>
              <w:right w:w="100" w:type="dxa"/>
            </w:tcMar>
            <w:vAlign w:val="center"/>
          </w:tcPr>
          <w:p w14:paraId="543C4EB4"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Technische Universität München</w:t>
            </w:r>
          </w:p>
        </w:tc>
        <w:tc>
          <w:tcPr>
            <w:tcW w:w="709" w:type="dxa"/>
            <w:shd w:val="clear" w:color="auto" w:fill="F2F2F2" w:themeFill="background1" w:themeFillShade="F2"/>
            <w:noWrap/>
            <w:tcMar>
              <w:top w:w="60" w:type="dxa"/>
              <w:left w:w="100" w:type="dxa"/>
              <w:bottom w:w="60" w:type="dxa"/>
              <w:right w:w="100" w:type="dxa"/>
            </w:tcMar>
            <w:vAlign w:val="center"/>
          </w:tcPr>
          <w:p w14:paraId="28A44076"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25</w:t>
            </w:r>
          </w:p>
        </w:tc>
        <w:tc>
          <w:tcPr>
            <w:tcW w:w="567" w:type="dxa"/>
            <w:noWrap/>
            <w:tcMar>
              <w:top w:w="60" w:type="dxa"/>
              <w:left w:w="100" w:type="dxa"/>
              <w:bottom w:w="60" w:type="dxa"/>
              <w:right w:w="100" w:type="dxa"/>
            </w:tcMar>
            <w:vAlign w:val="center"/>
          </w:tcPr>
          <w:p w14:paraId="4049A604"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noWrap/>
            <w:tcMar>
              <w:top w:w="60" w:type="dxa"/>
              <w:left w:w="100" w:type="dxa"/>
              <w:bottom w:w="60" w:type="dxa"/>
              <w:right w:w="100" w:type="dxa"/>
            </w:tcMar>
            <w:vAlign w:val="center"/>
          </w:tcPr>
          <w:p w14:paraId="6472B54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w:t>
            </w:r>
          </w:p>
        </w:tc>
        <w:tc>
          <w:tcPr>
            <w:tcW w:w="508" w:type="dxa"/>
            <w:noWrap/>
            <w:tcMar>
              <w:top w:w="60" w:type="dxa"/>
              <w:left w:w="100" w:type="dxa"/>
              <w:bottom w:w="60" w:type="dxa"/>
              <w:right w:w="100" w:type="dxa"/>
            </w:tcMar>
            <w:vAlign w:val="center"/>
          </w:tcPr>
          <w:p w14:paraId="1FA2409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w:t>
            </w:r>
          </w:p>
        </w:tc>
        <w:tc>
          <w:tcPr>
            <w:tcW w:w="567" w:type="dxa"/>
            <w:noWrap/>
            <w:tcMar>
              <w:top w:w="60" w:type="dxa"/>
              <w:left w:w="100" w:type="dxa"/>
              <w:bottom w:w="60" w:type="dxa"/>
              <w:right w:w="100" w:type="dxa"/>
            </w:tcMar>
            <w:vAlign w:val="center"/>
          </w:tcPr>
          <w:p w14:paraId="2E958141"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28</w:t>
            </w:r>
          </w:p>
        </w:tc>
      </w:tr>
      <w:tr w:rsidR="002670BF" w:rsidRPr="00277203" w14:paraId="1BD7FCCF" w14:textId="77777777" w:rsidTr="0046433F">
        <w:trPr>
          <w:jc w:val="center"/>
        </w:trPr>
        <w:tc>
          <w:tcPr>
            <w:tcW w:w="1133" w:type="dxa"/>
            <w:noWrap/>
            <w:tcMar>
              <w:top w:w="60" w:type="dxa"/>
              <w:left w:w="100" w:type="dxa"/>
              <w:bottom w:w="60" w:type="dxa"/>
              <w:right w:w="100" w:type="dxa"/>
            </w:tcMar>
            <w:vAlign w:val="center"/>
          </w:tcPr>
          <w:p w14:paraId="0022AEE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Spanien</w:t>
            </w:r>
          </w:p>
        </w:tc>
        <w:tc>
          <w:tcPr>
            <w:tcW w:w="754" w:type="dxa"/>
            <w:noWrap/>
            <w:tcMar>
              <w:top w:w="60" w:type="dxa"/>
              <w:left w:w="100" w:type="dxa"/>
              <w:bottom w:w="60" w:type="dxa"/>
              <w:right w:w="100" w:type="dxa"/>
            </w:tcMar>
            <w:vAlign w:val="center"/>
          </w:tcPr>
          <w:p w14:paraId="4D9C2A68"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48</w:t>
            </w:r>
          </w:p>
        </w:tc>
        <w:tc>
          <w:tcPr>
            <w:tcW w:w="535" w:type="dxa"/>
            <w:noWrap/>
            <w:tcMar>
              <w:top w:w="60" w:type="dxa"/>
              <w:left w:w="100" w:type="dxa"/>
              <w:bottom w:w="60" w:type="dxa"/>
              <w:right w:w="100" w:type="dxa"/>
            </w:tcMar>
            <w:vAlign w:val="center"/>
          </w:tcPr>
          <w:p w14:paraId="7B13BFDB"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5 %</w:t>
            </w:r>
          </w:p>
        </w:tc>
        <w:tc>
          <w:tcPr>
            <w:tcW w:w="696" w:type="dxa"/>
            <w:noWrap/>
            <w:tcMar>
              <w:top w:w="60" w:type="dxa"/>
              <w:left w:w="100" w:type="dxa"/>
              <w:bottom w:w="60" w:type="dxa"/>
              <w:right w:w="100" w:type="dxa"/>
            </w:tcMar>
            <w:vAlign w:val="center"/>
          </w:tcPr>
          <w:p w14:paraId="3FB42840"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32 %</w:t>
            </w:r>
          </w:p>
        </w:tc>
        <w:tc>
          <w:tcPr>
            <w:tcW w:w="709" w:type="dxa"/>
            <w:noWrap/>
            <w:tcMar>
              <w:top w:w="60" w:type="dxa"/>
              <w:left w:w="100" w:type="dxa"/>
              <w:bottom w:w="60" w:type="dxa"/>
              <w:right w:w="100" w:type="dxa"/>
            </w:tcMar>
            <w:vAlign w:val="center"/>
          </w:tcPr>
          <w:p w14:paraId="7D78E41B"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63 %</w:t>
            </w:r>
          </w:p>
        </w:tc>
        <w:tc>
          <w:tcPr>
            <w:tcW w:w="567" w:type="dxa"/>
            <w:noWrap/>
            <w:tcMar>
              <w:top w:w="60" w:type="dxa"/>
              <w:left w:w="100" w:type="dxa"/>
              <w:bottom w:w="60" w:type="dxa"/>
              <w:right w:w="100" w:type="dxa"/>
            </w:tcMar>
            <w:vAlign w:val="center"/>
          </w:tcPr>
          <w:p w14:paraId="21D3DD3E"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10</w:t>
            </w:r>
          </w:p>
        </w:tc>
        <w:tc>
          <w:tcPr>
            <w:tcW w:w="2551" w:type="dxa"/>
            <w:shd w:val="clear" w:color="auto" w:fill="F2F2F2" w:themeFill="background1" w:themeFillShade="F2"/>
            <w:noWrap/>
            <w:tcMar>
              <w:top w:w="60" w:type="dxa"/>
              <w:left w:w="100" w:type="dxa"/>
              <w:bottom w:w="60" w:type="dxa"/>
              <w:right w:w="100" w:type="dxa"/>
            </w:tcMar>
            <w:vAlign w:val="center"/>
          </w:tcPr>
          <w:p w14:paraId="57DB49B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Universität Barcelona</w:t>
            </w:r>
          </w:p>
        </w:tc>
        <w:tc>
          <w:tcPr>
            <w:tcW w:w="709" w:type="dxa"/>
            <w:shd w:val="clear" w:color="auto" w:fill="F2F2F2" w:themeFill="background1" w:themeFillShade="F2"/>
            <w:noWrap/>
            <w:tcMar>
              <w:top w:w="60" w:type="dxa"/>
              <w:left w:w="100" w:type="dxa"/>
              <w:bottom w:w="60" w:type="dxa"/>
              <w:right w:w="100" w:type="dxa"/>
            </w:tcMar>
            <w:vAlign w:val="center"/>
          </w:tcPr>
          <w:p w14:paraId="12A7180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165</w:t>
            </w:r>
          </w:p>
        </w:tc>
        <w:tc>
          <w:tcPr>
            <w:tcW w:w="567" w:type="dxa"/>
            <w:noWrap/>
            <w:tcMar>
              <w:top w:w="60" w:type="dxa"/>
              <w:left w:w="100" w:type="dxa"/>
              <w:bottom w:w="60" w:type="dxa"/>
              <w:right w:w="100" w:type="dxa"/>
            </w:tcMar>
            <w:vAlign w:val="center"/>
          </w:tcPr>
          <w:p w14:paraId="2F512FF0"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noWrap/>
            <w:tcMar>
              <w:top w:w="60" w:type="dxa"/>
              <w:left w:w="100" w:type="dxa"/>
              <w:bottom w:w="60" w:type="dxa"/>
              <w:right w:w="100" w:type="dxa"/>
            </w:tcMar>
            <w:vAlign w:val="center"/>
          </w:tcPr>
          <w:p w14:paraId="58A8E5E6"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08" w:type="dxa"/>
            <w:noWrap/>
            <w:tcMar>
              <w:top w:w="60" w:type="dxa"/>
              <w:left w:w="100" w:type="dxa"/>
              <w:bottom w:w="60" w:type="dxa"/>
              <w:right w:w="100" w:type="dxa"/>
            </w:tcMar>
            <w:vAlign w:val="center"/>
          </w:tcPr>
          <w:p w14:paraId="62888EFB"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67" w:type="dxa"/>
            <w:noWrap/>
            <w:tcMar>
              <w:top w:w="60" w:type="dxa"/>
              <w:left w:w="100" w:type="dxa"/>
              <w:bottom w:w="60" w:type="dxa"/>
              <w:right w:w="100" w:type="dxa"/>
            </w:tcMar>
            <w:vAlign w:val="center"/>
          </w:tcPr>
          <w:p w14:paraId="2BE218A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15</w:t>
            </w:r>
          </w:p>
        </w:tc>
      </w:tr>
      <w:tr w:rsidR="002670BF" w:rsidRPr="00277203" w14:paraId="1AB851A4" w14:textId="77777777" w:rsidTr="0046433F">
        <w:trPr>
          <w:jc w:val="center"/>
        </w:trPr>
        <w:tc>
          <w:tcPr>
            <w:tcW w:w="1133" w:type="dxa"/>
            <w:noWrap/>
            <w:tcMar>
              <w:top w:w="60" w:type="dxa"/>
              <w:left w:w="100" w:type="dxa"/>
              <w:bottom w:w="60" w:type="dxa"/>
              <w:right w:w="100" w:type="dxa"/>
            </w:tcMar>
            <w:vAlign w:val="center"/>
          </w:tcPr>
          <w:p w14:paraId="480A51A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Italien</w:t>
            </w:r>
          </w:p>
        </w:tc>
        <w:tc>
          <w:tcPr>
            <w:tcW w:w="754" w:type="dxa"/>
            <w:noWrap/>
            <w:tcMar>
              <w:top w:w="60" w:type="dxa"/>
              <w:left w:w="100" w:type="dxa"/>
              <w:bottom w:w="60" w:type="dxa"/>
              <w:right w:w="100" w:type="dxa"/>
            </w:tcMar>
            <w:vAlign w:val="center"/>
          </w:tcPr>
          <w:p w14:paraId="4EEABC2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47</w:t>
            </w:r>
          </w:p>
        </w:tc>
        <w:tc>
          <w:tcPr>
            <w:tcW w:w="535" w:type="dxa"/>
            <w:noWrap/>
            <w:tcMar>
              <w:top w:w="60" w:type="dxa"/>
              <w:left w:w="100" w:type="dxa"/>
              <w:bottom w:w="60" w:type="dxa"/>
              <w:right w:w="100" w:type="dxa"/>
            </w:tcMar>
            <w:vAlign w:val="center"/>
          </w:tcPr>
          <w:p w14:paraId="1E40C0CB"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56 %</w:t>
            </w:r>
          </w:p>
        </w:tc>
        <w:tc>
          <w:tcPr>
            <w:tcW w:w="696" w:type="dxa"/>
            <w:noWrap/>
            <w:tcMar>
              <w:top w:w="60" w:type="dxa"/>
              <w:left w:w="100" w:type="dxa"/>
              <w:bottom w:w="60" w:type="dxa"/>
              <w:right w:w="100" w:type="dxa"/>
            </w:tcMar>
            <w:vAlign w:val="center"/>
          </w:tcPr>
          <w:p w14:paraId="3530EE0F"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22 %</w:t>
            </w:r>
          </w:p>
        </w:tc>
        <w:tc>
          <w:tcPr>
            <w:tcW w:w="709" w:type="dxa"/>
            <w:noWrap/>
            <w:tcMar>
              <w:top w:w="60" w:type="dxa"/>
              <w:left w:w="100" w:type="dxa"/>
              <w:bottom w:w="60" w:type="dxa"/>
              <w:right w:w="100" w:type="dxa"/>
            </w:tcMar>
            <w:vAlign w:val="center"/>
          </w:tcPr>
          <w:p w14:paraId="312985C6"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22 %</w:t>
            </w:r>
          </w:p>
        </w:tc>
        <w:tc>
          <w:tcPr>
            <w:tcW w:w="567" w:type="dxa"/>
            <w:noWrap/>
            <w:tcMar>
              <w:top w:w="60" w:type="dxa"/>
              <w:left w:w="100" w:type="dxa"/>
              <w:bottom w:w="60" w:type="dxa"/>
              <w:right w:w="100" w:type="dxa"/>
            </w:tcMar>
            <w:vAlign w:val="center"/>
          </w:tcPr>
          <w:p w14:paraId="20FDCBFB"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6</w:t>
            </w:r>
          </w:p>
        </w:tc>
        <w:tc>
          <w:tcPr>
            <w:tcW w:w="2551" w:type="dxa"/>
            <w:shd w:val="clear" w:color="auto" w:fill="F2F2F2" w:themeFill="background1" w:themeFillShade="F2"/>
            <w:noWrap/>
            <w:tcMar>
              <w:top w:w="60" w:type="dxa"/>
              <w:left w:w="100" w:type="dxa"/>
              <w:bottom w:w="60" w:type="dxa"/>
              <w:right w:w="100" w:type="dxa"/>
            </w:tcMar>
            <w:vAlign w:val="center"/>
          </w:tcPr>
          <w:p w14:paraId="438727DC"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Politecnico di Milano</w:t>
            </w:r>
          </w:p>
        </w:tc>
        <w:tc>
          <w:tcPr>
            <w:tcW w:w="709" w:type="dxa"/>
            <w:shd w:val="clear" w:color="auto" w:fill="F2F2F2" w:themeFill="background1" w:themeFillShade="F2"/>
            <w:noWrap/>
            <w:tcMar>
              <w:top w:w="60" w:type="dxa"/>
              <w:left w:w="100" w:type="dxa"/>
              <w:bottom w:w="60" w:type="dxa"/>
              <w:right w:w="100" w:type="dxa"/>
            </w:tcMar>
            <w:vAlign w:val="center"/>
          </w:tcPr>
          <w:p w14:paraId="33110E4C"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87</w:t>
            </w:r>
          </w:p>
        </w:tc>
        <w:tc>
          <w:tcPr>
            <w:tcW w:w="567" w:type="dxa"/>
            <w:noWrap/>
            <w:tcMar>
              <w:top w:w="60" w:type="dxa"/>
              <w:left w:w="100" w:type="dxa"/>
              <w:bottom w:w="60" w:type="dxa"/>
              <w:right w:w="100" w:type="dxa"/>
            </w:tcMar>
            <w:vAlign w:val="center"/>
          </w:tcPr>
          <w:p w14:paraId="305E3840"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noWrap/>
            <w:tcMar>
              <w:top w:w="60" w:type="dxa"/>
              <w:left w:w="100" w:type="dxa"/>
              <w:bottom w:w="60" w:type="dxa"/>
              <w:right w:w="100" w:type="dxa"/>
            </w:tcMar>
            <w:vAlign w:val="center"/>
          </w:tcPr>
          <w:p w14:paraId="29A0C365"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08" w:type="dxa"/>
            <w:noWrap/>
            <w:tcMar>
              <w:top w:w="60" w:type="dxa"/>
              <w:left w:w="100" w:type="dxa"/>
              <w:bottom w:w="60" w:type="dxa"/>
              <w:right w:w="100" w:type="dxa"/>
            </w:tcMar>
            <w:vAlign w:val="center"/>
          </w:tcPr>
          <w:p w14:paraId="1774D2DC"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w:t>
            </w:r>
          </w:p>
        </w:tc>
        <w:tc>
          <w:tcPr>
            <w:tcW w:w="567" w:type="dxa"/>
            <w:noWrap/>
            <w:tcMar>
              <w:top w:w="60" w:type="dxa"/>
              <w:left w:w="100" w:type="dxa"/>
              <w:bottom w:w="60" w:type="dxa"/>
              <w:right w:w="100" w:type="dxa"/>
            </w:tcMar>
            <w:vAlign w:val="center"/>
          </w:tcPr>
          <w:p w14:paraId="77C9FB3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15</w:t>
            </w:r>
          </w:p>
        </w:tc>
      </w:tr>
      <w:tr w:rsidR="002670BF" w:rsidRPr="00277203" w14:paraId="676015BF" w14:textId="77777777" w:rsidTr="0046433F">
        <w:trPr>
          <w:jc w:val="center"/>
        </w:trPr>
        <w:tc>
          <w:tcPr>
            <w:tcW w:w="1133" w:type="dxa"/>
            <w:noWrap/>
            <w:tcMar>
              <w:top w:w="60" w:type="dxa"/>
              <w:left w:w="100" w:type="dxa"/>
              <w:bottom w:w="60" w:type="dxa"/>
              <w:right w:w="100" w:type="dxa"/>
            </w:tcMar>
            <w:vAlign w:val="center"/>
          </w:tcPr>
          <w:p w14:paraId="2C20CB6F"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Frankreich</w:t>
            </w:r>
          </w:p>
        </w:tc>
        <w:tc>
          <w:tcPr>
            <w:tcW w:w="754" w:type="dxa"/>
            <w:noWrap/>
            <w:tcMar>
              <w:top w:w="60" w:type="dxa"/>
              <w:left w:w="100" w:type="dxa"/>
              <w:bottom w:w="60" w:type="dxa"/>
              <w:right w:w="100" w:type="dxa"/>
            </w:tcMar>
            <w:vAlign w:val="center"/>
          </w:tcPr>
          <w:p w14:paraId="0129266A"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38</w:t>
            </w:r>
          </w:p>
        </w:tc>
        <w:tc>
          <w:tcPr>
            <w:tcW w:w="535" w:type="dxa"/>
            <w:noWrap/>
            <w:tcMar>
              <w:top w:w="60" w:type="dxa"/>
              <w:left w:w="100" w:type="dxa"/>
              <w:bottom w:w="60" w:type="dxa"/>
              <w:right w:w="100" w:type="dxa"/>
            </w:tcMar>
            <w:vAlign w:val="center"/>
          </w:tcPr>
          <w:p w14:paraId="22B34FC1"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16 %</w:t>
            </w:r>
          </w:p>
        </w:tc>
        <w:tc>
          <w:tcPr>
            <w:tcW w:w="696" w:type="dxa"/>
            <w:noWrap/>
            <w:tcMar>
              <w:top w:w="60" w:type="dxa"/>
              <w:left w:w="100" w:type="dxa"/>
              <w:bottom w:w="60" w:type="dxa"/>
              <w:right w:w="100" w:type="dxa"/>
            </w:tcMar>
            <w:vAlign w:val="center"/>
          </w:tcPr>
          <w:p w14:paraId="54076F23"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23 %</w:t>
            </w:r>
          </w:p>
        </w:tc>
        <w:tc>
          <w:tcPr>
            <w:tcW w:w="709" w:type="dxa"/>
            <w:noWrap/>
            <w:tcMar>
              <w:top w:w="60" w:type="dxa"/>
              <w:left w:w="100" w:type="dxa"/>
              <w:bottom w:w="60" w:type="dxa"/>
              <w:right w:w="100" w:type="dxa"/>
            </w:tcMar>
            <w:vAlign w:val="center"/>
          </w:tcPr>
          <w:p w14:paraId="3C3F76C2"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61 %</w:t>
            </w:r>
          </w:p>
        </w:tc>
        <w:tc>
          <w:tcPr>
            <w:tcW w:w="567" w:type="dxa"/>
            <w:noWrap/>
            <w:tcMar>
              <w:top w:w="60" w:type="dxa"/>
              <w:left w:w="100" w:type="dxa"/>
              <w:bottom w:w="60" w:type="dxa"/>
              <w:right w:w="100" w:type="dxa"/>
            </w:tcMar>
            <w:vAlign w:val="center"/>
          </w:tcPr>
          <w:p w14:paraId="69BBB4F5"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7</w:t>
            </w:r>
          </w:p>
        </w:tc>
        <w:tc>
          <w:tcPr>
            <w:tcW w:w="2551" w:type="dxa"/>
            <w:shd w:val="clear" w:color="auto" w:fill="F2F2F2" w:themeFill="background1" w:themeFillShade="F2"/>
            <w:noWrap/>
            <w:tcMar>
              <w:top w:w="60" w:type="dxa"/>
              <w:left w:w="100" w:type="dxa"/>
              <w:bottom w:w="60" w:type="dxa"/>
              <w:right w:w="100" w:type="dxa"/>
            </w:tcMar>
            <w:vAlign w:val="center"/>
          </w:tcPr>
          <w:p w14:paraId="611A1BF4"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Universität PSL</w:t>
            </w:r>
          </w:p>
        </w:tc>
        <w:tc>
          <w:tcPr>
            <w:tcW w:w="709" w:type="dxa"/>
            <w:shd w:val="clear" w:color="auto" w:fill="F2F2F2" w:themeFill="background1" w:themeFillShade="F2"/>
            <w:noWrap/>
            <w:tcMar>
              <w:top w:w="60" w:type="dxa"/>
              <w:left w:w="100" w:type="dxa"/>
              <w:bottom w:w="60" w:type="dxa"/>
              <w:right w:w="100" w:type="dxa"/>
            </w:tcMar>
            <w:vAlign w:val="center"/>
          </w:tcPr>
          <w:p w14:paraId="41AF50A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34</w:t>
            </w:r>
          </w:p>
        </w:tc>
        <w:tc>
          <w:tcPr>
            <w:tcW w:w="567" w:type="dxa"/>
            <w:noWrap/>
            <w:tcMar>
              <w:top w:w="60" w:type="dxa"/>
              <w:left w:w="100" w:type="dxa"/>
              <w:bottom w:w="60" w:type="dxa"/>
              <w:right w:w="100" w:type="dxa"/>
            </w:tcMar>
            <w:vAlign w:val="center"/>
          </w:tcPr>
          <w:p w14:paraId="7DB52D64"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noWrap/>
            <w:tcMar>
              <w:top w:w="60" w:type="dxa"/>
              <w:left w:w="100" w:type="dxa"/>
              <w:bottom w:w="60" w:type="dxa"/>
              <w:right w:w="100" w:type="dxa"/>
            </w:tcMar>
            <w:vAlign w:val="center"/>
          </w:tcPr>
          <w:p w14:paraId="2A9B4DAA"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w:t>
            </w:r>
          </w:p>
        </w:tc>
        <w:tc>
          <w:tcPr>
            <w:tcW w:w="508" w:type="dxa"/>
            <w:noWrap/>
            <w:tcMar>
              <w:top w:w="60" w:type="dxa"/>
              <w:left w:w="100" w:type="dxa"/>
              <w:bottom w:w="60" w:type="dxa"/>
              <w:right w:w="100" w:type="dxa"/>
            </w:tcMar>
            <w:vAlign w:val="center"/>
          </w:tcPr>
          <w:p w14:paraId="22FF41CF"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w:t>
            </w:r>
          </w:p>
        </w:tc>
        <w:tc>
          <w:tcPr>
            <w:tcW w:w="567" w:type="dxa"/>
            <w:noWrap/>
            <w:tcMar>
              <w:top w:w="60" w:type="dxa"/>
              <w:left w:w="100" w:type="dxa"/>
              <w:bottom w:w="60" w:type="dxa"/>
              <w:right w:w="100" w:type="dxa"/>
            </w:tcMar>
            <w:vAlign w:val="center"/>
          </w:tcPr>
          <w:p w14:paraId="358C6DE1"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13</w:t>
            </w:r>
          </w:p>
        </w:tc>
      </w:tr>
      <w:tr w:rsidR="002670BF" w:rsidRPr="00277203" w14:paraId="5C287EA9" w14:textId="77777777" w:rsidTr="0046433F">
        <w:trPr>
          <w:jc w:val="center"/>
        </w:trPr>
        <w:tc>
          <w:tcPr>
            <w:tcW w:w="1133" w:type="dxa"/>
            <w:noWrap/>
            <w:tcMar>
              <w:top w:w="60" w:type="dxa"/>
              <w:left w:w="100" w:type="dxa"/>
              <w:bottom w:w="60" w:type="dxa"/>
              <w:right w:w="100" w:type="dxa"/>
            </w:tcMar>
            <w:vAlign w:val="center"/>
          </w:tcPr>
          <w:p w14:paraId="6C2F256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Niederlande</w:t>
            </w:r>
          </w:p>
        </w:tc>
        <w:tc>
          <w:tcPr>
            <w:tcW w:w="754" w:type="dxa"/>
            <w:noWrap/>
            <w:tcMar>
              <w:top w:w="60" w:type="dxa"/>
              <w:left w:w="100" w:type="dxa"/>
              <w:bottom w:w="60" w:type="dxa"/>
              <w:right w:w="100" w:type="dxa"/>
            </w:tcMar>
            <w:vAlign w:val="center"/>
          </w:tcPr>
          <w:p w14:paraId="67BA4178"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13</w:t>
            </w:r>
          </w:p>
        </w:tc>
        <w:tc>
          <w:tcPr>
            <w:tcW w:w="535" w:type="dxa"/>
            <w:noWrap/>
            <w:tcMar>
              <w:top w:w="60" w:type="dxa"/>
              <w:left w:w="100" w:type="dxa"/>
              <w:bottom w:w="60" w:type="dxa"/>
              <w:right w:w="100" w:type="dxa"/>
            </w:tcMar>
            <w:vAlign w:val="center"/>
          </w:tcPr>
          <w:p w14:paraId="6F6E9832"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8 %</w:t>
            </w:r>
          </w:p>
        </w:tc>
        <w:tc>
          <w:tcPr>
            <w:tcW w:w="696" w:type="dxa"/>
            <w:noWrap/>
            <w:tcMar>
              <w:top w:w="60" w:type="dxa"/>
              <w:left w:w="100" w:type="dxa"/>
              <w:bottom w:w="60" w:type="dxa"/>
              <w:right w:w="100" w:type="dxa"/>
            </w:tcMar>
            <w:vAlign w:val="center"/>
          </w:tcPr>
          <w:p w14:paraId="00D19CD2"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8 %</w:t>
            </w:r>
          </w:p>
        </w:tc>
        <w:tc>
          <w:tcPr>
            <w:tcW w:w="709" w:type="dxa"/>
            <w:noWrap/>
            <w:tcMar>
              <w:top w:w="60" w:type="dxa"/>
              <w:left w:w="100" w:type="dxa"/>
              <w:bottom w:w="60" w:type="dxa"/>
              <w:right w:w="100" w:type="dxa"/>
            </w:tcMar>
            <w:vAlign w:val="center"/>
          </w:tcPr>
          <w:p w14:paraId="0479D213"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85 %</w:t>
            </w:r>
          </w:p>
        </w:tc>
        <w:tc>
          <w:tcPr>
            <w:tcW w:w="567" w:type="dxa"/>
            <w:noWrap/>
            <w:tcMar>
              <w:top w:w="60" w:type="dxa"/>
              <w:left w:w="100" w:type="dxa"/>
              <w:bottom w:w="60" w:type="dxa"/>
              <w:right w:w="100" w:type="dxa"/>
            </w:tcMar>
            <w:vAlign w:val="center"/>
          </w:tcPr>
          <w:p w14:paraId="507CD5B4" w14:textId="77777777" w:rsidR="002670BF" w:rsidRPr="00277203" w:rsidRDefault="002670BF" w:rsidP="23C77BED">
            <w:pPr>
              <w:spacing w:after="0" w:line="240" w:lineRule="auto"/>
              <w:jc w:val="both"/>
              <w:rPr>
                <w:rFonts w:ascii="PP Telegraf" w:eastAsia="PP Telegraf" w:hAnsi="PP Telegraf" w:cs="PP Telegraf"/>
                <w:color w:val="0070C0"/>
                <w:kern w:val="0"/>
                <w:sz w:val="16"/>
                <w:szCs w:val="16"/>
                <w:lang w:eastAsia="en-GB"/>
                <w14:ligatures w14:val="none"/>
              </w:rPr>
            </w:pPr>
          </w:p>
        </w:tc>
        <w:tc>
          <w:tcPr>
            <w:tcW w:w="2551" w:type="dxa"/>
            <w:shd w:val="clear" w:color="auto" w:fill="F2F2F2" w:themeFill="background1" w:themeFillShade="F2"/>
            <w:noWrap/>
            <w:tcMar>
              <w:top w:w="60" w:type="dxa"/>
              <w:left w:w="100" w:type="dxa"/>
              <w:bottom w:w="60" w:type="dxa"/>
              <w:right w:w="100" w:type="dxa"/>
            </w:tcMar>
            <w:vAlign w:val="center"/>
          </w:tcPr>
          <w:p w14:paraId="601F459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Technische Universität Delft</w:t>
            </w:r>
          </w:p>
        </w:tc>
        <w:tc>
          <w:tcPr>
            <w:tcW w:w="709" w:type="dxa"/>
            <w:shd w:val="clear" w:color="auto" w:fill="F2F2F2" w:themeFill="background1" w:themeFillShade="F2"/>
            <w:noWrap/>
            <w:tcMar>
              <w:top w:w="60" w:type="dxa"/>
              <w:left w:w="100" w:type="dxa"/>
              <w:bottom w:w="60" w:type="dxa"/>
              <w:right w:w="100" w:type="dxa"/>
            </w:tcMar>
            <w:vAlign w:val="center"/>
          </w:tcPr>
          <w:p w14:paraId="2ABCD13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48</w:t>
            </w:r>
          </w:p>
        </w:tc>
        <w:tc>
          <w:tcPr>
            <w:tcW w:w="567" w:type="dxa"/>
            <w:noWrap/>
            <w:tcMar>
              <w:top w:w="60" w:type="dxa"/>
              <w:left w:w="100" w:type="dxa"/>
              <w:bottom w:w="60" w:type="dxa"/>
              <w:right w:w="100" w:type="dxa"/>
            </w:tcMar>
            <w:vAlign w:val="center"/>
          </w:tcPr>
          <w:p w14:paraId="28B25F3B"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noWrap/>
            <w:tcMar>
              <w:top w:w="60" w:type="dxa"/>
              <w:left w:w="100" w:type="dxa"/>
              <w:bottom w:w="60" w:type="dxa"/>
              <w:right w:w="100" w:type="dxa"/>
            </w:tcMar>
            <w:vAlign w:val="center"/>
          </w:tcPr>
          <w:p w14:paraId="5DFC1BC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w:t>
            </w:r>
          </w:p>
        </w:tc>
        <w:tc>
          <w:tcPr>
            <w:tcW w:w="508" w:type="dxa"/>
            <w:noWrap/>
            <w:tcMar>
              <w:top w:w="60" w:type="dxa"/>
              <w:left w:w="100" w:type="dxa"/>
              <w:bottom w:w="60" w:type="dxa"/>
              <w:right w:w="100" w:type="dxa"/>
            </w:tcMar>
            <w:vAlign w:val="center"/>
          </w:tcPr>
          <w:p w14:paraId="2BC23D6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w:t>
            </w:r>
          </w:p>
        </w:tc>
        <w:tc>
          <w:tcPr>
            <w:tcW w:w="567" w:type="dxa"/>
            <w:noWrap/>
            <w:tcMar>
              <w:top w:w="60" w:type="dxa"/>
              <w:left w:w="100" w:type="dxa"/>
              <w:bottom w:w="60" w:type="dxa"/>
              <w:right w:w="100" w:type="dxa"/>
            </w:tcMar>
            <w:vAlign w:val="center"/>
          </w:tcPr>
          <w:p w14:paraId="55BA0396"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13</w:t>
            </w:r>
          </w:p>
        </w:tc>
      </w:tr>
      <w:tr w:rsidR="002670BF" w:rsidRPr="00277203" w14:paraId="04735164" w14:textId="77777777" w:rsidTr="0046433F">
        <w:trPr>
          <w:jc w:val="center"/>
        </w:trPr>
        <w:tc>
          <w:tcPr>
            <w:tcW w:w="1133" w:type="dxa"/>
            <w:noWrap/>
            <w:tcMar>
              <w:top w:w="60" w:type="dxa"/>
              <w:left w:w="100" w:type="dxa"/>
              <w:bottom w:w="60" w:type="dxa"/>
              <w:right w:w="100" w:type="dxa"/>
            </w:tcMar>
            <w:vAlign w:val="center"/>
          </w:tcPr>
          <w:p w14:paraId="18900C30"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Schweiz</w:t>
            </w:r>
          </w:p>
        </w:tc>
        <w:tc>
          <w:tcPr>
            <w:tcW w:w="754" w:type="dxa"/>
            <w:noWrap/>
            <w:tcMar>
              <w:top w:w="60" w:type="dxa"/>
              <w:left w:w="100" w:type="dxa"/>
              <w:bottom w:w="60" w:type="dxa"/>
              <w:right w:w="100" w:type="dxa"/>
            </w:tcMar>
            <w:vAlign w:val="center"/>
          </w:tcPr>
          <w:p w14:paraId="69304B67"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11</w:t>
            </w:r>
          </w:p>
        </w:tc>
        <w:tc>
          <w:tcPr>
            <w:tcW w:w="535" w:type="dxa"/>
            <w:noWrap/>
            <w:tcMar>
              <w:top w:w="60" w:type="dxa"/>
              <w:left w:w="100" w:type="dxa"/>
              <w:bottom w:w="60" w:type="dxa"/>
              <w:right w:w="100" w:type="dxa"/>
            </w:tcMar>
            <w:vAlign w:val="center"/>
          </w:tcPr>
          <w:p w14:paraId="7CC99092"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30 %</w:t>
            </w:r>
          </w:p>
        </w:tc>
        <w:tc>
          <w:tcPr>
            <w:tcW w:w="696" w:type="dxa"/>
            <w:noWrap/>
            <w:tcMar>
              <w:top w:w="60" w:type="dxa"/>
              <w:left w:w="100" w:type="dxa"/>
              <w:bottom w:w="60" w:type="dxa"/>
              <w:right w:w="100" w:type="dxa"/>
            </w:tcMar>
            <w:vAlign w:val="center"/>
          </w:tcPr>
          <w:p w14:paraId="5BBC2F4B"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10 %</w:t>
            </w:r>
          </w:p>
        </w:tc>
        <w:tc>
          <w:tcPr>
            <w:tcW w:w="709" w:type="dxa"/>
            <w:noWrap/>
            <w:tcMar>
              <w:top w:w="60" w:type="dxa"/>
              <w:left w:w="100" w:type="dxa"/>
              <w:bottom w:w="60" w:type="dxa"/>
              <w:right w:w="100" w:type="dxa"/>
            </w:tcMar>
            <w:vAlign w:val="center"/>
          </w:tcPr>
          <w:p w14:paraId="5D6F2CA2"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60 %</w:t>
            </w:r>
          </w:p>
        </w:tc>
        <w:tc>
          <w:tcPr>
            <w:tcW w:w="567" w:type="dxa"/>
            <w:noWrap/>
            <w:tcMar>
              <w:top w:w="60" w:type="dxa"/>
              <w:left w:w="100" w:type="dxa"/>
              <w:bottom w:w="60" w:type="dxa"/>
              <w:right w:w="100" w:type="dxa"/>
            </w:tcMar>
            <w:vAlign w:val="center"/>
          </w:tcPr>
          <w:p w14:paraId="0D101B45"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1</w:t>
            </w:r>
          </w:p>
        </w:tc>
        <w:tc>
          <w:tcPr>
            <w:tcW w:w="2551" w:type="dxa"/>
            <w:shd w:val="clear" w:color="auto" w:fill="F2F2F2" w:themeFill="background1" w:themeFillShade="F2"/>
            <w:noWrap/>
            <w:tcMar>
              <w:top w:w="60" w:type="dxa"/>
              <w:left w:w="100" w:type="dxa"/>
              <w:bottom w:w="60" w:type="dxa"/>
              <w:right w:w="100" w:type="dxa"/>
            </w:tcMar>
            <w:vAlign w:val="center"/>
          </w:tcPr>
          <w:p w14:paraId="3DF2E66E"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ETH Zürich</w:t>
            </w:r>
          </w:p>
        </w:tc>
        <w:tc>
          <w:tcPr>
            <w:tcW w:w="709" w:type="dxa"/>
            <w:shd w:val="clear" w:color="auto" w:fill="F2F2F2" w:themeFill="background1" w:themeFillShade="F2"/>
            <w:noWrap/>
            <w:tcMar>
              <w:top w:w="60" w:type="dxa"/>
              <w:left w:w="100" w:type="dxa"/>
              <w:bottom w:w="60" w:type="dxa"/>
              <w:right w:w="100" w:type="dxa"/>
            </w:tcMar>
            <w:vAlign w:val="center"/>
          </w:tcPr>
          <w:p w14:paraId="2A7EE4E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c>
          <w:tcPr>
            <w:tcW w:w="567" w:type="dxa"/>
            <w:noWrap/>
            <w:tcMar>
              <w:top w:w="60" w:type="dxa"/>
              <w:left w:w="100" w:type="dxa"/>
              <w:bottom w:w="60" w:type="dxa"/>
              <w:right w:w="100" w:type="dxa"/>
            </w:tcMar>
            <w:vAlign w:val="center"/>
          </w:tcPr>
          <w:p w14:paraId="61211F34"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w:t>
            </w:r>
          </w:p>
        </w:tc>
        <w:tc>
          <w:tcPr>
            <w:tcW w:w="484" w:type="dxa"/>
            <w:noWrap/>
            <w:tcMar>
              <w:top w:w="60" w:type="dxa"/>
              <w:left w:w="100" w:type="dxa"/>
              <w:bottom w:w="60" w:type="dxa"/>
              <w:right w:w="100" w:type="dxa"/>
            </w:tcMar>
            <w:vAlign w:val="center"/>
          </w:tcPr>
          <w:p w14:paraId="4EB6F631"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w:t>
            </w:r>
          </w:p>
        </w:tc>
        <w:tc>
          <w:tcPr>
            <w:tcW w:w="508" w:type="dxa"/>
            <w:noWrap/>
            <w:tcMar>
              <w:top w:w="60" w:type="dxa"/>
              <w:left w:w="100" w:type="dxa"/>
              <w:bottom w:w="60" w:type="dxa"/>
              <w:right w:w="100" w:type="dxa"/>
            </w:tcMar>
            <w:vAlign w:val="center"/>
          </w:tcPr>
          <w:p w14:paraId="5C0F89A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w:t>
            </w:r>
          </w:p>
        </w:tc>
        <w:tc>
          <w:tcPr>
            <w:tcW w:w="567" w:type="dxa"/>
            <w:noWrap/>
            <w:tcMar>
              <w:top w:w="60" w:type="dxa"/>
              <w:left w:w="100" w:type="dxa"/>
              <w:bottom w:w="60" w:type="dxa"/>
              <w:right w:w="100" w:type="dxa"/>
            </w:tcMar>
            <w:vAlign w:val="center"/>
          </w:tcPr>
          <w:p w14:paraId="5B206298"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r>
      <w:tr w:rsidR="002670BF" w:rsidRPr="00277203" w14:paraId="58B05921" w14:textId="77777777" w:rsidTr="0046433F">
        <w:trPr>
          <w:jc w:val="center"/>
        </w:trPr>
        <w:tc>
          <w:tcPr>
            <w:tcW w:w="1133" w:type="dxa"/>
            <w:noWrap/>
            <w:tcMar>
              <w:top w:w="60" w:type="dxa"/>
              <w:left w:w="100" w:type="dxa"/>
              <w:bottom w:w="60" w:type="dxa"/>
              <w:right w:w="100" w:type="dxa"/>
            </w:tcMar>
            <w:vAlign w:val="center"/>
          </w:tcPr>
          <w:p w14:paraId="5706199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Portugal</w:t>
            </w:r>
          </w:p>
        </w:tc>
        <w:tc>
          <w:tcPr>
            <w:tcW w:w="754" w:type="dxa"/>
            <w:noWrap/>
            <w:tcMar>
              <w:top w:w="60" w:type="dxa"/>
              <w:left w:w="100" w:type="dxa"/>
              <w:bottom w:w="60" w:type="dxa"/>
              <w:right w:w="100" w:type="dxa"/>
            </w:tcMar>
            <w:vAlign w:val="center"/>
          </w:tcPr>
          <w:p w14:paraId="2010421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11</w:t>
            </w:r>
          </w:p>
        </w:tc>
        <w:tc>
          <w:tcPr>
            <w:tcW w:w="535" w:type="dxa"/>
            <w:noWrap/>
            <w:tcMar>
              <w:top w:w="60" w:type="dxa"/>
              <w:left w:w="100" w:type="dxa"/>
              <w:bottom w:w="60" w:type="dxa"/>
              <w:right w:w="100" w:type="dxa"/>
            </w:tcMar>
            <w:vAlign w:val="center"/>
          </w:tcPr>
          <w:p w14:paraId="2AC37752"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11 %</w:t>
            </w:r>
          </w:p>
        </w:tc>
        <w:tc>
          <w:tcPr>
            <w:tcW w:w="696" w:type="dxa"/>
            <w:noWrap/>
            <w:tcMar>
              <w:top w:w="60" w:type="dxa"/>
              <w:left w:w="100" w:type="dxa"/>
              <w:bottom w:w="60" w:type="dxa"/>
              <w:right w:w="100" w:type="dxa"/>
            </w:tcMar>
            <w:vAlign w:val="center"/>
          </w:tcPr>
          <w:p w14:paraId="27C542E8"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11 %</w:t>
            </w:r>
          </w:p>
        </w:tc>
        <w:tc>
          <w:tcPr>
            <w:tcW w:w="709" w:type="dxa"/>
            <w:noWrap/>
            <w:tcMar>
              <w:top w:w="60" w:type="dxa"/>
              <w:left w:w="100" w:type="dxa"/>
              <w:bottom w:w="60" w:type="dxa"/>
              <w:right w:w="100" w:type="dxa"/>
            </w:tcMar>
            <w:vAlign w:val="center"/>
          </w:tcPr>
          <w:p w14:paraId="55A48802"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78 %</w:t>
            </w:r>
          </w:p>
        </w:tc>
        <w:tc>
          <w:tcPr>
            <w:tcW w:w="567" w:type="dxa"/>
            <w:noWrap/>
            <w:tcMar>
              <w:top w:w="60" w:type="dxa"/>
              <w:left w:w="100" w:type="dxa"/>
              <w:bottom w:w="60" w:type="dxa"/>
              <w:right w:w="100" w:type="dxa"/>
            </w:tcMar>
            <w:vAlign w:val="center"/>
          </w:tcPr>
          <w:p w14:paraId="2402AABE"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2</w:t>
            </w:r>
          </w:p>
        </w:tc>
        <w:tc>
          <w:tcPr>
            <w:tcW w:w="2551" w:type="dxa"/>
            <w:shd w:val="clear" w:color="auto" w:fill="F2F2F2" w:themeFill="background1" w:themeFillShade="F2"/>
            <w:noWrap/>
            <w:tcMar>
              <w:top w:w="60" w:type="dxa"/>
              <w:left w:w="100" w:type="dxa"/>
              <w:bottom w:w="60" w:type="dxa"/>
              <w:right w:w="100" w:type="dxa"/>
            </w:tcMar>
            <w:vAlign w:val="center"/>
          </w:tcPr>
          <w:p w14:paraId="155CF1B9"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Universität Lissabon</w:t>
            </w:r>
          </w:p>
        </w:tc>
        <w:tc>
          <w:tcPr>
            <w:tcW w:w="709" w:type="dxa"/>
            <w:shd w:val="clear" w:color="auto" w:fill="F2F2F2" w:themeFill="background1" w:themeFillShade="F2"/>
            <w:noWrap/>
            <w:tcMar>
              <w:top w:w="60" w:type="dxa"/>
              <w:left w:w="100" w:type="dxa"/>
              <w:bottom w:w="60" w:type="dxa"/>
              <w:right w:w="100" w:type="dxa"/>
            </w:tcMar>
            <w:vAlign w:val="center"/>
          </w:tcPr>
          <w:p w14:paraId="29B2109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237</w:t>
            </w:r>
          </w:p>
        </w:tc>
        <w:tc>
          <w:tcPr>
            <w:tcW w:w="567" w:type="dxa"/>
            <w:noWrap/>
            <w:tcMar>
              <w:top w:w="60" w:type="dxa"/>
              <w:left w:w="100" w:type="dxa"/>
              <w:bottom w:w="60" w:type="dxa"/>
              <w:right w:w="100" w:type="dxa"/>
            </w:tcMar>
            <w:vAlign w:val="center"/>
          </w:tcPr>
          <w:p w14:paraId="2F3418AC"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noWrap/>
            <w:tcMar>
              <w:top w:w="60" w:type="dxa"/>
              <w:left w:w="100" w:type="dxa"/>
              <w:bottom w:w="60" w:type="dxa"/>
              <w:right w:w="100" w:type="dxa"/>
            </w:tcMar>
            <w:vAlign w:val="center"/>
          </w:tcPr>
          <w:p w14:paraId="7CA35CD1"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08" w:type="dxa"/>
            <w:noWrap/>
            <w:tcMar>
              <w:top w:w="60" w:type="dxa"/>
              <w:left w:w="100" w:type="dxa"/>
              <w:bottom w:w="60" w:type="dxa"/>
              <w:right w:w="100" w:type="dxa"/>
            </w:tcMar>
            <w:vAlign w:val="center"/>
          </w:tcPr>
          <w:p w14:paraId="222CB211"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67" w:type="dxa"/>
            <w:noWrap/>
            <w:tcMar>
              <w:top w:w="60" w:type="dxa"/>
              <w:left w:w="100" w:type="dxa"/>
              <w:bottom w:w="60" w:type="dxa"/>
              <w:right w:w="100" w:type="dxa"/>
            </w:tcMar>
            <w:vAlign w:val="center"/>
          </w:tcPr>
          <w:p w14:paraId="27B7FEA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w:t>
            </w:r>
          </w:p>
        </w:tc>
      </w:tr>
      <w:tr w:rsidR="002670BF" w:rsidRPr="00277203" w14:paraId="1FE61870" w14:textId="77777777" w:rsidTr="0046433F">
        <w:trPr>
          <w:jc w:val="center"/>
        </w:trPr>
        <w:tc>
          <w:tcPr>
            <w:tcW w:w="1133" w:type="dxa"/>
            <w:noWrap/>
            <w:tcMar>
              <w:top w:w="60" w:type="dxa"/>
              <w:left w:w="100" w:type="dxa"/>
              <w:bottom w:w="60" w:type="dxa"/>
              <w:right w:w="100" w:type="dxa"/>
            </w:tcMar>
            <w:vAlign w:val="center"/>
          </w:tcPr>
          <w:p w14:paraId="00581D6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Belgien</w:t>
            </w:r>
          </w:p>
        </w:tc>
        <w:tc>
          <w:tcPr>
            <w:tcW w:w="754" w:type="dxa"/>
            <w:noWrap/>
            <w:tcMar>
              <w:top w:w="60" w:type="dxa"/>
              <w:left w:w="100" w:type="dxa"/>
              <w:bottom w:w="60" w:type="dxa"/>
              <w:right w:w="100" w:type="dxa"/>
            </w:tcMar>
            <w:vAlign w:val="center"/>
          </w:tcPr>
          <w:p w14:paraId="4F6BFCA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10</w:t>
            </w:r>
          </w:p>
        </w:tc>
        <w:tc>
          <w:tcPr>
            <w:tcW w:w="535" w:type="dxa"/>
            <w:noWrap/>
            <w:tcMar>
              <w:top w:w="60" w:type="dxa"/>
              <w:left w:w="100" w:type="dxa"/>
              <w:bottom w:w="60" w:type="dxa"/>
              <w:right w:w="100" w:type="dxa"/>
            </w:tcMar>
            <w:vAlign w:val="center"/>
          </w:tcPr>
          <w:p w14:paraId="7CC7D05B"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40 %</w:t>
            </w:r>
          </w:p>
        </w:tc>
        <w:tc>
          <w:tcPr>
            <w:tcW w:w="696" w:type="dxa"/>
            <w:noWrap/>
            <w:tcMar>
              <w:top w:w="60" w:type="dxa"/>
              <w:left w:w="100" w:type="dxa"/>
              <w:bottom w:w="60" w:type="dxa"/>
              <w:right w:w="100" w:type="dxa"/>
            </w:tcMar>
            <w:vAlign w:val="center"/>
          </w:tcPr>
          <w:p w14:paraId="189124CD"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10 %</w:t>
            </w:r>
          </w:p>
        </w:tc>
        <w:tc>
          <w:tcPr>
            <w:tcW w:w="709" w:type="dxa"/>
            <w:noWrap/>
            <w:tcMar>
              <w:top w:w="60" w:type="dxa"/>
              <w:left w:w="100" w:type="dxa"/>
              <w:bottom w:w="60" w:type="dxa"/>
              <w:right w:w="100" w:type="dxa"/>
            </w:tcMar>
            <w:vAlign w:val="center"/>
          </w:tcPr>
          <w:p w14:paraId="133D9C20"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50 %</w:t>
            </w:r>
          </w:p>
        </w:tc>
        <w:tc>
          <w:tcPr>
            <w:tcW w:w="567" w:type="dxa"/>
            <w:noWrap/>
            <w:tcMar>
              <w:top w:w="60" w:type="dxa"/>
              <w:left w:w="100" w:type="dxa"/>
              <w:bottom w:w="60" w:type="dxa"/>
              <w:right w:w="100" w:type="dxa"/>
            </w:tcMar>
            <w:vAlign w:val="center"/>
          </w:tcPr>
          <w:p w14:paraId="3D9B2E53" w14:textId="77777777" w:rsidR="002670BF" w:rsidRPr="00277203" w:rsidRDefault="002670BF" w:rsidP="23C77BED">
            <w:pPr>
              <w:spacing w:after="0" w:line="240" w:lineRule="auto"/>
              <w:jc w:val="both"/>
              <w:rPr>
                <w:rFonts w:ascii="PP Telegraf" w:eastAsia="PP Telegraf" w:hAnsi="PP Telegraf" w:cs="PP Telegraf"/>
                <w:color w:val="0070C0"/>
                <w:kern w:val="0"/>
                <w:sz w:val="16"/>
                <w:szCs w:val="16"/>
                <w:lang w:eastAsia="en-GB"/>
                <w14:ligatures w14:val="none"/>
              </w:rPr>
            </w:pPr>
          </w:p>
        </w:tc>
        <w:tc>
          <w:tcPr>
            <w:tcW w:w="2551" w:type="dxa"/>
            <w:shd w:val="clear" w:color="auto" w:fill="F2F2F2" w:themeFill="background1" w:themeFillShade="F2"/>
            <w:noWrap/>
            <w:tcMar>
              <w:top w:w="60" w:type="dxa"/>
              <w:left w:w="100" w:type="dxa"/>
              <w:bottom w:w="60" w:type="dxa"/>
              <w:right w:w="100" w:type="dxa"/>
            </w:tcMar>
            <w:vAlign w:val="center"/>
          </w:tcPr>
          <w:p w14:paraId="054CF08F"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KU Leuven</w:t>
            </w:r>
          </w:p>
        </w:tc>
        <w:tc>
          <w:tcPr>
            <w:tcW w:w="709" w:type="dxa"/>
            <w:shd w:val="clear" w:color="auto" w:fill="F2F2F2" w:themeFill="background1" w:themeFillShade="F2"/>
            <w:noWrap/>
            <w:tcMar>
              <w:top w:w="60" w:type="dxa"/>
              <w:left w:w="100" w:type="dxa"/>
              <w:bottom w:w="60" w:type="dxa"/>
              <w:right w:w="100" w:type="dxa"/>
            </w:tcMar>
            <w:vAlign w:val="center"/>
          </w:tcPr>
          <w:p w14:paraId="73B55F95"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59</w:t>
            </w:r>
          </w:p>
        </w:tc>
        <w:tc>
          <w:tcPr>
            <w:tcW w:w="567" w:type="dxa"/>
            <w:noWrap/>
            <w:tcMar>
              <w:top w:w="60" w:type="dxa"/>
              <w:left w:w="100" w:type="dxa"/>
              <w:bottom w:w="60" w:type="dxa"/>
              <w:right w:w="100" w:type="dxa"/>
            </w:tcMar>
            <w:vAlign w:val="center"/>
          </w:tcPr>
          <w:p w14:paraId="1020DBD5"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noWrap/>
            <w:tcMar>
              <w:top w:w="60" w:type="dxa"/>
              <w:left w:w="100" w:type="dxa"/>
              <w:bottom w:w="60" w:type="dxa"/>
              <w:right w:w="100" w:type="dxa"/>
            </w:tcMar>
            <w:vAlign w:val="center"/>
          </w:tcPr>
          <w:p w14:paraId="579E21DD"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08" w:type="dxa"/>
            <w:noWrap/>
            <w:tcMar>
              <w:top w:w="60" w:type="dxa"/>
              <w:left w:w="100" w:type="dxa"/>
              <w:bottom w:w="60" w:type="dxa"/>
              <w:right w:w="100" w:type="dxa"/>
            </w:tcMar>
            <w:vAlign w:val="center"/>
          </w:tcPr>
          <w:p w14:paraId="688610EC"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w:t>
            </w:r>
          </w:p>
        </w:tc>
        <w:tc>
          <w:tcPr>
            <w:tcW w:w="567" w:type="dxa"/>
            <w:noWrap/>
            <w:tcMar>
              <w:top w:w="60" w:type="dxa"/>
              <w:left w:w="100" w:type="dxa"/>
              <w:bottom w:w="60" w:type="dxa"/>
              <w:right w:w="100" w:type="dxa"/>
            </w:tcMar>
            <w:vAlign w:val="center"/>
          </w:tcPr>
          <w:p w14:paraId="7A440E50"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7</w:t>
            </w:r>
          </w:p>
        </w:tc>
      </w:tr>
      <w:tr w:rsidR="002670BF" w:rsidRPr="00277203" w14:paraId="153C7878" w14:textId="77777777" w:rsidTr="0046433F">
        <w:trPr>
          <w:jc w:val="center"/>
        </w:trPr>
        <w:tc>
          <w:tcPr>
            <w:tcW w:w="1133" w:type="dxa"/>
            <w:noWrap/>
            <w:tcMar>
              <w:top w:w="60" w:type="dxa"/>
              <w:left w:w="100" w:type="dxa"/>
              <w:bottom w:w="60" w:type="dxa"/>
              <w:right w:w="100" w:type="dxa"/>
            </w:tcMar>
            <w:vAlign w:val="center"/>
          </w:tcPr>
          <w:p w14:paraId="59444073"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Österreich</w:t>
            </w:r>
          </w:p>
        </w:tc>
        <w:tc>
          <w:tcPr>
            <w:tcW w:w="754" w:type="dxa"/>
            <w:noWrap/>
            <w:tcMar>
              <w:top w:w="60" w:type="dxa"/>
              <w:left w:w="100" w:type="dxa"/>
              <w:bottom w:w="60" w:type="dxa"/>
              <w:right w:w="100" w:type="dxa"/>
            </w:tcMar>
            <w:vAlign w:val="center"/>
          </w:tcPr>
          <w:p w14:paraId="2A696BB9"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10</w:t>
            </w:r>
          </w:p>
        </w:tc>
        <w:tc>
          <w:tcPr>
            <w:tcW w:w="535" w:type="dxa"/>
            <w:noWrap/>
            <w:tcMar>
              <w:top w:w="60" w:type="dxa"/>
              <w:left w:w="100" w:type="dxa"/>
              <w:bottom w:w="60" w:type="dxa"/>
              <w:right w:w="100" w:type="dxa"/>
            </w:tcMar>
            <w:vAlign w:val="center"/>
          </w:tcPr>
          <w:p w14:paraId="295659EC"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88 %</w:t>
            </w:r>
          </w:p>
        </w:tc>
        <w:tc>
          <w:tcPr>
            <w:tcW w:w="696" w:type="dxa"/>
            <w:noWrap/>
            <w:tcMar>
              <w:top w:w="60" w:type="dxa"/>
              <w:left w:w="100" w:type="dxa"/>
              <w:bottom w:w="60" w:type="dxa"/>
              <w:right w:w="100" w:type="dxa"/>
            </w:tcMar>
            <w:vAlign w:val="center"/>
          </w:tcPr>
          <w:p w14:paraId="70C471AC"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0 %</w:t>
            </w:r>
          </w:p>
        </w:tc>
        <w:tc>
          <w:tcPr>
            <w:tcW w:w="709" w:type="dxa"/>
            <w:noWrap/>
            <w:tcMar>
              <w:top w:w="60" w:type="dxa"/>
              <w:left w:w="100" w:type="dxa"/>
              <w:bottom w:w="60" w:type="dxa"/>
              <w:right w:w="100" w:type="dxa"/>
            </w:tcMar>
            <w:vAlign w:val="center"/>
          </w:tcPr>
          <w:p w14:paraId="3B49C381"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13 %</w:t>
            </w:r>
          </w:p>
        </w:tc>
        <w:tc>
          <w:tcPr>
            <w:tcW w:w="567" w:type="dxa"/>
            <w:noWrap/>
            <w:tcMar>
              <w:top w:w="60" w:type="dxa"/>
              <w:left w:w="100" w:type="dxa"/>
              <w:bottom w:w="60" w:type="dxa"/>
              <w:right w:w="100" w:type="dxa"/>
            </w:tcMar>
            <w:vAlign w:val="center"/>
          </w:tcPr>
          <w:p w14:paraId="17DDF49F"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2</w:t>
            </w:r>
          </w:p>
        </w:tc>
        <w:tc>
          <w:tcPr>
            <w:tcW w:w="2551" w:type="dxa"/>
            <w:shd w:val="clear" w:color="auto" w:fill="F2F2F2" w:themeFill="background1" w:themeFillShade="F2"/>
            <w:noWrap/>
            <w:tcMar>
              <w:top w:w="60" w:type="dxa"/>
              <w:left w:w="100" w:type="dxa"/>
              <w:bottom w:w="60" w:type="dxa"/>
              <w:right w:w="100" w:type="dxa"/>
            </w:tcMar>
            <w:vAlign w:val="center"/>
          </w:tcPr>
          <w:p w14:paraId="38FE398D"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Universität Wien</w:t>
            </w:r>
          </w:p>
        </w:tc>
        <w:tc>
          <w:tcPr>
            <w:tcW w:w="709" w:type="dxa"/>
            <w:shd w:val="clear" w:color="auto" w:fill="F2F2F2" w:themeFill="background1" w:themeFillShade="F2"/>
            <w:noWrap/>
            <w:tcMar>
              <w:top w:w="60" w:type="dxa"/>
              <w:left w:w="100" w:type="dxa"/>
              <w:bottom w:w="60" w:type="dxa"/>
              <w:right w:w="100" w:type="dxa"/>
            </w:tcMar>
            <w:vAlign w:val="center"/>
          </w:tcPr>
          <w:p w14:paraId="0BF29C22"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140</w:t>
            </w:r>
          </w:p>
        </w:tc>
        <w:tc>
          <w:tcPr>
            <w:tcW w:w="567" w:type="dxa"/>
            <w:noWrap/>
            <w:tcMar>
              <w:top w:w="60" w:type="dxa"/>
              <w:left w:w="100" w:type="dxa"/>
              <w:bottom w:w="60" w:type="dxa"/>
              <w:right w:w="100" w:type="dxa"/>
            </w:tcMar>
            <w:vAlign w:val="center"/>
          </w:tcPr>
          <w:p w14:paraId="755C89E2"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noWrap/>
            <w:tcMar>
              <w:top w:w="60" w:type="dxa"/>
              <w:left w:w="100" w:type="dxa"/>
              <w:bottom w:w="60" w:type="dxa"/>
              <w:right w:w="100" w:type="dxa"/>
            </w:tcMar>
            <w:vAlign w:val="center"/>
          </w:tcPr>
          <w:p w14:paraId="7A229284"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08" w:type="dxa"/>
            <w:noWrap/>
            <w:tcMar>
              <w:top w:w="60" w:type="dxa"/>
              <w:left w:w="100" w:type="dxa"/>
              <w:bottom w:w="60" w:type="dxa"/>
              <w:right w:w="100" w:type="dxa"/>
            </w:tcMar>
            <w:vAlign w:val="center"/>
          </w:tcPr>
          <w:p w14:paraId="1B5BD60E"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67" w:type="dxa"/>
            <w:noWrap/>
            <w:tcMar>
              <w:top w:w="60" w:type="dxa"/>
              <w:left w:w="100" w:type="dxa"/>
              <w:bottom w:w="60" w:type="dxa"/>
              <w:right w:w="100" w:type="dxa"/>
            </w:tcMar>
            <w:vAlign w:val="center"/>
          </w:tcPr>
          <w:p w14:paraId="2D2F938E"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6</w:t>
            </w:r>
          </w:p>
        </w:tc>
      </w:tr>
      <w:tr w:rsidR="002670BF" w:rsidRPr="00277203" w14:paraId="4667C329" w14:textId="77777777" w:rsidTr="0046433F">
        <w:trPr>
          <w:jc w:val="center"/>
        </w:trPr>
        <w:tc>
          <w:tcPr>
            <w:tcW w:w="1133" w:type="dxa"/>
            <w:noWrap/>
            <w:tcMar>
              <w:top w:w="60" w:type="dxa"/>
              <w:left w:w="100" w:type="dxa"/>
              <w:bottom w:w="60" w:type="dxa"/>
              <w:right w:w="100" w:type="dxa"/>
            </w:tcMar>
            <w:vAlign w:val="center"/>
          </w:tcPr>
          <w:p w14:paraId="4BE64AD1"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b/>
                <w:bCs/>
                <w:kern w:val="0"/>
                <w:sz w:val="16"/>
                <w:szCs w:val="16"/>
                <w:lang w:eastAsia="en-GB"/>
                <w14:ligatures w14:val="none"/>
              </w:rPr>
              <w:t>Griechenland</w:t>
            </w:r>
          </w:p>
        </w:tc>
        <w:tc>
          <w:tcPr>
            <w:tcW w:w="754" w:type="dxa"/>
            <w:noWrap/>
            <w:tcMar>
              <w:top w:w="60" w:type="dxa"/>
              <w:left w:w="100" w:type="dxa"/>
              <w:bottom w:w="60" w:type="dxa"/>
              <w:right w:w="100" w:type="dxa"/>
            </w:tcMar>
            <w:vAlign w:val="center"/>
          </w:tcPr>
          <w:p w14:paraId="5CD108BE"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10</w:t>
            </w:r>
          </w:p>
        </w:tc>
        <w:tc>
          <w:tcPr>
            <w:tcW w:w="535" w:type="dxa"/>
            <w:noWrap/>
            <w:tcMar>
              <w:top w:w="60" w:type="dxa"/>
              <w:left w:w="100" w:type="dxa"/>
              <w:bottom w:w="60" w:type="dxa"/>
              <w:right w:w="100" w:type="dxa"/>
            </w:tcMar>
            <w:vAlign w:val="center"/>
          </w:tcPr>
          <w:p w14:paraId="5A49528A" w14:textId="77777777" w:rsidR="002670BF" w:rsidRPr="00277203" w:rsidRDefault="4C795DAC"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0 %</w:t>
            </w:r>
          </w:p>
        </w:tc>
        <w:tc>
          <w:tcPr>
            <w:tcW w:w="696" w:type="dxa"/>
            <w:noWrap/>
            <w:tcMar>
              <w:top w:w="60" w:type="dxa"/>
              <w:left w:w="100" w:type="dxa"/>
              <w:bottom w:w="60" w:type="dxa"/>
              <w:right w:w="100" w:type="dxa"/>
            </w:tcMar>
            <w:vAlign w:val="center"/>
          </w:tcPr>
          <w:p w14:paraId="49F05917" w14:textId="77777777" w:rsidR="002670BF" w:rsidRPr="00277203" w:rsidRDefault="4C795DAC"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0 %</w:t>
            </w:r>
          </w:p>
        </w:tc>
        <w:tc>
          <w:tcPr>
            <w:tcW w:w="709" w:type="dxa"/>
            <w:noWrap/>
            <w:tcMar>
              <w:top w:w="60" w:type="dxa"/>
              <w:left w:w="100" w:type="dxa"/>
              <w:bottom w:w="60" w:type="dxa"/>
              <w:right w:w="100" w:type="dxa"/>
            </w:tcMar>
            <w:vAlign w:val="center"/>
          </w:tcPr>
          <w:p w14:paraId="2496A2D8" w14:textId="77777777" w:rsidR="002670BF" w:rsidRPr="00277203" w:rsidRDefault="4C795DAC"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100 %</w:t>
            </w:r>
          </w:p>
        </w:tc>
        <w:tc>
          <w:tcPr>
            <w:tcW w:w="567" w:type="dxa"/>
            <w:noWrap/>
            <w:tcMar>
              <w:top w:w="60" w:type="dxa"/>
              <w:left w:w="100" w:type="dxa"/>
              <w:bottom w:w="60" w:type="dxa"/>
              <w:right w:w="100" w:type="dxa"/>
            </w:tcMar>
            <w:vAlign w:val="center"/>
          </w:tcPr>
          <w:p w14:paraId="41F209FE" w14:textId="77777777" w:rsidR="002670BF" w:rsidRPr="00277203" w:rsidRDefault="4C795DAC" w:rsidP="23C77BED">
            <w:pPr>
              <w:spacing w:after="0" w:line="240" w:lineRule="auto"/>
              <w:jc w:val="both"/>
              <w:rPr>
                <w:rFonts w:ascii="PP Telegraf" w:eastAsia="PP Telegraf" w:hAnsi="PP Telegraf" w:cs="PP Telegraf"/>
                <w:color w:val="0070C0"/>
                <w:kern w:val="0"/>
                <w:sz w:val="16"/>
                <w:szCs w:val="16"/>
                <w:lang w:eastAsia="en-GB"/>
                <w14:ligatures w14:val="none"/>
              </w:rPr>
            </w:pPr>
            <w:r w:rsidRPr="23C77BED">
              <w:rPr>
                <w:rFonts w:ascii="PP Telegraf" w:eastAsia="PP Telegraf" w:hAnsi="PP Telegraf" w:cs="PP Telegraf"/>
                <w:color w:val="0070C0"/>
                <w:kern w:val="0"/>
                <w:sz w:val="16"/>
                <w:szCs w:val="16"/>
                <w:lang w:eastAsia="en-GB"/>
                <w14:ligatures w14:val="none"/>
              </w:rPr>
              <w:t>3</w:t>
            </w:r>
          </w:p>
        </w:tc>
        <w:tc>
          <w:tcPr>
            <w:tcW w:w="2551" w:type="dxa"/>
            <w:shd w:val="clear" w:color="auto" w:fill="F2F2F2" w:themeFill="background1" w:themeFillShade="F2"/>
            <w:noWrap/>
            <w:tcMar>
              <w:top w:w="60" w:type="dxa"/>
              <w:left w:w="100" w:type="dxa"/>
              <w:bottom w:w="60" w:type="dxa"/>
              <w:right w:w="100" w:type="dxa"/>
            </w:tcMar>
            <w:vAlign w:val="center"/>
          </w:tcPr>
          <w:p w14:paraId="7D7620B9"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Nationale Technische Universität Athen</w:t>
            </w:r>
          </w:p>
        </w:tc>
        <w:tc>
          <w:tcPr>
            <w:tcW w:w="709" w:type="dxa"/>
            <w:shd w:val="clear" w:color="auto" w:fill="F2F2F2" w:themeFill="background1" w:themeFillShade="F2"/>
            <w:noWrap/>
            <w:tcMar>
              <w:top w:w="60" w:type="dxa"/>
              <w:left w:w="100" w:type="dxa"/>
              <w:bottom w:w="60" w:type="dxa"/>
              <w:right w:w="100" w:type="dxa"/>
            </w:tcMar>
            <w:vAlign w:val="center"/>
          </w:tcPr>
          <w:p w14:paraId="37D2560A"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378</w:t>
            </w:r>
          </w:p>
        </w:tc>
        <w:tc>
          <w:tcPr>
            <w:tcW w:w="567" w:type="dxa"/>
            <w:noWrap/>
            <w:tcMar>
              <w:top w:w="60" w:type="dxa"/>
              <w:left w:w="100" w:type="dxa"/>
              <w:bottom w:w="60" w:type="dxa"/>
              <w:right w:w="100" w:type="dxa"/>
            </w:tcMar>
            <w:vAlign w:val="center"/>
          </w:tcPr>
          <w:p w14:paraId="1B3B88CA"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484" w:type="dxa"/>
            <w:noWrap/>
            <w:tcMar>
              <w:top w:w="60" w:type="dxa"/>
              <w:left w:w="100" w:type="dxa"/>
              <w:bottom w:w="60" w:type="dxa"/>
              <w:right w:w="100" w:type="dxa"/>
            </w:tcMar>
            <w:vAlign w:val="center"/>
          </w:tcPr>
          <w:p w14:paraId="55FB67FA"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08" w:type="dxa"/>
            <w:noWrap/>
            <w:tcMar>
              <w:top w:w="60" w:type="dxa"/>
              <w:left w:w="100" w:type="dxa"/>
              <w:bottom w:w="60" w:type="dxa"/>
              <w:right w:w="100" w:type="dxa"/>
            </w:tcMar>
            <w:vAlign w:val="center"/>
          </w:tcPr>
          <w:p w14:paraId="28D0BD4F" w14:textId="77777777" w:rsidR="002670BF" w:rsidRPr="00277203" w:rsidRDefault="002670BF" w:rsidP="23C77BED">
            <w:pPr>
              <w:spacing w:after="0" w:line="240" w:lineRule="auto"/>
              <w:jc w:val="both"/>
              <w:rPr>
                <w:rFonts w:ascii="PP Telegraf" w:eastAsia="PP Telegraf" w:hAnsi="PP Telegraf" w:cs="PP Telegraf"/>
                <w:kern w:val="0"/>
                <w:sz w:val="16"/>
                <w:szCs w:val="16"/>
                <w:lang w:eastAsia="en-GB"/>
                <w14:ligatures w14:val="none"/>
              </w:rPr>
            </w:pPr>
          </w:p>
        </w:tc>
        <w:tc>
          <w:tcPr>
            <w:tcW w:w="567" w:type="dxa"/>
            <w:noWrap/>
            <w:tcMar>
              <w:top w:w="60" w:type="dxa"/>
              <w:left w:w="100" w:type="dxa"/>
              <w:bottom w:w="60" w:type="dxa"/>
              <w:right w:w="100" w:type="dxa"/>
            </w:tcMar>
            <w:vAlign w:val="center"/>
          </w:tcPr>
          <w:p w14:paraId="6AFB5138" w14:textId="77777777" w:rsidR="002670BF" w:rsidRPr="00277203" w:rsidRDefault="4C795DAC"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w:t>
            </w:r>
          </w:p>
        </w:tc>
      </w:tr>
    </w:tbl>
    <w:p w14:paraId="03A25912" w14:textId="77777777" w:rsidR="002670BF" w:rsidRDefault="002670BF" w:rsidP="23C77BED">
      <w:pPr>
        <w:pStyle w:val="paragraph"/>
        <w:spacing w:before="0" w:beforeAutospacing="0" w:after="0" w:afterAutospacing="0"/>
        <w:jc w:val="both"/>
        <w:textAlignment w:val="baseline"/>
        <w:rPr>
          <w:rStyle w:val="normaltextrun"/>
          <w:rFonts w:ascii="PP Telegraf" w:eastAsia="PP Telegraf" w:hAnsi="PP Telegraf" w:cs="PP Telegraf"/>
          <w:color w:val="000000"/>
          <w:sz w:val="22"/>
          <w:szCs w:val="22"/>
          <w:shd w:val="clear" w:color="auto" w:fill="FFFFFF"/>
          <w:lang w:val="en-US"/>
        </w:rPr>
      </w:pPr>
    </w:p>
    <w:p w14:paraId="541669F0" w14:textId="681006E3" w:rsidR="00AE7D23" w:rsidRPr="002670BF" w:rsidRDefault="587657FF" w:rsidP="23C77BED">
      <w:pPr>
        <w:pStyle w:val="paragraph"/>
        <w:spacing w:before="0" w:beforeAutospacing="0" w:after="160" w:afterAutospacing="0" w:line="360" w:lineRule="auto"/>
        <w:jc w:val="both"/>
        <w:textAlignment w:val="baseline"/>
        <w:rPr>
          <w:rStyle w:val="normaltextrun"/>
          <w:rFonts w:ascii="PP Telegraf" w:eastAsia="PP Telegraf" w:hAnsi="PP Telegraf" w:cs="PP Telegraf"/>
          <w:color w:val="000000"/>
          <w:sz w:val="22"/>
          <w:szCs w:val="22"/>
          <w:shd w:val="clear" w:color="auto" w:fill="FFFFFF"/>
        </w:rPr>
      </w:pPr>
      <w:r w:rsidRPr="00CA2A20">
        <w:rPr>
          <w:rStyle w:val="normaltextrun"/>
          <w:rFonts w:ascii="PP Telegraf" w:eastAsia="PP Telegraf" w:hAnsi="PP Telegraf" w:cs="PP Telegraf"/>
          <w:color w:val="000000"/>
          <w:sz w:val="22"/>
          <w:szCs w:val="22"/>
          <w:shd w:val="clear" w:color="auto" w:fill="FFFFFF"/>
          <w:lang w:val="de-DE"/>
        </w:rPr>
        <w:t xml:space="preserve">Die QS World University Rankings werden anhand </w:t>
      </w:r>
      <w:r w:rsidR="19EB740E" w:rsidRPr="00CA2A20">
        <w:rPr>
          <w:rStyle w:val="normaltextrun"/>
          <w:rFonts w:ascii="PP Telegraf" w:eastAsia="PP Telegraf" w:hAnsi="PP Telegraf" w:cs="PP Telegraf"/>
          <w:color w:val="000000"/>
          <w:sz w:val="22"/>
          <w:szCs w:val="22"/>
          <w:shd w:val="clear" w:color="auto" w:fill="FFFFFF"/>
          <w:lang w:val="de-DE"/>
        </w:rPr>
        <w:t>der Punktzahlen</w:t>
      </w:r>
      <w:r w:rsidRPr="00CA2A20">
        <w:rPr>
          <w:rStyle w:val="normaltextrun"/>
          <w:rFonts w:ascii="PP Telegraf" w:eastAsia="PP Telegraf" w:hAnsi="PP Telegraf" w:cs="PP Telegraf"/>
          <w:color w:val="000000"/>
          <w:sz w:val="22"/>
          <w:szCs w:val="22"/>
          <w:shd w:val="clear" w:color="auto" w:fill="FFFFFF"/>
          <w:lang w:val="de-DE"/>
        </w:rPr>
        <w:t xml:space="preserve"> einer Einrichtung </w:t>
      </w:r>
      <w:r w:rsidR="19EB740E" w:rsidRPr="00CA2A20">
        <w:rPr>
          <w:rStyle w:val="normaltextrun"/>
          <w:rFonts w:ascii="PP Telegraf" w:eastAsia="PP Telegraf" w:hAnsi="PP Telegraf" w:cs="PP Telegraf"/>
          <w:color w:val="000000"/>
          <w:sz w:val="22"/>
          <w:szCs w:val="22"/>
          <w:shd w:val="clear" w:color="auto" w:fill="FFFFFF"/>
          <w:lang w:val="de-DE"/>
        </w:rPr>
        <w:t xml:space="preserve">in neun </w:t>
      </w:r>
      <w:r w:rsidRPr="00CA2A20">
        <w:rPr>
          <w:rStyle w:val="normaltextrun"/>
          <w:rFonts w:ascii="PP Telegraf" w:eastAsia="PP Telegraf" w:hAnsi="PP Telegraf" w:cs="PP Telegraf"/>
          <w:color w:val="000000"/>
          <w:sz w:val="22"/>
          <w:szCs w:val="22"/>
          <w:shd w:val="clear" w:color="auto" w:fill="FFFFFF"/>
          <w:lang w:val="de-DE"/>
        </w:rPr>
        <w:t xml:space="preserve">Schlüsselindikatoren ermittelt. </w:t>
      </w:r>
      <w:r w:rsidR="41180CA9" w:rsidRPr="00CA2A20">
        <w:rPr>
          <w:rFonts w:ascii="PP Telegraf" w:eastAsia="PP Telegraf" w:hAnsi="PP Telegraf" w:cs="PP Telegraf"/>
          <w:color w:val="000000"/>
          <w:sz w:val="22"/>
          <w:szCs w:val="22"/>
          <w:shd w:val="clear" w:color="auto" w:fill="FFFFFF"/>
          <w:lang w:val="de-DE"/>
        </w:rPr>
        <w:t xml:space="preserve">Die nachstehende Tabelle zeigt die leistungsstärksten Universitäten der Schweiz in jedem der QS-Indikatoren und verdeutlicht die Stärke bei den Internationalisierungskennzahlen, obwohl alle zuvor bewerteten Schweizer Universitäten sowohl beim Anteil internationaler Lehrkräfte als auch beim Anteil internationaler Studierender Einbußen verzeichneten. Das Land verzeichnet Nettozuwächse bei der akademischen Reputation und den Beschäftigungsergebnissen. </w:t>
      </w:r>
      <w:proofErr w:type="spellStart"/>
      <w:r w:rsidRPr="23C77BED">
        <w:rPr>
          <w:rStyle w:val="normaltextrun"/>
          <w:rFonts w:ascii="PP Telegraf" w:eastAsia="PP Telegraf" w:hAnsi="PP Telegraf" w:cs="PP Telegraf"/>
          <w:color w:val="000000"/>
          <w:sz w:val="22"/>
          <w:szCs w:val="22"/>
          <w:shd w:val="clear" w:color="auto" w:fill="FFFFFF"/>
          <w:lang w:val="en-US"/>
        </w:rPr>
        <w:t>Detaillierte</w:t>
      </w:r>
      <w:proofErr w:type="spellEnd"/>
      <w:r w:rsidRPr="23C77BED">
        <w:rPr>
          <w:rStyle w:val="normaltextrun"/>
          <w:rFonts w:ascii="PP Telegraf" w:eastAsia="PP Telegraf" w:hAnsi="PP Telegraf" w:cs="PP Telegraf"/>
          <w:color w:val="000000"/>
          <w:sz w:val="22"/>
          <w:szCs w:val="22"/>
          <w:shd w:val="clear" w:color="auto" w:fill="FFFFFF"/>
          <w:lang w:val="en-US"/>
        </w:rPr>
        <w:t xml:space="preserve"> </w:t>
      </w:r>
      <w:proofErr w:type="spellStart"/>
      <w:r w:rsidRPr="23C77BED">
        <w:rPr>
          <w:rStyle w:val="normaltextrun"/>
          <w:rFonts w:ascii="PP Telegraf" w:eastAsia="PP Telegraf" w:hAnsi="PP Telegraf" w:cs="PP Telegraf"/>
          <w:color w:val="000000"/>
          <w:sz w:val="22"/>
          <w:szCs w:val="22"/>
          <w:shd w:val="clear" w:color="auto" w:fill="FFFFFF"/>
          <w:lang w:val="en-US"/>
        </w:rPr>
        <w:t>Informationen</w:t>
      </w:r>
      <w:proofErr w:type="spellEnd"/>
      <w:r w:rsidRPr="23C77BED">
        <w:rPr>
          <w:rStyle w:val="normaltextrun"/>
          <w:rFonts w:ascii="PP Telegraf" w:eastAsia="PP Telegraf" w:hAnsi="PP Telegraf" w:cs="PP Telegraf"/>
          <w:color w:val="000000"/>
          <w:sz w:val="22"/>
          <w:szCs w:val="22"/>
          <w:shd w:val="clear" w:color="auto" w:fill="FFFFFF"/>
          <w:lang w:val="en-US"/>
        </w:rPr>
        <w:t xml:space="preserve"> </w:t>
      </w:r>
      <w:proofErr w:type="spellStart"/>
      <w:r w:rsidRPr="23C77BED">
        <w:rPr>
          <w:rStyle w:val="normaltextrun"/>
          <w:rFonts w:ascii="PP Telegraf" w:eastAsia="PP Telegraf" w:hAnsi="PP Telegraf" w:cs="PP Telegraf"/>
          <w:color w:val="000000"/>
          <w:sz w:val="22"/>
          <w:szCs w:val="22"/>
          <w:shd w:val="clear" w:color="auto" w:fill="FFFFFF"/>
          <w:lang w:val="en-US"/>
        </w:rPr>
        <w:t>zur</w:t>
      </w:r>
      <w:proofErr w:type="spellEnd"/>
      <w:r w:rsidRPr="23C77BED">
        <w:rPr>
          <w:rStyle w:val="normaltextrun"/>
          <w:rFonts w:ascii="PP Telegraf" w:eastAsia="PP Telegraf" w:hAnsi="PP Telegraf" w:cs="PP Telegraf"/>
          <w:color w:val="000000"/>
          <w:sz w:val="22"/>
          <w:szCs w:val="22"/>
          <w:shd w:val="clear" w:color="auto" w:fill="FFFFFF"/>
          <w:lang w:val="en-US"/>
        </w:rPr>
        <w:t xml:space="preserve"> Methodik finden Sie </w:t>
      </w:r>
      <w:proofErr w:type="spellStart"/>
      <w:r w:rsidRPr="23C77BED">
        <w:rPr>
          <w:rStyle w:val="normaltextrun"/>
          <w:rFonts w:ascii="PP Telegraf" w:eastAsia="PP Telegraf" w:hAnsi="PP Telegraf" w:cs="PP Telegraf"/>
          <w:color w:val="467886"/>
          <w:sz w:val="22"/>
          <w:szCs w:val="22"/>
          <w:u w:val="single"/>
          <w:shd w:val="clear" w:color="auto" w:fill="FFFFFF"/>
        </w:rPr>
        <w:t>hier</w:t>
      </w:r>
      <w:proofErr w:type="spellEnd"/>
      <w:r w:rsidR="00AE7D23">
        <w:fldChar w:fldCharType="begin"/>
      </w:r>
      <w:r w:rsidR="00AE7D23">
        <w:instrText>HYPERLINK "https://www.topuniversities.com/world-university-rankings/methodology"</w:instrText>
      </w:r>
      <w:r w:rsidR="00AE7D23">
        <w:fldChar w:fldCharType="separate"/>
      </w:r>
      <w:r w:rsidR="00AE7D23">
        <w:fldChar w:fldCharType="end"/>
      </w:r>
      <w:r w:rsidRPr="23C77BED">
        <w:rPr>
          <w:rStyle w:val="normaltextrun"/>
          <w:rFonts w:ascii="PP Telegraf" w:eastAsia="PP Telegraf" w:hAnsi="PP Telegraf" w:cs="PP Telegraf"/>
          <w:color w:val="000000"/>
          <w:sz w:val="22"/>
          <w:szCs w:val="22"/>
          <w:shd w:val="clear" w:color="auto" w:fill="FFFFFF"/>
        </w:rPr>
        <w:t xml:space="preserve"> .</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567"/>
        <w:gridCol w:w="709"/>
        <w:gridCol w:w="709"/>
        <w:gridCol w:w="996"/>
        <w:gridCol w:w="988"/>
        <w:gridCol w:w="1985"/>
        <w:gridCol w:w="1020"/>
        <w:gridCol w:w="889"/>
      </w:tblGrid>
      <w:tr w:rsidR="00AE7D23" w:rsidRPr="00CA2A20" w14:paraId="407FFB0D" w14:textId="77777777" w:rsidTr="00DA0B5A">
        <w:trPr>
          <w:trHeight w:val="300"/>
          <w:jc w:val="center"/>
        </w:trPr>
        <w:tc>
          <w:tcPr>
            <w:tcW w:w="10126" w:type="dxa"/>
            <w:gridSpan w:val="9"/>
            <w:noWrap/>
            <w:vAlign w:val="bottom"/>
            <w:hideMark/>
          </w:tcPr>
          <w:p w14:paraId="0ED946DB" w14:textId="4A5A86C9" w:rsidR="00AE7D23" w:rsidRPr="00CA2A20" w:rsidRDefault="587657FF" w:rsidP="23C77BED">
            <w:pPr>
              <w:spacing w:after="0" w:line="240" w:lineRule="auto"/>
              <w:jc w:val="both"/>
              <w:rPr>
                <w:rFonts w:ascii="PP Telegraf" w:eastAsia="PP Telegraf" w:hAnsi="PP Telegraf" w:cs="PP Telegraf"/>
                <w:b/>
                <w:bCs/>
                <w:kern w:val="0"/>
                <w:sz w:val="20"/>
                <w:szCs w:val="20"/>
                <w:lang w:val="de-DE" w:eastAsia="en-GB"/>
                <w14:ligatures w14:val="none"/>
              </w:rPr>
            </w:pPr>
            <w:r w:rsidRPr="00CA2A20">
              <w:rPr>
                <w:rFonts w:ascii="PP Telegraf" w:eastAsia="PP Telegraf" w:hAnsi="PP Telegraf" w:cs="PP Telegraf"/>
                <w:b/>
                <w:bCs/>
                <w:kern w:val="0"/>
                <w:sz w:val="20"/>
                <w:szCs w:val="20"/>
                <w:lang w:val="de-DE" w:eastAsia="en-GB"/>
                <w14:ligatures w14:val="none"/>
              </w:rPr>
              <w:t>Tabelle</w:t>
            </w:r>
            <w:r w:rsidR="01DA175A" w:rsidRPr="00CA2A20">
              <w:rPr>
                <w:rFonts w:ascii="PP Telegraf" w:eastAsia="PP Telegraf" w:hAnsi="PP Telegraf" w:cs="PP Telegraf"/>
                <w:b/>
                <w:bCs/>
                <w:kern w:val="0"/>
                <w:sz w:val="20"/>
                <w:szCs w:val="20"/>
                <w:lang w:val="de-DE" w:eastAsia="en-GB"/>
                <w14:ligatures w14:val="none"/>
              </w:rPr>
              <w:t xml:space="preserve"> 3</w:t>
            </w:r>
            <w:r w:rsidRPr="00CA2A20">
              <w:rPr>
                <w:rFonts w:ascii="PP Telegraf" w:eastAsia="PP Telegraf" w:hAnsi="PP Telegraf" w:cs="PP Telegraf"/>
                <w:b/>
                <w:bCs/>
                <w:kern w:val="0"/>
                <w:sz w:val="20"/>
                <w:szCs w:val="20"/>
                <w:lang w:val="de-DE" w:eastAsia="en-GB"/>
                <w14:ligatures w14:val="none"/>
              </w:rPr>
              <w:t xml:space="preserve">: </w:t>
            </w:r>
            <w:r w:rsidR="01DA175A" w:rsidRPr="00CA2A20">
              <w:rPr>
                <w:rFonts w:ascii="PP Telegraf" w:eastAsia="PP Telegraf" w:hAnsi="PP Telegraf" w:cs="PP Telegraf"/>
                <w:b/>
                <w:bCs/>
                <w:kern w:val="0"/>
                <w:sz w:val="20"/>
                <w:szCs w:val="20"/>
                <w:lang w:val="de-DE" w:eastAsia="en-GB"/>
                <w14:ligatures w14:val="none"/>
              </w:rPr>
              <w:t xml:space="preserve">Schweiz </w:t>
            </w:r>
            <w:r w:rsidRPr="00CA2A20">
              <w:rPr>
                <w:rFonts w:ascii="PP Telegraf" w:eastAsia="PP Telegraf" w:hAnsi="PP Telegraf" w:cs="PP Telegraf"/>
                <w:b/>
                <w:bCs/>
                <w:kern w:val="0"/>
                <w:sz w:val="20"/>
                <w:szCs w:val="20"/>
                <w:lang w:val="de-DE" w:eastAsia="en-GB"/>
                <w14:ligatures w14:val="none"/>
              </w:rPr>
              <w:t>– Aufschlüsselung der Indikatoren</w:t>
            </w:r>
          </w:p>
        </w:tc>
      </w:tr>
      <w:tr w:rsidR="00AE7D23" w:rsidRPr="002670BF" w14:paraId="37874174" w14:textId="77777777" w:rsidTr="00DA0B5A">
        <w:trPr>
          <w:trHeight w:val="300"/>
          <w:jc w:val="center"/>
        </w:trPr>
        <w:tc>
          <w:tcPr>
            <w:tcW w:w="2263" w:type="dxa"/>
            <w:vMerge w:val="restart"/>
            <w:vAlign w:val="center"/>
            <w:hideMark/>
          </w:tcPr>
          <w:p w14:paraId="08CF041B" w14:textId="77777777" w:rsidR="00AE7D23" w:rsidRPr="00BC5654" w:rsidRDefault="1DA54E9A" w:rsidP="23C77BED">
            <w:pPr>
              <w:spacing w:after="0" w:line="240" w:lineRule="auto"/>
              <w:jc w:val="both"/>
              <w:rPr>
                <w:rFonts w:ascii="PP Telegraf" w:eastAsia="PP Telegraf" w:hAnsi="PP Telegraf" w:cs="PP Telegraf"/>
                <w:b/>
                <w:bCs/>
                <w:kern w:val="0"/>
                <w:sz w:val="12"/>
                <w:szCs w:val="12"/>
                <w:lang w:eastAsia="en-GB"/>
                <w14:ligatures w14:val="none"/>
              </w:rPr>
            </w:pPr>
            <w:proofErr w:type="spellStart"/>
            <w:r w:rsidRPr="00BC5654">
              <w:rPr>
                <w:rFonts w:ascii="PP Telegraf" w:eastAsia="PP Telegraf" w:hAnsi="PP Telegraf" w:cs="PP Telegraf"/>
                <w:b/>
                <w:bCs/>
                <w:kern w:val="0"/>
                <w:sz w:val="12"/>
                <w:szCs w:val="12"/>
                <w:lang w:eastAsia="en-GB"/>
                <w14:ligatures w14:val="none"/>
              </w:rPr>
              <w:t>Indikator</w:t>
            </w:r>
            <w:proofErr w:type="spellEnd"/>
          </w:p>
        </w:tc>
        <w:tc>
          <w:tcPr>
            <w:tcW w:w="567" w:type="dxa"/>
            <w:vMerge w:val="restart"/>
            <w:vAlign w:val="center"/>
            <w:hideMark/>
          </w:tcPr>
          <w:p w14:paraId="08DD463F" w14:textId="77777777" w:rsidR="00AE7D23" w:rsidRPr="00BC5654" w:rsidRDefault="587657FF" w:rsidP="23C77BED">
            <w:pPr>
              <w:spacing w:after="0" w:line="240" w:lineRule="auto"/>
              <w:jc w:val="both"/>
              <w:rPr>
                <w:rFonts w:ascii="PP Telegraf" w:eastAsia="PP Telegraf" w:hAnsi="PP Telegraf" w:cs="PP Telegraf"/>
                <w:b/>
                <w:bCs/>
                <w:color w:val="00B050"/>
                <w:kern w:val="0"/>
                <w:sz w:val="12"/>
                <w:szCs w:val="12"/>
                <w:lang w:eastAsia="en-GB"/>
                <w14:ligatures w14:val="none"/>
              </w:rPr>
            </w:pPr>
            <w:r w:rsidRPr="00BC5654">
              <w:rPr>
                <w:rFonts w:ascii="PP Telegraf" w:eastAsia="PP Telegraf" w:hAnsi="PP Telegraf" w:cs="PP Telegraf"/>
                <w:b/>
                <w:bCs/>
                <w:color w:val="00B050"/>
                <w:kern w:val="0"/>
                <w:sz w:val="12"/>
                <w:szCs w:val="12"/>
                <w:lang w:eastAsia="en-GB"/>
                <w14:ligatures w14:val="none"/>
              </w:rPr>
              <w:t>Auf</w:t>
            </w:r>
          </w:p>
        </w:tc>
        <w:tc>
          <w:tcPr>
            <w:tcW w:w="709" w:type="dxa"/>
            <w:vMerge w:val="restart"/>
            <w:vAlign w:val="center"/>
            <w:hideMark/>
          </w:tcPr>
          <w:p w14:paraId="2BDC8879" w14:textId="77777777" w:rsidR="00AE7D23" w:rsidRPr="00BC5654" w:rsidRDefault="587657FF" w:rsidP="23C77BED">
            <w:pPr>
              <w:spacing w:after="0" w:line="240" w:lineRule="auto"/>
              <w:jc w:val="both"/>
              <w:rPr>
                <w:rFonts w:ascii="PP Telegraf" w:eastAsia="PP Telegraf" w:hAnsi="PP Telegraf" w:cs="PP Telegraf"/>
                <w:b/>
                <w:bCs/>
                <w:color w:val="FFC000"/>
                <w:kern w:val="0"/>
                <w:sz w:val="12"/>
                <w:szCs w:val="12"/>
                <w:lang w:eastAsia="en-GB"/>
                <w14:ligatures w14:val="none"/>
              </w:rPr>
            </w:pPr>
            <w:r w:rsidRPr="00BC5654">
              <w:rPr>
                <w:rFonts w:ascii="PP Telegraf" w:eastAsia="PP Telegraf" w:hAnsi="PP Telegraf" w:cs="PP Telegraf"/>
                <w:b/>
                <w:bCs/>
                <w:color w:val="FFC000"/>
                <w:kern w:val="0"/>
                <w:sz w:val="12"/>
                <w:szCs w:val="12"/>
                <w:lang w:eastAsia="en-GB"/>
                <w14:ligatures w14:val="none"/>
              </w:rPr>
              <w:t>Unverändert</w:t>
            </w:r>
          </w:p>
        </w:tc>
        <w:tc>
          <w:tcPr>
            <w:tcW w:w="709" w:type="dxa"/>
            <w:vMerge w:val="restart"/>
            <w:vAlign w:val="center"/>
            <w:hideMark/>
          </w:tcPr>
          <w:p w14:paraId="466C5C87" w14:textId="77777777" w:rsidR="00AE7D23" w:rsidRPr="00BC5654" w:rsidRDefault="587657FF" w:rsidP="23C77BED">
            <w:pPr>
              <w:spacing w:after="0" w:line="240" w:lineRule="auto"/>
              <w:jc w:val="both"/>
              <w:rPr>
                <w:rFonts w:ascii="PP Telegraf" w:eastAsia="PP Telegraf" w:hAnsi="PP Telegraf" w:cs="PP Telegraf"/>
                <w:b/>
                <w:bCs/>
                <w:color w:val="C00000"/>
                <w:kern w:val="0"/>
                <w:sz w:val="12"/>
                <w:szCs w:val="12"/>
                <w:lang w:eastAsia="en-GB"/>
                <w14:ligatures w14:val="none"/>
              </w:rPr>
            </w:pPr>
            <w:r w:rsidRPr="00BC5654">
              <w:rPr>
                <w:rFonts w:ascii="PP Telegraf" w:eastAsia="PP Telegraf" w:hAnsi="PP Telegraf" w:cs="PP Telegraf"/>
                <w:b/>
                <w:bCs/>
                <w:color w:val="C00000"/>
                <w:kern w:val="0"/>
                <w:sz w:val="12"/>
                <w:szCs w:val="12"/>
                <w:lang w:eastAsia="en-GB"/>
                <w14:ligatures w14:val="none"/>
              </w:rPr>
              <w:t>Rückgang</w:t>
            </w:r>
          </w:p>
        </w:tc>
        <w:tc>
          <w:tcPr>
            <w:tcW w:w="996" w:type="dxa"/>
            <w:vMerge w:val="restart"/>
            <w:vAlign w:val="center"/>
            <w:hideMark/>
          </w:tcPr>
          <w:p w14:paraId="46268753" w14:textId="77777777" w:rsidR="00AE7D23" w:rsidRPr="00BC5654" w:rsidRDefault="587657FF" w:rsidP="23C77BED">
            <w:pPr>
              <w:spacing w:after="0" w:line="240" w:lineRule="auto"/>
              <w:jc w:val="both"/>
              <w:rPr>
                <w:rFonts w:ascii="PP Telegraf" w:eastAsia="PP Telegraf" w:hAnsi="PP Telegraf" w:cs="PP Telegraf"/>
                <w:b/>
                <w:bCs/>
                <w:kern w:val="0"/>
                <w:sz w:val="12"/>
                <w:szCs w:val="12"/>
                <w:lang w:eastAsia="en-GB"/>
                <w14:ligatures w14:val="none"/>
              </w:rPr>
            </w:pPr>
            <w:r w:rsidRPr="00BC5654">
              <w:rPr>
                <w:rFonts w:ascii="PP Telegraf" w:eastAsia="PP Telegraf" w:hAnsi="PP Telegraf" w:cs="PP Telegraf"/>
                <w:b/>
                <w:bCs/>
                <w:kern w:val="0"/>
                <w:sz w:val="12"/>
                <w:szCs w:val="12"/>
                <w:lang w:eastAsia="en-GB"/>
                <w14:ligatures w14:val="none"/>
              </w:rPr>
              <w:t>Globaler Durchschnittswert</w:t>
            </w:r>
          </w:p>
        </w:tc>
        <w:tc>
          <w:tcPr>
            <w:tcW w:w="988" w:type="dxa"/>
            <w:vMerge w:val="restart"/>
            <w:vAlign w:val="center"/>
            <w:hideMark/>
          </w:tcPr>
          <w:p w14:paraId="4F2264A7" w14:textId="77777777" w:rsidR="00AE7D23" w:rsidRPr="00BC5654" w:rsidRDefault="587657FF" w:rsidP="23C77BED">
            <w:pPr>
              <w:spacing w:after="0" w:line="240" w:lineRule="auto"/>
              <w:jc w:val="both"/>
              <w:rPr>
                <w:rFonts w:ascii="PP Telegraf" w:eastAsia="PP Telegraf" w:hAnsi="PP Telegraf" w:cs="PP Telegraf"/>
                <w:b/>
                <w:bCs/>
                <w:kern w:val="0"/>
                <w:sz w:val="12"/>
                <w:szCs w:val="12"/>
                <w:lang w:eastAsia="en-GB"/>
                <w14:ligatures w14:val="none"/>
              </w:rPr>
            </w:pPr>
            <w:r w:rsidRPr="00BC5654">
              <w:rPr>
                <w:rFonts w:ascii="PP Telegraf" w:eastAsia="PP Telegraf" w:hAnsi="PP Telegraf" w:cs="PP Telegraf"/>
                <w:b/>
                <w:bCs/>
                <w:kern w:val="0"/>
                <w:sz w:val="12"/>
                <w:szCs w:val="12"/>
                <w:lang w:eastAsia="en-GB"/>
                <w14:ligatures w14:val="none"/>
              </w:rPr>
              <w:t>Inländischer Durchschnittswert</w:t>
            </w:r>
          </w:p>
        </w:tc>
        <w:tc>
          <w:tcPr>
            <w:tcW w:w="3894" w:type="dxa"/>
            <w:gridSpan w:val="3"/>
            <w:shd w:val="clear" w:color="auto" w:fill="F2F2F2" w:themeFill="background1" w:themeFillShade="F2"/>
            <w:noWrap/>
            <w:vAlign w:val="bottom"/>
            <w:hideMark/>
          </w:tcPr>
          <w:p w14:paraId="757C2AEA" w14:textId="77777777" w:rsidR="00AE7D23" w:rsidRPr="00BC5654" w:rsidRDefault="587657FF" w:rsidP="23C77BED">
            <w:pPr>
              <w:spacing w:after="0" w:line="240" w:lineRule="auto"/>
              <w:jc w:val="both"/>
              <w:rPr>
                <w:rFonts w:ascii="PP Telegraf" w:eastAsia="PP Telegraf" w:hAnsi="PP Telegraf" w:cs="PP Telegraf"/>
                <w:b/>
                <w:bCs/>
                <w:kern w:val="0"/>
                <w:sz w:val="12"/>
                <w:szCs w:val="12"/>
                <w:lang w:eastAsia="en-GB"/>
                <w14:ligatures w14:val="none"/>
              </w:rPr>
            </w:pPr>
            <w:r w:rsidRPr="00BC5654">
              <w:rPr>
                <w:rFonts w:ascii="PP Telegraf" w:eastAsia="PP Telegraf" w:hAnsi="PP Telegraf" w:cs="PP Telegraf"/>
                <w:b/>
                <w:bCs/>
                <w:kern w:val="0"/>
                <w:sz w:val="12"/>
                <w:szCs w:val="12"/>
                <w:lang w:eastAsia="en-GB"/>
                <w14:ligatures w14:val="none"/>
              </w:rPr>
              <w:t>Top-Universität</w:t>
            </w:r>
          </w:p>
        </w:tc>
      </w:tr>
      <w:tr w:rsidR="00AE7D23" w:rsidRPr="002670BF" w14:paraId="0B3DEAC8" w14:textId="77777777" w:rsidTr="00DA0B5A">
        <w:trPr>
          <w:trHeight w:val="300"/>
          <w:jc w:val="center"/>
        </w:trPr>
        <w:tc>
          <w:tcPr>
            <w:tcW w:w="2263" w:type="dxa"/>
            <w:vMerge/>
            <w:vAlign w:val="center"/>
            <w:hideMark/>
          </w:tcPr>
          <w:p w14:paraId="5AE6CF16" w14:textId="77777777" w:rsidR="00AE7D23" w:rsidRPr="00BC5654" w:rsidRDefault="00AE7D23" w:rsidP="00AE7D23">
            <w:pPr>
              <w:spacing w:after="0" w:line="240" w:lineRule="auto"/>
              <w:rPr>
                <w:rFonts w:ascii="PP Telegraf" w:eastAsia="Times New Roman" w:hAnsi="PP Telegraf" w:cs="Calibri"/>
                <w:b/>
                <w:bCs/>
                <w:kern w:val="0"/>
                <w:sz w:val="12"/>
                <w:szCs w:val="12"/>
                <w:lang w:eastAsia="en-GB"/>
                <w14:ligatures w14:val="none"/>
              </w:rPr>
            </w:pPr>
          </w:p>
        </w:tc>
        <w:tc>
          <w:tcPr>
            <w:tcW w:w="567" w:type="dxa"/>
            <w:vMerge/>
            <w:vAlign w:val="center"/>
            <w:hideMark/>
          </w:tcPr>
          <w:p w14:paraId="63A377ED" w14:textId="77777777" w:rsidR="00AE7D23" w:rsidRPr="00BC5654" w:rsidRDefault="00AE7D23" w:rsidP="00AE7D23">
            <w:pPr>
              <w:spacing w:after="0" w:line="240" w:lineRule="auto"/>
              <w:rPr>
                <w:rFonts w:ascii="PP Telegraf" w:eastAsia="Times New Roman" w:hAnsi="PP Telegraf" w:cs="Calibri"/>
                <w:b/>
                <w:bCs/>
                <w:color w:val="00B050"/>
                <w:kern w:val="0"/>
                <w:sz w:val="12"/>
                <w:szCs w:val="12"/>
                <w:lang w:eastAsia="en-GB"/>
                <w14:ligatures w14:val="none"/>
              </w:rPr>
            </w:pPr>
          </w:p>
        </w:tc>
        <w:tc>
          <w:tcPr>
            <w:tcW w:w="709" w:type="dxa"/>
            <w:vMerge/>
            <w:vAlign w:val="center"/>
            <w:hideMark/>
          </w:tcPr>
          <w:p w14:paraId="113C9F62" w14:textId="77777777" w:rsidR="00AE7D23" w:rsidRPr="00BC5654" w:rsidRDefault="00AE7D23" w:rsidP="00AE7D23">
            <w:pPr>
              <w:spacing w:after="0" w:line="240" w:lineRule="auto"/>
              <w:rPr>
                <w:rFonts w:ascii="PP Telegraf" w:eastAsia="Times New Roman" w:hAnsi="PP Telegraf" w:cs="Calibri"/>
                <w:b/>
                <w:bCs/>
                <w:color w:val="FFC000"/>
                <w:kern w:val="0"/>
                <w:sz w:val="12"/>
                <w:szCs w:val="12"/>
                <w:lang w:eastAsia="en-GB"/>
                <w14:ligatures w14:val="none"/>
              </w:rPr>
            </w:pPr>
          </w:p>
        </w:tc>
        <w:tc>
          <w:tcPr>
            <w:tcW w:w="709" w:type="dxa"/>
            <w:vMerge/>
            <w:vAlign w:val="center"/>
            <w:hideMark/>
          </w:tcPr>
          <w:p w14:paraId="5DBB35BC" w14:textId="77777777" w:rsidR="00AE7D23" w:rsidRPr="00BC5654" w:rsidRDefault="00AE7D23" w:rsidP="00AE7D23">
            <w:pPr>
              <w:spacing w:after="0" w:line="240" w:lineRule="auto"/>
              <w:rPr>
                <w:rFonts w:ascii="PP Telegraf" w:eastAsia="Times New Roman" w:hAnsi="PP Telegraf" w:cs="Calibri"/>
                <w:b/>
                <w:bCs/>
                <w:color w:val="C00000"/>
                <w:kern w:val="0"/>
                <w:sz w:val="12"/>
                <w:szCs w:val="12"/>
                <w:lang w:eastAsia="en-GB"/>
                <w14:ligatures w14:val="none"/>
              </w:rPr>
            </w:pPr>
          </w:p>
        </w:tc>
        <w:tc>
          <w:tcPr>
            <w:tcW w:w="996" w:type="dxa"/>
            <w:vMerge/>
            <w:vAlign w:val="center"/>
            <w:hideMark/>
          </w:tcPr>
          <w:p w14:paraId="720963E8" w14:textId="77777777" w:rsidR="00AE7D23" w:rsidRPr="00BC5654" w:rsidRDefault="00AE7D23" w:rsidP="00AE7D23">
            <w:pPr>
              <w:spacing w:after="0" w:line="240" w:lineRule="auto"/>
              <w:rPr>
                <w:rFonts w:ascii="PP Telegraf" w:eastAsia="Times New Roman" w:hAnsi="PP Telegraf" w:cs="Calibri"/>
                <w:b/>
                <w:bCs/>
                <w:kern w:val="0"/>
                <w:sz w:val="12"/>
                <w:szCs w:val="12"/>
                <w:lang w:eastAsia="en-GB"/>
                <w14:ligatures w14:val="none"/>
              </w:rPr>
            </w:pPr>
          </w:p>
        </w:tc>
        <w:tc>
          <w:tcPr>
            <w:tcW w:w="988" w:type="dxa"/>
            <w:vMerge/>
            <w:vAlign w:val="center"/>
            <w:hideMark/>
          </w:tcPr>
          <w:p w14:paraId="6D4AA9B9" w14:textId="77777777" w:rsidR="00AE7D23" w:rsidRPr="00BC5654" w:rsidRDefault="00AE7D23" w:rsidP="00AE7D23">
            <w:pPr>
              <w:spacing w:after="0" w:line="240" w:lineRule="auto"/>
              <w:rPr>
                <w:rFonts w:ascii="PP Telegraf" w:eastAsia="Times New Roman" w:hAnsi="PP Telegraf" w:cs="Calibri"/>
                <w:b/>
                <w:bCs/>
                <w:kern w:val="0"/>
                <w:sz w:val="12"/>
                <w:szCs w:val="12"/>
                <w:lang w:eastAsia="en-GB"/>
                <w14:ligatures w14:val="none"/>
              </w:rPr>
            </w:pPr>
          </w:p>
        </w:tc>
        <w:tc>
          <w:tcPr>
            <w:tcW w:w="1985" w:type="dxa"/>
            <w:shd w:val="clear" w:color="auto" w:fill="F2F2F2" w:themeFill="background1" w:themeFillShade="F2"/>
            <w:vAlign w:val="center"/>
            <w:hideMark/>
          </w:tcPr>
          <w:p w14:paraId="645E1484" w14:textId="77777777" w:rsidR="00AE7D23" w:rsidRPr="00BC5654" w:rsidRDefault="587657FF" w:rsidP="23C77BED">
            <w:pPr>
              <w:spacing w:after="0" w:line="240" w:lineRule="auto"/>
              <w:jc w:val="both"/>
              <w:rPr>
                <w:rFonts w:ascii="PP Telegraf" w:eastAsia="PP Telegraf" w:hAnsi="PP Telegraf" w:cs="PP Telegraf"/>
                <w:b/>
                <w:bCs/>
                <w:kern w:val="0"/>
                <w:sz w:val="12"/>
                <w:szCs w:val="12"/>
                <w:lang w:eastAsia="en-GB"/>
                <w14:ligatures w14:val="none"/>
              </w:rPr>
            </w:pPr>
            <w:r w:rsidRPr="00BC5654">
              <w:rPr>
                <w:rFonts w:ascii="PP Telegraf" w:eastAsia="PP Telegraf" w:hAnsi="PP Telegraf" w:cs="PP Telegraf"/>
                <w:b/>
                <w:bCs/>
                <w:kern w:val="0"/>
                <w:sz w:val="12"/>
                <w:szCs w:val="12"/>
                <w:lang w:eastAsia="en-GB"/>
                <w14:ligatures w14:val="none"/>
              </w:rPr>
              <w:t>Name</w:t>
            </w:r>
          </w:p>
        </w:tc>
        <w:tc>
          <w:tcPr>
            <w:tcW w:w="1020" w:type="dxa"/>
            <w:shd w:val="clear" w:color="auto" w:fill="F2F2F2" w:themeFill="background1" w:themeFillShade="F2"/>
            <w:vAlign w:val="center"/>
            <w:hideMark/>
          </w:tcPr>
          <w:p w14:paraId="084604F7" w14:textId="741594FB" w:rsidR="00AE7D23" w:rsidRPr="00BC5654" w:rsidRDefault="3AB410B7" w:rsidP="23C77BED">
            <w:pPr>
              <w:spacing w:after="0" w:line="240" w:lineRule="auto"/>
              <w:jc w:val="both"/>
              <w:rPr>
                <w:rFonts w:ascii="PP Telegraf" w:eastAsia="PP Telegraf" w:hAnsi="PP Telegraf" w:cs="PP Telegraf"/>
                <w:b/>
                <w:bCs/>
                <w:kern w:val="0"/>
                <w:sz w:val="12"/>
                <w:szCs w:val="12"/>
                <w:lang w:eastAsia="en-GB"/>
                <w14:ligatures w14:val="none"/>
              </w:rPr>
            </w:pPr>
            <w:r w:rsidRPr="00BC5654">
              <w:rPr>
                <w:rFonts w:ascii="PP Telegraf" w:eastAsia="PP Telegraf" w:hAnsi="PP Telegraf" w:cs="PP Telegraf"/>
                <w:b/>
                <w:bCs/>
                <w:kern w:val="0"/>
                <w:sz w:val="12"/>
                <w:szCs w:val="12"/>
                <w:lang w:eastAsia="en-GB"/>
                <w14:ligatures w14:val="none"/>
              </w:rPr>
              <w:t>Indikator</w:t>
            </w:r>
            <w:r w:rsidR="1DA54E9A" w:rsidRPr="00BC5654">
              <w:rPr>
                <w:rFonts w:ascii="PP Telegraf" w:eastAsia="PP Telegraf" w:hAnsi="PP Telegraf" w:cs="PP Telegraf"/>
                <w:b/>
                <w:bCs/>
                <w:kern w:val="0"/>
                <w:sz w:val="12"/>
                <w:szCs w:val="12"/>
                <w:lang w:eastAsia="en-GB"/>
                <w14:ligatures w14:val="none"/>
              </w:rPr>
              <w:t>-Rang</w:t>
            </w:r>
          </w:p>
        </w:tc>
        <w:tc>
          <w:tcPr>
            <w:tcW w:w="889" w:type="dxa"/>
            <w:shd w:val="clear" w:color="auto" w:fill="F2F2F2" w:themeFill="background1" w:themeFillShade="F2"/>
            <w:vAlign w:val="center"/>
            <w:hideMark/>
          </w:tcPr>
          <w:p w14:paraId="0139389F" w14:textId="77777777" w:rsidR="00AE7D23" w:rsidRPr="00BC5654" w:rsidRDefault="587657FF" w:rsidP="23C77BED">
            <w:pPr>
              <w:spacing w:after="0" w:line="240" w:lineRule="auto"/>
              <w:jc w:val="both"/>
              <w:rPr>
                <w:rFonts w:ascii="PP Telegraf" w:eastAsia="PP Telegraf" w:hAnsi="PP Telegraf" w:cs="PP Telegraf"/>
                <w:b/>
                <w:bCs/>
                <w:kern w:val="0"/>
                <w:sz w:val="12"/>
                <w:szCs w:val="12"/>
                <w:lang w:eastAsia="en-GB"/>
                <w14:ligatures w14:val="none"/>
              </w:rPr>
            </w:pPr>
            <w:r w:rsidRPr="00BC5654">
              <w:rPr>
                <w:rFonts w:ascii="PP Telegraf" w:eastAsia="PP Telegraf" w:hAnsi="PP Telegraf" w:cs="PP Telegraf"/>
                <w:b/>
                <w:bCs/>
                <w:kern w:val="0"/>
                <w:sz w:val="12"/>
                <w:szCs w:val="12"/>
                <w:lang w:eastAsia="en-GB"/>
                <w14:ligatures w14:val="none"/>
              </w:rPr>
              <w:t>Gesamtrang</w:t>
            </w:r>
          </w:p>
        </w:tc>
      </w:tr>
      <w:tr w:rsidR="00AE7D23" w:rsidRPr="002670BF" w14:paraId="6AB7BDBD" w14:textId="77777777" w:rsidTr="00DA0B5A">
        <w:trPr>
          <w:trHeight w:val="300"/>
          <w:jc w:val="center"/>
        </w:trPr>
        <w:tc>
          <w:tcPr>
            <w:tcW w:w="2263" w:type="dxa"/>
            <w:noWrap/>
            <w:vAlign w:val="bottom"/>
            <w:hideMark/>
          </w:tcPr>
          <w:p w14:paraId="6164A4EA"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Akademischer Ruf</w:t>
            </w:r>
          </w:p>
        </w:tc>
        <w:tc>
          <w:tcPr>
            <w:tcW w:w="567" w:type="dxa"/>
            <w:noWrap/>
            <w:vAlign w:val="bottom"/>
            <w:hideMark/>
          </w:tcPr>
          <w:p w14:paraId="6D179B6E"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70 %</w:t>
            </w:r>
          </w:p>
        </w:tc>
        <w:tc>
          <w:tcPr>
            <w:tcW w:w="709" w:type="dxa"/>
            <w:noWrap/>
            <w:vAlign w:val="bottom"/>
            <w:hideMark/>
          </w:tcPr>
          <w:p w14:paraId="3DB2BB34"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30 %</w:t>
            </w:r>
          </w:p>
        </w:tc>
        <w:tc>
          <w:tcPr>
            <w:tcW w:w="709" w:type="dxa"/>
            <w:noWrap/>
            <w:vAlign w:val="bottom"/>
            <w:hideMark/>
          </w:tcPr>
          <w:p w14:paraId="0CC497A1"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0</w:t>
            </w:r>
          </w:p>
        </w:tc>
        <w:tc>
          <w:tcPr>
            <w:tcW w:w="996" w:type="dxa"/>
            <w:noWrap/>
            <w:vAlign w:val="bottom"/>
            <w:hideMark/>
          </w:tcPr>
          <w:p w14:paraId="6CF9B7E1"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25,7</w:t>
            </w:r>
          </w:p>
        </w:tc>
        <w:tc>
          <w:tcPr>
            <w:tcW w:w="988" w:type="dxa"/>
            <w:noWrap/>
            <w:vAlign w:val="bottom"/>
            <w:hideMark/>
          </w:tcPr>
          <w:p w14:paraId="43101C03"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43,4</w:t>
            </w:r>
          </w:p>
        </w:tc>
        <w:tc>
          <w:tcPr>
            <w:tcW w:w="1985" w:type="dxa"/>
            <w:shd w:val="clear" w:color="auto" w:fill="F2F2F2" w:themeFill="background1" w:themeFillShade="F2"/>
            <w:noWrap/>
            <w:vAlign w:val="bottom"/>
            <w:hideMark/>
          </w:tcPr>
          <w:p w14:paraId="5C0F80DF"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ETH Zürich</w:t>
            </w:r>
          </w:p>
        </w:tc>
        <w:tc>
          <w:tcPr>
            <w:tcW w:w="1020" w:type="dxa"/>
            <w:shd w:val="clear" w:color="auto" w:fill="F2F2F2" w:themeFill="background1" w:themeFillShade="F2"/>
            <w:noWrap/>
            <w:vAlign w:val="bottom"/>
            <w:hideMark/>
          </w:tcPr>
          <w:p w14:paraId="59CFC66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17</w:t>
            </w:r>
          </w:p>
        </w:tc>
        <w:tc>
          <w:tcPr>
            <w:tcW w:w="889" w:type="dxa"/>
            <w:shd w:val="clear" w:color="auto" w:fill="F2F2F2" w:themeFill="background1" w:themeFillShade="F2"/>
            <w:noWrap/>
            <w:vAlign w:val="bottom"/>
            <w:hideMark/>
          </w:tcPr>
          <w:p w14:paraId="12FC0E28"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r>
      <w:tr w:rsidR="00AE7D23" w:rsidRPr="002670BF" w14:paraId="4999578E" w14:textId="77777777" w:rsidTr="00DA0B5A">
        <w:trPr>
          <w:trHeight w:val="300"/>
          <w:jc w:val="center"/>
        </w:trPr>
        <w:tc>
          <w:tcPr>
            <w:tcW w:w="2263" w:type="dxa"/>
            <w:noWrap/>
            <w:vAlign w:val="bottom"/>
            <w:hideMark/>
          </w:tcPr>
          <w:p w14:paraId="25F6F81E"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Arbeitgeberruf</w:t>
            </w:r>
          </w:p>
        </w:tc>
        <w:tc>
          <w:tcPr>
            <w:tcW w:w="567" w:type="dxa"/>
            <w:noWrap/>
            <w:vAlign w:val="bottom"/>
            <w:hideMark/>
          </w:tcPr>
          <w:p w14:paraId="0E99656D"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20 %</w:t>
            </w:r>
          </w:p>
        </w:tc>
        <w:tc>
          <w:tcPr>
            <w:tcW w:w="709" w:type="dxa"/>
            <w:noWrap/>
            <w:vAlign w:val="bottom"/>
            <w:hideMark/>
          </w:tcPr>
          <w:p w14:paraId="2DD4C7DD"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30 %</w:t>
            </w:r>
          </w:p>
        </w:tc>
        <w:tc>
          <w:tcPr>
            <w:tcW w:w="709" w:type="dxa"/>
            <w:noWrap/>
            <w:vAlign w:val="bottom"/>
            <w:hideMark/>
          </w:tcPr>
          <w:p w14:paraId="570424C7"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50 %</w:t>
            </w:r>
          </w:p>
        </w:tc>
        <w:tc>
          <w:tcPr>
            <w:tcW w:w="996" w:type="dxa"/>
            <w:noWrap/>
            <w:vAlign w:val="bottom"/>
            <w:hideMark/>
          </w:tcPr>
          <w:p w14:paraId="5503C8A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27</w:t>
            </w:r>
          </w:p>
        </w:tc>
        <w:tc>
          <w:tcPr>
            <w:tcW w:w="988" w:type="dxa"/>
            <w:noWrap/>
            <w:vAlign w:val="bottom"/>
            <w:hideMark/>
          </w:tcPr>
          <w:p w14:paraId="0D365B49"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33</w:t>
            </w:r>
          </w:p>
        </w:tc>
        <w:tc>
          <w:tcPr>
            <w:tcW w:w="1985" w:type="dxa"/>
            <w:shd w:val="clear" w:color="auto" w:fill="F2F2F2" w:themeFill="background1" w:themeFillShade="F2"/>
            <w:noWrap/>
            <w:vAlign w:val="bottom"/>
            <w:hideMark/>
          </w:tcPr>
          <w:p w14:paraId="7958A91A"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ETH Zürich</w:t>
            </w:r>
          </w:p>
        </w:tc>
        <w:tc>
          <w:tcPr>
            <w:tcW w:w="1020" w:type="dxa"/>
            <w:shd w:val="clear" w:color="auto" w:fill="F2F2F2" w:themeFill="background1" w:themeFillShade="F2"/>
            <w:noWrap/>
            <w:vAlign w:val="bottom"/>
            <w:hideMark/>
          </w:tcPr>
          <w:p w14:paraId="595C4361"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33</w:t>
            </w:r>
          </w:p>
        </w:tc>
        <w:tc>
          <w:tcPr>
            <w:tcW w:w="889" w:type="dxa"/>
            <w:shd w:val="clear" w:color="auto" w:fill="F2F2F2" w:themeFill="background1" w:themeFillShade="F2"/>
            <w:noWrap/>
            <w:vAlign w:val="bottom"/>
            <w:hideMark/>
          </w:tcPr>
          <w:p w14:paraId="4391C0A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r>
      <w:tr w:rsidR="00AE7D23" w:rsidRPr="002670BF" w14:paraId="39DFA851" w14:textId="77777777" w:rsidTr="00DA0B5A">
        <w:trPr>
          <w:trHeight w:val="300"/>
          <w:jc w:val="center"/>
        </w:trPr>
        <w:tc>
          <w:tcPr>
            <w:tcW w:w="2263" w:type="dxa"/>
            <w:noWrap/>
            <w:vAlign w:val="bottom"/>
            <w:hideMark/>
          </w:tcPr>
          <w:p w14:paraId="1AC0D0F5" w14:textId="77777777" w:rsidR="00AE7D23" w:rsidRPr="00CA2A20" w:rsidRDefault="587657FF" w:rsidP="23C77BED">
            <w:pPr>
              <w:spacing w:after="0" w:line="240" w:lineRule="auto"/>
              <w:jc w:val="both"/>
              <w:rPr>
                <w:rFonts w:ascii="PP Telegraf" w:eastAsia="PP Telegraf" w:hAnsi="PP Telegraf" w:cs="PP Telegraf"/>
                <w:kern w:val="0"/>
                <w:sz w:val="16"/>
                <w:szCs w:val="16"/>
                <w:lang w:val="de-DE" w:eastAsia="en-GB"/>
                <w14:ligatures w14:val="none"/>
              </w:rPr>
            </w:pPr>
            <w:r w:rsidRPr="00CA2A20">
              <w:rPr>
                <w:rFonts w:ascii="PP Telegraf" w:eastAsia="PP Telegraf" w:hAnsi="PP Telegraf" w:cs="PP Telegraf"/>
                <w:kern w:val="0"/>
                <w:sz w:val="16"/>
                <w:szCs w:val="16"/>
                <w:lang w:val="de-DE" w:eastAsia="en-GB"/>
                <w14:ligatures w14:val="none"/>
              </w:rPr>
              <w:t>Verhältnis von Lehrkräften zu Studierenden</w:t>
            </w:r>
          </w:p>
        </w:tc>
        <w:tc>
          <w:tcPr>
            <w:tcW w:w="567" w:type="dxa"/>
            <w:noWrap/>
            <w:vAlign w:val="bottom"/>
            <w:hideMark/>
          </w:tcPr>
          <w:p w14:paraId="721D0FD5"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30 %</w:t>
            </w:r>
          </w:p>
        </w:tc>
        <w:tc>
          <w:tcPr>
            <w:tcW w:w="709" w:type="dxa"/>
            <w:noWrap/>
            <w:vAlign w:val="bottom"/>
            <w:hideMark/>
          </w:tcPr>
          <w:p w14:paraId="5FF54D7F"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10 %</w:t>
            </w:r>
          </w:p>
        </w:tc>
        <w:tc>
          <w:tcPr>
            <w:tcW w:w="709" w:type="dxa"/>
            <w:noWrap/>
            <w:vAlign w:val="bottom"/>
            <w:hideMark/>
          </w:tcPr>
          <w:p w14:paraId="60AAE95C"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60 %</w:t>
            </w:r>
          </w:p>
        </w:tc>
        <w:tc>
          <w:tcPr>
            <w:tcW w:w="996" w:type="dxa"/>
            <w:noWrap/>
            <w:vAlign w:val="bottom"/>
            <w:hideMark/>
          </w:tcPr>
          <w:p w14:paraId="17C761AA"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33,3</w:t>
            </w:r>
          </w:p>
        </w:tc>
        <w:tc>
          <w:tcPr>
            <w:tcW w:w="988" w:type="dxa"/>
            <w:noWrap/>
            <w:vAlign w:val="bottom"/>
            <w:hideMark/>
          </w:tcPr>
          <w:p w14:paraId="56FA782B"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57,2</w:t>
            </w:r>
          </w:p>
        </w:tc>
        <w:tc>
          <w:tcPr>
            <w:tcW w:w="1985" w:type="dxa"/>
            <w:shd w:val="clear" w:color="auto" w:fill="F2F2F2" w:themeFill="background1" w:themeFillShade="F2"/>
            <w:noWrap/>
            <w:vAlign w:val="bottom"/>
            <w:hideMark/>
          </w:tcPr>
          <w:p w14:paraId="61E0F96A"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Universität Zürich</w:t>
            </w:r>
          </w:p>
        </w:tc>
        <w:tc>
          <w:tcPr>
            <w:tcW w:w="1020" w:type="dxa"/>
            <w:shd w:val="clear" w:color="auto" w:fill="F2F2F2" w:themeFill="background1" w:themeFillShade="F2"/>
            <w:noWrap/>
            <w:vAlign w:val="bottom"/>
            <w:hideMark/>
          </w:tcPr>
          <w:p w14:paraId="0ECD31A6"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67</w:t>
            </w:r>
          </w:p>
        </w:tc>
        <w:tc>
          <w:tcPr>
            <w:tcW w:w="889" w:type="dxa"/>
            <w:shd w:val="clear" w:color="auto" w:fill="F2F2F2" w:themeFill="background1" w:themeFillShade="F2"/>
            <w:noWrap/>
            <w:vAlign w:val="bottom"/>
            <w:hideMark/>
          </w:tcPr>
          <w:p w14:paraId="70F6747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98</w:t>
            </w:r>
          </w:p>
        </w:tc>
      </w:tr>
      <w:tr w:rsidR="00AE7D23" w:rsidRPr="002670BF" w14:paraId="3BD82EE1" w14:textId="77777777" w:rsidTr="00DA0B5A">
        <w:trPr>
          <w:trHeight w:val="300"/>
          <w:jc w:val="center"/>
        </w:trPr>
        <w:tc>
          <w:tcPr>
            <w:tcW w:w="2263" w:type="dxa"/>
            <w:noWrap/>
            <w:vAlign w:val="bottom"/>
            <w:hideMark/>
          </w:tcPr>
          <w:p w14:paraId="5448FB39"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Zitate pro Fakultät</w:t>
            </w:r>
          </w:p>
        </w:tc>
        <w:tc>
          <w:tcPr>
            <w:tcW w:w="567" w:type="dxa"/>
            <w:noWrap/>
            <w:vAlign w:val="bottom"/>
            <w:hideMark/>
          </w:tcPr>
          <w:p w14:paraId="0EDAA4B5"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20 %</w:t>
            </w:r>
          </w:p>
        </w:tc>
        <w:tc>
          <w:tcPr>
            <w:tcW w:w="709" w:type="dxa"/>
            <w:noWrap/>
            <w:vAlign w:val="bottom"/>
            <w:hideMark/>
          </w:tcPr>
          <w:p w14:paraId="74ED75EA"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10 %</w:t>
            </w:r>
          </w:p>
        </w:tc>
        <w:tc>
          <w:tcPr>
            <w:tcW w:w="709" w:type="dxa"/>
            <w:noWrap/>
            <w:vAlign w:val="bottom"/>
            <w:hideMark/>
          </w:tcPr>
          <w:p w14:paraId="54D17AC2"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70 %</w:t>
            </w:r>
          </w:p>
        </w:tc>
        <w:tc>
          <w:tcPr>
            <w:tcW w:w="996" w:type="dxa"/>
            <w:noWrap/>
            <w:vAlign w:val="bottom"/>
            <w:hideMark/>
          </w:tcPr>
          <w:p w14:paraId="035F3BE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30,9</w:t>
            </w:r>
          </w:p>
        </w:tc>
        <w:tc>
          <w:tcPr>
            <w:tcW w:w="988" w:type="dxa"/>
            <w:noWrap/>
            <w:vAlign w:val="bottom"/>
            <w:hideMark/>
          </w:tcPr>
          <w:p w14:paraId="778A7F3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58,8</w:t>
            </w:r>
          </w:p>
        </w:tc>
        <w:tc>
          <w:tcPr>
            <w:tcW w:w="1985" w:type="dxa"/>
            <w:shd w:val="clear" w:color="auto" w:fill="F2F2F2" w:themeFill="background1" w:themeFillShade="F2"/>
            <w:noWrap/>
            <w:vAlign w:val="bottom"/>
            <w:hideMark/>
          </w:tcPr>
          <w:p w14:paraId="17400AF9"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Universität Bern</w:t>
            </w:r>
          </w:p>
        </w:tc>
        <w:tc>
          <w:tcPr>
            <w:tcW w:w="1020" w:type="dxa"/>
            <w:shd w:val="clear" w:color="auto" w:fill="F2F2F2" w:themeFill="background1" w:themeFillShade="F2"/>
            <w:noWrap/>
            <w:vAlign w:val="bottom"/>
            <w:hideMark/>
          </w:tcPr>
          <w:p w14:paraId="0EF1B4C6"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28</w:t>
            </w:r>
          </w:p>
        </w:tc>
        <w:tc>
          <w:tcPr>
            <w:tcW w:w="889" w:type="dxa"/>
            <w:shd w:val="clear" w:color="auto" w:fill="F2F2F2" w:themeFill="background1" w:themeFillShade="F2"/>
            <w:noWrap/>
            <w:vAlign w:val="bottom"/>
            <w:hideMark/>
          </w:tcPr>
          <w:p w14:paraId="69B0B9E3"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191</w:t>
            </w:r>
          </w:p>
        </w:tc>
      </w:tr>
      <w:tr w:rsidR="00AE7D23" w:rsidRPr="002670BF" w14:paraId="5FC5F603" w14:textId="77777777" w:rsidTr="00DA0B5A">
        <w:trPr>
          <w:trHeight w:val="300"/>
          <w:jc w:val="center"/>
        </w:trPr>
        <w:tc>
          <w:tcPr>
            <w:tcW w:w="2263" w:type="dxa"/>
            <w:noWrap/>
            <w:vAlign w:val="bottom"/>
            <w:hideMark/>
          </w:tcPr>
          <w:p w14:paraId="6F8B396A"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Anteil internationaler Lehrkräfte</w:t>
            </w:r>
          </w:p>
        </w:tc>
        <w:tc>
          <w:tcPr>
            <w:tcW w:w="567" w:type="dxa"/>
            <w:noWrap/>
            <w:vAlign w:val="bottom"/>
            <w:hideMark/>
          </w:tcPr>
          <w:p w14:paraId="4B2682E1"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0 %</w:t>
            </w:r>
          </w:p>
        </w:tc>
        <w:tc>
          <w:tcPr>
            <w:tcW w:w="709" w:type="dxa"/>
            <w:noWrap/>
            <w:vAlign w:val="bottom"/>
            <w:hideMark/>
          </w:tcPr>
          <w:p w14:paraId="1F77D6D2"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0 %</w:t>
            </w:r>
          </w:p>
        </w:tc>
        <w:tc>
          <w:tcPr>
            <w:tcW w:w="709" w:type="dxa"/>
            <w:noWrap/>
            <w:vAlign w:val="bottom"/>
            <w:hideMark/>
          </w:tcPr>
          <w:p w14:paraId="5378EB0A"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100 %</w:t>
            </w:r>
          </w:p>
        </w:tc>
        <w:tc>
          <w:tcPr>
            <w:tcW w:w="996" w:type="dxa"/>
            <w:noWrap/>
            <w:vAlign w:val="bottom"/>
            <w:hideMark/>
          </w:tcPr>
          <w:p w14:paraId="60DDB3AD"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36,9</w:t>
            </w:r>
          </w:p>
        </w:tc>
        <w:tc>
          <w:tcPr>
            <w:tcW w:w="988" w:type="dxa"/>
            <w:noWrap/>
            <w:vAlign w:val="bottom"/>
            <w:hideMark/>
          </w:tcPr>
          <w:p w14:paraId="3442D3E8"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97,1</w:t>
            </w:r>
          </w:p>
        </w:tc>
        <w:tc>
          <w:tcPr>
            <w:tcW w:w="1985" w:type="dxa"/>
            <w:shd w:val="clear" w:color="auto" w:fill="F2F2F2" w:themeFill="background1" w:themeFillShade="F2"/>
            <w:noWrap/>
            <w:vAlign w:val="bottom"/>
            <w:hideMark/>
          </w:tcPr>
          <w:p w14:paraId="02C83FE1" w14:textId="77777777" w:rsidR="00AE7D23" w:rsidRPr="002670BF" w:rsidRDefault="587657FF" w:rsidP="23C77BED">
            <w:pPr>
              <w:spacing w:after="0" w:line="240" w:lineRule="auto"/>
              <w:jc w:val="both"/>
              <w:rPr>
                <w:rFonts w:ascii="PP Telegraf" w:eastAsia="PP Telegraf" w:hAnsi="PP Telegraf" w:cs="PP Telegraf"/>
                <w:kern w:val="0"/>
                <w:sz w:val="16"/>
                <w:szCs w:val="16"/>
                <w:lang w:val="fr-FR" w:eastAsia="en-GB"/>
                <w14:ligatures w14:val="none"/>
              </w:rPr>
            </w:pPr>
            <w:r w:rsidRPr="23C77BED">
              <w:rPr>
                <w:rFonts w:ascii="PP Telegraf" w:eastAsia="PP Telegraf" w:hAnsi="PP Telegraf" w:cs="PP Telegraf"/>
                <w:kern w:val="0"/>
                <w:sz w:val="16"/>
                <w:szCs w:val="16"/>
                <w:lang w:val="fr-FR" w:eastAsia="en-GB"/>
                <w14:ligatures w14:val="none"/>
              </w:rPr>
              <w:t xml:space="preserve">EPFL </w:t>
            </w:r>
          </w:p>
        </w:tc>
        <w:tc>
          <w:tcPr>
            <w:tcW w:w="1020" w:type="dxa"/>
            <w:shd w:val="clear" w:color="auto" w:fill="F2F2F2" w:themeFill="background1" w:themeFillShade="F2"/>
            <w:noWrap/>
            <w:vAlign w:val="bottom"/>
            <w:hideMark/>
          </w:tcPr>
          <w:p w14:paraId="574750F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28</w:t>
            </w:r>
          </w:p>
        </w:tc>
        <w:tc>
          <w:tcPr>
            <w:tcW w:w="889" w:type="dxa"/>
            <w:shd w:val="clear" w:color="auto" w:fill="F2F2F2" w:themeFill="background1" w:themeFillShade="F2"/>
            <w:noWrap/>
            <w:vAlign w:val="bottom"/>
            <w:hideMark/>
          </w:tcPr>
          <w:p w14:paraId="65FAC0DE"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22</w:t>
            </w:r>
          </w:p>
        </w:tc>
      </w:tr>
      <w:tr w:rsidR="00AE7D23" w:rsidRPr="002670BF" w14:paraId="5DBC32F7" w14:textId="77777777" w:rsidTr="00DA0B5A">
        <w:trPr>
          <w:trHeight w:val="300"/>
          <w:jc w:val="center"/>
        </w:trPr>
        <w:tc>
          <w:tcPr>
            <w:tcW w:w="2263" w:type="dxa"/>
            <w:noWrap/>
            <w:vAlign w:val="bottom"/>
            <w:hideMark/>
          </w:tcPr>
          <w:p w14:paraId="487BCA79"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Anteil internationaler Studierender</w:t>
            </w:r>
          </w:p>
        </w:tc>
        <w:tc>
          <w:tcPr>
            <w:tcW w:w="567" w:type="dxa"/>
            <w:noWrap/>
            <w:vAlign w:val="bottom"/>
            <w:hideMark/>
          </w:tcPr>
          <w:p w14:paraId="501367B0"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0 %</w:t>
            </w:r>
          </w:p>
        </w:tc>
        <w:tc>
          <w:tcPr>
            <w:tcW w:w="709" w:type="dxa"/>
            <w:noWrap/>
            <w:vAlign w:val="bottom"/>
            <w:hideMark/>
          </w:tcPr>
          <w:p w14:paraId="137D9BB7"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0 %</w:t>
            </w:r>
          </w:p>
        </w:tc>
        <w:tc>
          <w:tcPr>
            <w:tcW w:w="709" w:type="dxa"/>
            <w:noWrap/>
            <w:vAlign w:val="bottom"/>
            <w:hideMark/>
          </w:tcPr>
          <w:p w14:paraId="54CB679D"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100 %</w:t>
            </w:r>
          </w:p>
        </w:tc>
        <w:tc>
          <w:tcPr>
            <w:tcW w:w="996" w:type="dxa"/>
            <w:noWrap/>
            <w:vAlign w:val="bottom"/>
            <w:hideMark/>
          </w:tcPr>
          <w:p w14:paraId="1A52CB5A"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34,1</w:t>
            </w:r>
          </w:p>
        </w:tc>
        <w:tc>
          <w:tcPr>
            <w:tcW w:w="988" w:type="dxa"/>
            <w:noWrap/>
            <w:vAlign w:val="bottom"/>
            <w:hideMark/>
          </w:tcPr>
          <w:p w14:paraId="755002F3"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73</w:t>
            </w:r>
          </w:p>
        </w:tc>
        <w:tc>
          <w:tcPr>
            <w:tcW w:w="1985" w:type="dxa"/>
            <w:shd w:val="clear" w:color="auto" w:fill="F2F2F2" w:themeFill="background1" w:themeFillShade="F2"/>
            <w:noWrap/>
            <w:vAlign w:val="bottom"/>
            <w:hideMark/>
          </w:tcPr>
          <w:p w14:paraId="198E1A84" w14:textId="77777777" w:rsidR="00AE7D23" w:rsidRPr="002670BF" w:rsidRDefault="587657FF" w:rsidP="23C77BED">
            <w:pPr>
              <w:spacing w:after="0" w:line="240" w:lineRule="auto"/>
              <w:jc w:val="both"/>
              <w:rPr>
                <w:rFonts w:ascii="PP Telegraf" w:eastAsia="PP Telegraf" w:hAnsi="PP Telegraf" w:cs="PP Telegraf"/>
                <w:kern w:val="0"/>
                <w:sz w:val="16"/>
                <w:szCs w:val="16"/>
                <w:lang w:val="it-IT" w:eastAsia="en-GB"/>
                <w14:ligatures w14:val="none"/>
              </w:rPr>
            </w:pPr>
            <w:r w:rsidRPr="23C77BED">
              <w:rPr>
                <w:rFonts w:ascii="PP Telegraf" w:eastAsia="PP Telegraf" w:hAnsi="PP Telegraf" w:cs="PP Telegraf"/>
                <w:kern w:val="0"/>
                <w:sz w:val="16"/>
                <w:szCs w:val="16"/>
                <w:lang w:val="it-IT" w:eastAsia="en-GB"/>
                <w14:ligatures w14:val="none"/>
              </w:rPr>
              <w:t>USI – Università della Svizzera italiana</w:t>
            </w:r>
          </w:p>
        </w:tc>
        <w:tc>
          <w:tcPr>
            <w:tcW w:w="1020" w:type="dxa"/>
            <w:shd w:val="clear" w:color="auto" w:fill="F2F2F2" w:themeFill="background1" w:themeFillShade="F2"/>
            <w:noWrap/>
            <w:vAlign w:val="bottom"/>
            <w:hideMark/>
          </w:tcPr>
          <w:p w14:paraId="7B9C05B4"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16</w:t>
            </w:r>
          </w:p>
        </w:tc>
        <w:tc>
          <w:tcPr>
            <w:tcW w:w="889" w:type="dxa"/>
            <w:shd w:val="clear" w:color="auto" w:fill="F2F2F2" w:themeFill="background1" w:themeFillShade="F2"/>
            <w:noWrap/>
            <w:vAlign w:val="bottom"/>
            <w:hideMark/>
          </w:tcPr>
          <w:p w14:paraId="2B93BCBC"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456</w:t>
            </w:r>
          </w:p>
        </w:tc>
      </w:tr>
      <w:tr w:rsidR="00AE7D23" w:rsidRPr="002670BF" w14:paraId="0F44DAFD" w14:textId="77777777" w:rsidTr="00DA0B5A">
        <w:trPr>
          <w:trHeight w:val="300"/>
          <w:jc w:val="center"/>
        </w:trPr>
        <w:tc>
          <w:tcPr>
            <w:tcW w:w="2263" w:type="dxa"/>
            <w:noWrap/>
            <w:vAlign w:val="bottom"/>
            <w:hideMark/>
          </w:tcPr>
          <w:p w14:paraId="17FC1030"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Internationales Forschungsnetzwerk</w:t>
            </w:r>
          </w:p>
        </w:tc>
        <w:tc>
          <w:tcPr>
            <w:tcW w:w="567" w:type="dxa"/>
            <w:noWrap/>
            <w:vAlign w:val="bottom"/>
            <w:hideMark/>
          </w:tcPr>
          <w:p w14:paraId="3C05CED7"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20 %</w:t>
            </w:r>
          </w:p>
        </w:tc>
        <w:tc>
          <w:tcPr>
            <w:tcW w:w="709" w:type="dxa"/>
            <w:noWrap/>
            <w:vAlign w:val="bottom"/>
            <w:hideMark/>
          </w:tcPr>
          <w:p w14:paraId="45DCD9EF"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20 %</w:t>
            </w:r>
          </w:p>
        </w:tc>
        <w:tc>
          <w:tcPr>
            <w:tcW w:w="709" w:type="dxa"/>
            <w:noWrap/>
            <w:vAlign w:val="bottom"/>
            <w:hideMark/>
          </w:tcPr>
          <w:p w14:paraId="44A178C5"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60 %</w:t>
            </w:r>
          </w:p>
        </w:tc>
        <w:tc>
          <w:tcPr>
            <w:tcW w:w="996" w:type="dxa"/>
            <w:noWrap/>
            <w:vAlign w:val="bottom"/>
            <w:hideMark/>
          </w:tcPr>
          <w:p w14:paraId="01A2FA55"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56,2</w:t>
            </w:r>
          </w:p>
        </w:tc>
        <w:tc>
          <w:tcPr>
            <w:tcW w:w="988" w:type="dxa"/>
            <w:noWrap/>
            <w:vAlign w:val="bottom"/>
            <w:hideMark/>
          </w:tcPr>
          <w:p w14:paraId="646A3D68"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76,2</w:t>
            </w:r>
          </w:p>
        </w:tc>
        <w:tc>
          <w:tcPr>
            <w:tcW w:w="1985" w:type="dxa"/>
            <w:shd w:val="clear" w:color="auto" w:fill="F2F2F2" w:themeFill="background1" w:themeFillShade="F2"/>
            <w:noWrap/>
            <w:vAlign w:val="bottom"/>
            <w:hideMark/>
          </w:tcPr>
          <w:p w14:paraId="5AC2B744"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ETH Zürich</w:t>
            </w:r>
          </w:p>
        </w:tc>
        <w:tc>
          <w:tcPr>
            <w:tcW w:w="1020" w:type="dxa"/>
            <w:shd w:val="clear" w:color="auto" w:fill="F2F2F2" w:themeFill="background1" w:themeFillShade="F2"/>
            <w:noWrap/>
            <w:vAlign w:val="bottom"/>
            <w:hideMark/>
          </w:tcPr>
          <w:p w14:paraId="7AFD9400"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53</w:t>
            </w:r>
          </w:p>
        </w:tc>
        <w:tc>
          <w:tcPr>
            <w:tcW w:w="889" w:type="dxa"/>
            <w:shd w:val="clear" w:color="auto" w:fill="F2F2F2" w:themeFill="background1" w:themeFillShade="F2"/>
            <w:noWrap/>
            <w:vAlign w:val="bottom"/>
            <w:hideMark/>
          </w:tcPr>
          <w:p w14:paraId="6D23BE35"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r>
      <w:tr w:rsidR="00AE7D23" w:rsidRPr="002670BF" w14:paraId="61DA0253" w14:textId="77777777" w:rsidTr="00DA0B5A">
        <w:trPr>
          <w:trHeight w:val="300"/>
          <w:jc w:val="center"/>
        </w:trPr>
        <w:tc>
          <w:tcPr>
            <w:tcW w:w="2263" w:type="dxa"/>
            <w:noWrap/>
            <w:vAlign w:val="bottom"/>
            <w:hideMark/>
          </w:tcPr>
          <w:p w14:paraId="5F91C665"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Beschäftigungsergebnisse</w:t>
            </w:r>
          </w:p>
        </w:tc>
        <w:tc>
          <w:tcPr>
            <w:tcW w:w="567" w:type="dxa"/>
            <w:noWrap/>
            <w:vAlign w:val="bottom"/>
            <w:hideMark/>
          </w:tcPr>
          <w:p w14:paraId="7674EA27"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60 %</w:t>
            </w:r>
          </w:p>
        </w:tc>
        <w:tc>
          <w:tcPr>
            <w:tcW w:w="709" w:type="dxa"/>
            <w:noWrap/>
            <w:vAlign w:val="bottom"/>
            <w:hideMark/>
          </w:tcPr>
          <w:p w14:paraId="7E47D5B9"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20 %</w:t>
            </w:r>
          </w:p>
        </w:tc>
        <w:tc>
          <w:tcPr>
            <w:tcW w:w="709" w:type="dxa"/>
            <w:noWrap/>
            <w:vAlign w:val="bottom"/>
            <w:hideMark/>
          </w:tcPr>
          <w:p w14:paraId="24DF0847"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20 %</w:t>
            </w:r>
          </w:p>
        </w:tc>
        <w:tc>
          <w:tcPr>
            <w:tcW w:w="996" w:type="dxa"/>
            <w:noWrap/>
            <w:vAlign w:val="bottom"/>
            <w:hideMark/>
          </w:tcPr>
          <w:p w14:paraId="1B4D5F31"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31,2</w:t>
            </w:r>
          </w:p>
        </w:tc>
        <w:tc>
          <w:tcPr>
            <w:tcW w:w="988" w:type="dxa"/>
            <w:noWrap/>
            <w:vAlign w:val="bottom"/>
            <w:hideMark/>
          </w:tcPr>
          <w:p w14:paraId="024994A6"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52,6</w:t>
            </w:r>
          </w:p>
        </w:tc>
        <w:tc>
          <w:tcPr>
            <w:tcW w:w="1985" w:type="dxa"/>
            <w:shd w:val="clear" w:color="auto" w:fill="F2F2F2" w:themeFill="background1" w:themeFillShade="F2"/>
            <w:noWrap/>
            <w:vAlign w:val="bottom"/>
            <w:hideMark/>
          </w:tcPr>
          <w:p w14:paraId="5BD86079"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ETH Zürich</w:t>
            </w:r>
          </w:p>
        </w:tc>
        <w:tc>
          <w:tcPr>
            <w:tcW w:w="1020" w:type="dxa"/>
            <w:shd w:val="clear" w:color="auto" w:fill="F2F2F2" w:themeFill="background1" w:themeFillShade="F2"/>
            <w:noWrap/>
            <w:vAlign w:val="bottom"/>
            <w:hideMark/>
          </w:tcPr>
          <w:p w14:paraId="16F9D655"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66</w:t>
            </w:r>
          </w:p>
        </w:tc>
        <w:tc>
          <w:tcPr>
            <w:tcW w:w="889" w:type="dxa"/>
            <w:shd w:val="clear" w:color="auto" w:fill="F2F2F2" w:themeFill="background1" w:themeFillShade="F2"/>
            <w:noWrap/>
            <w:vAlign w:val="bottom"/>
            <w:hideMark/>
          </w:tcPr>
          <w:p w14:paraId="09A0333B"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r>
      <w:tr w:rsidR="00AE7D23" w:rsidRPr="002670BF" w14:paraId="55B75CFF" w14:textId="77777777" w:rsidTr="00DA0B5A">
        <w:trPr>
          <w:trHeight w:val="300"/>
          <w:jc w:val="center"/>
        </w:trPr>
        <w:tc>
          <w:tcPr>
            <w:tcW w:w="2263" w:type="dxa"/>
            <w:noWrap/>
            <w:vAlign w:val="bottom"/>
            <w:hideMark/>
          </w:tcPr>
          <w:p w14:paraId="03980438"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Nachhaltigkeit</w:t>
            </w:r>
          </w:p>
        </w:tc>
        <w:tc>
          <w:tcPr>
            <w:tcW w:w="567" w:type="dxa"/>
            <w:noWrap/>
            <w:vAlign w:val="bottom"/>
            <w:hideMark/>
          </w:tcPr>
          <w:p w14:paraId="79E6988E" w14:textId="77777777" w:rsidR="00AE7D23" w:rsidRPr="002670BF" w:rsidRDefault="587657FF" w:rsidP="23C77BED">
            <w:pPr>
              <w:spacing w:after="0" w:line="240" w:lineRule="auto"/>
              <w:jc w:val="both"/>
              <w:rPr>
                <w:rFonts w:ascii="PP Telegraf" w:eastAsia="PP Telegraf" w:hAnsi="PP Telegraf" w:cs="PP Telegraf"/>
                <w:color w:val="00B050"/>
                <w:kern w:val="0"/>
                <w:sz w:val="16"/>
                <w:szCs w:val="16"/>
                <w:lang w:eastAsia="en-GB"/>
                <w14:ligatures w14:val="none"/>
              </w:rPr>
            </w:pPr>
            <w:r w:rsidRPr="23C77BED">
              <w:rPr>
                <w:rFonts w:ascii="PP Telegraf" w:eastAsia="PP Telegraf" w:hAnsi="PP Telegraf" w:cs="PP Telegraf"/>
                <w:color w:val="00B050"/>
                <w:kern w:val="0"/>
                <w:sz w:val="16"/>
                <w:szCs w:val="16"/>
                <w:lang w:eastAsia="en-GB"/>
                <w14:ligatures w14:val="none"/>
              </w:rPr>
              <w:t>30 %</w:t>
            </w:r>
          </w:p>
        </w:tc>
        <w:tc>
          <w:tcPr>
            <w:tcW w:w="709" w:type="dxa"/>
            <w:noWrap/>
            <w:vAlign w:val="bottom"/>
            <w:hideMark/>
          </w:tcPr>
          <w:p w14:paraId="1E7772FA" w14:textId="77777777" w:rsidR="00AE7D23" w:rsidRPr="002670BF" w:rsidRDefault="587657FF" w:rsidP="23C77BED">
            <w:pPr>
              <w:spacing w:after="0" w:line="240" w:lineRule="auto"/>
              <w:jc w:val="both"/>
              <w:rPr>
                <w:rFonts w:ascii="PP Telegraf" w:eastAsia="PP Telegraf" w:hAnsi="PP Telegraf" w:cs="PP Telegraf"/>
                <w:color w:val="FFC000"/>
                <w:kern w:val="0"/>
                <w:sz w:val="16"/>
                <w:szCs w:val="16"/>
                <w:lang w:eastAsia="en-GB"/>
                <w14:ligatures w14:val="none"/>
              </w:rPr>
            </w:pPr>
            <w:r w:rsidRPr="23C77BED">
              <w:rPr>
                <w:rFonts w:ascii="PP Telegraf" w:eastAsia="PP Telegraf" w:hAnsi="PP Telegraf" w:cs="PP Telegraf"/>
                <w:color w:val="FFC000"/>
                <w:kern w:val="0"/>
                <w:sz w:val="16"/>
                <w:szCs w:val="16"/>
                <w:lang w:eastAsia="en-GB"/>
                <w14:ligatures w14:val="none"/>
              </w:rPr>
              <w:t>0 %</w:t>
            </w:r>
          </w:p>
        </w:tc>
        <w:tc>
          <w:tcPr>
            <w:tcW w:w="709" w:type="dxa"/>
            <w:noWrap/>
            <w:vAlign w:val="bottom"/>
            <w:hideMark/>
          </w:tcPr>
          <w:p w14:paraId="6782B02B" w14:textId="77777777" w:rsidR="00AE7D23" w:rsidRPr="002670BF" w:rsidRDefault="587657FF" w:rsidP="23C77BED">
            <w:pPr>
              <w:spacing w:after="0" w:line="240" w:lineRule="auto"/>
              <w:jc w:val="both"/>
              <w:rPr>
                <w:rFonts w:ascii="PP Telegraf" w:eastAsia="PP Telegraf" w:hAnsi="PP Telegraf" w:cs="PP Telegraf"/>
                <w:color w:val="C00000"/>
                <w:kern w:val="0"/>
                <w:sz w:val="16"/>
                <w:szCs w:val="16"/>
                <w:lang w:eastAsia="en-GB"/>
                <w14:ligatures w14:val="none"/>
              </w:rPr>
            </w:pPr>
            <w:r w:rsidRPr="23C77BED">
              <w:rPr>
                <w:rFonts w:ascii="PP Telegraf" w:eastAsia="PP Telegraf" w:hAnsi="PP Telegraf" w:cs="PP Telegraf"/>
                <w:color w:val="C00000"/>
                <w:kern w:val="0"/>
                <w:sz w:val="16"/>
                <w:szCs w:val="16"/>
                <w:lang w:eastAsia="en-GB"/>
                <w14:ligatures w14:val="none"/>
              </w:rPr>
              <w:t>70 %</w:t>
            </w:r>
          </w:p>
        </w:tc>
        <w:tc>
          <w:tcPr>
            <w:tcW w:w="996" w:type="dxa"/>
            <w:noWrap/>
            <w:vAlign w:val="bottom"/>
            <w:hideMark/>
          </w:tcPr>
          <w:p w14:paraId="1BAD492D"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56,4</w:t>
            </w:r>
          </w:p>
        </w:tc>
        <w:tc>
          <w:tcPr>
            <w:tcW w:w="988" w:type="dxa"/>
            <w:noWrap/>
            <w:vAlign w:val="bottom"/>
            <w:hideMark/>
          </w:tcPr>
          <w:p w14:paraId="61DCF7DF"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72,5</w:t>
            </w:r>
          </w:p>
        </w:tc>
        <w:tc>
          <w:tcPr>
            <w:tcW w:w="1985" w:type="dxa"/>
            <w:shd w:val="clear" w:color="auto" w:fill="F2F2F2" w:themeFill="background1" w:themeFillShade="F2"/>
            <w:noWrap/>
            <w:vAlign w:val="bottom"/>
            <w:hideMark/>
          </w:tcPr>
          <w:p w14:paraId="751E0C83"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ETH Zürich</w:t>
            </w:r>
          </w:p>
        </w:tc>
        <w:tc>
          <w:tcPr>
            <w:tcW w:w="1020" w:type="dxa"/>
            <w:shd w:val="clear" w:color="auto" w:fill="F2F2F2" w:themeFill="background1" w:themeFillShade="F2"/>
            <w:noWrap/>
            <w:vAlign w:val="bottom"/>
            <w:hideMark/>
          </w:tcPr>
          <w:p w14:paraId="1CD2EA03"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11=</w:t>
            </w:r>
          </w:p>
        </w:tc>
        <w:tc>
          <w:tcPr>
            <w:tcW w:w="889" w:type="dxa"/>
            <w:shd w:val="clear" w:color="auto" w:fill="F2F2F2" w:themeFill="background1" w:themeFillShade="F2"/>
            <w:noWrap/>
            <w:vAlign w:val="bottom"/>
            <w:hideMark/>
          </w:tcPr>
          <w:p w14:paraId="626848A2" w14:textId="77777777" w:rsidR="00AE7D23" w:rsidRPr="002670BF" w:rsidRDefault="587657FF" w:rsidP="23C77BED">
            <w:pPr>
              <w:spacing w:after="0" w:line="240" w:lineRule="auto"/>
              <w:jc w:val="both"/>
              <w:rPr>
                <w:rFonts w:ascii="PP Telegraf" w:eastAsia="PP Telegraf" w:hAnsi="PP Telegraf" w:cs="PP Telegraf"/>
                <w:kern w:val="0"/>
                <w:sz w:val="16"/>
                <w:szCs w:val="16"/>
                <w:lang w:eastAsia="en-GB"/>
                <w14:ligatures w14:val="none"/>
              </w:rPr>
            </w:pPr>
            <w:r w:rsidRPr="23C77BED">
              <w:rPr>
                <w:rFonts w:ascii="PP Telegraf" w:eastAsia="PP Telegraf" w:hAnsi="PP Telegraf" w:cs="PP Telegraf"/>
                <w:kern w:val="0"/>
                <w:sz w:val="16"/>
                <w:szCs w:val="16"/>
                <w:lang w:eastAsia="en-GB"/>
                <w14:ligatures w14:val="none"/>
              </w:rPr>
              <w:t>8</w:t>
            </w:r>
          </w:p>
        </w:tc>
      </w:tr>
    </w:tbl>
    <w:p w14:paraId="41724C2A" w14:textId="77777777" w:rsidR="002670BF" w:rsidRDefault="587657FF" w:rsidP="23C77BED">
      <w:pPr>
        <w:pStyle w:val="paragraph"/>
        <w:spacing w:before="0" w:beforeAutospacing="0" w:after="0" w:afterAutospacing="0"/>
        <w:jc w:val="both"/>
        <w:textAlignment w:val="baseline"/>
        <w:rPr>
          <w:rStyle w:val="eop"/>
          <w:rFonts w:ascii="PP Telegraf" w:eastAsia="PP Telegraf" w:hAnsi="PP Telegraf" w:cs="PP Telegraf"/>
          <w:color w:val="000000"/>
          <w:sz w:val="22"/>
          <w:szCs w:val="22"/>
          <w:shd w:val="clear" w:color="auto" w:fill="FFFFFF"/>
        </w:rPr>
      </w:pPr>
      <w:r w:rsidRPr="23C77BED">
        <w:rPr>
          <w:rStyle w:val="normaltextrun"/>
          <w:rFonts w:ascii="PP Telegraf" w:eastAsia="PP Telegraf" w:hAnsi="PP Telegraf" w:cs="PP Telegraf"/>
          <w:color w:val="000000"/>
          <w:sz w:val="22"/>
          <w:szCs w:val="22"/>
          <w:shd w:val="clear" w:color="auto" w:fill="FFFFFF"/>
        </w:rPr>
        <w:t>  </w:t>
      </w:r>
    </w:p>
    <w:p w14:paraId="5C877276" w14:textId="25D397C6" w:rsidR="00F34EC3" w:rsidRPr="00C77A89" w:rsidRDefault="4C795DAC" w:rsidP="23C77BED">
      <w:pPr>
        <w:pStyle w:val="paragraph"/>
        <w:spacing w:before="0" w:beforeAutospacing="0" w:after="160" w:afterAutospacing="0" w:line="360" w:lineRule="auto"/>
        <w:jc w:val="both"/>
        <w:textAlignment w:val="baseline"/>
        <w:rPr>
          <w:rStyle w:val="eop"/>
          <w:rFonts w:ascii="PP Telegraf" w:eastAsia="PP Telegraf" w:hAnsi="PP Telegraf" w:cs="PP Telegraf"/>
          <w:b/>
          <w:bCs/>
          <w:color w:val="000000"/>
          <w:sz w:val="22"/>
          <w:szCs w:val="22"/>
          <w:u w:val="single"/>
          <w:shd w:val="clear" w:color="auto" w:fill="FFFFFF"/>
        </w:rPr>
      </w:pPr>
      <w:r w:rsidRPr="23C77BED">
        <w:rPr>
          <w:rStyle w:val="eop"/>
          <w:rFonts w:ascii="PP Telegraf" w:eastAsia="PP Telegraf" w:hAnsi="PP Telegraf" w:cs="PP Telegraf"/>
          <w:b/>
          <w:bCs/>
          <w:color w:val="000000"/>
          <w:sz w:val="22"/>
          <w:szCs w:val="22"/>
          <w:u w:val="single"/>
          <w:shd w:val="clear" w:color="auto" w:fill="FFFFFF"/>
        </w:rPr>
        <w:t>Die Schweiz im Fokus</w:t>
      </w:r>
    </w:p>
    <w:p w14:paraId="42DCF5BA" w14:textId="7A72DE5A" w:rsidR="001A4079" w:rsidRPr="00CA2A20" w:rsidRDefault="01DA175A" w:rsidP="23C77BED">
      <w:pPr>
        <w:pStyle w:val="paragraph"/>
        <w:numPr>
          <w:ilvl w:val="0"/>
          <w:numId w:val="7"/>
        </w:numPr>
        <w:spacing w:before="0" w:beforeAutospacing="0" w:after="160" w:afterAutospacing="0" w:line="360" w:lineRule="auto"/>
        <w:jc w:val="both"/>
        <w:textAlignment w:val="baseline"/>
        <w:rPr>
          <w:rFonts w:ascii="PP Telegraf" w:eastAsia="PP Telegraf" w:hAnsi="PP Telegraf" w:cs="PP Telegraf"/>
          <w:sz w:val="22"/>
          <w:szCs w:val="22"/>
          <w:lang w:val="de-DE"/>
        </w:rPr>
      </w:pPr>
      <w:r w:rsidRPr="00CA2A20">
        <w:rPr>
          <w:rFonts w:ascii="PP Telegraf" w:eastAsia="PP Telegraf" w:hAnsi="PP Telegraf" w:cs="PP Telegraf"/>
          <w:sz w:val="22"/>
          <w:szCs w:val="22"/>
          <w:lang w:val="de-DE"/>
        </w:rPr>
        <w:t xml:space="preserve">Die Schweiz verfügt über </w:t>
      </w:r>
      <w:r w:rsidR="1C93322C" w:rsidRPr="00CA2A20">
        <w:rPr>
          <w:rFonts w:ascii="PP Telegraf" w:eastAsia="PP Telegraf" w:hAnsi="PP Telegraf" w:cs="PP Telegraf"/>
          <w:sz w:val="22"/>
          <w:szCs w:val="22"/>
          <w:lang w:val="de-DE"/>
        </w:rPr>
        <w:t xml:space="preserve">eine der </w:t>
      </w:r>
      <w:r w:rsidRPr="00CA2A20">
        <w:rPr>
          <w:rFonts w:ascii="PP Telegraf" w:eastAsia="PP Telegraf" w:hAnsi="PP Telegraf" w:cs="PP Telegraf"/>
          <w:sz w:val="22"/>
          <w:szCs w:val="22"/>
          <w:lang w:val="de-DE"/>
        </w:rPr>
        <w:t xml:space="preserve">internationalsten </w:t>
      </w:r>
      <w:r w:rsidR="1C93322C" w:rsidRPr="00CA2A20">
        <w:rPr>
          <w:rFonts w:ascii="PP Telegraf" w:eastAsia="PP Telegraf" w:hAnsi="PP Telegraf" w:cs="PP Telegraf"/>
          <w:sz w:val="22"/>
          <w:szCs w:val="22"/>
          <w:lang w:val="de-DE"/>
        </w:rPr>
        <w:t>Fakultäten weltweit</w:t>
      </w:r>
      <w:r w:rsidRPr="00CA2A20">
        <w:rPr>
          <w:rFonts w:ascii="PP Telegraf" w:eastAsia="PP Telegraf" w:hAnsi="PP Telegraf" w:cs="PP Telegraf"/>
          <w:sz w:val="22"/>
          <w:szCs w:val="22"/>
          <w:lang w:val="de-DE"/>
        </w:rPr>
        <w:t xml:space="preserve">, wobei vier Universitäten in </w:t>
      </w:r>
      <w:r w:rsidR="1C93322C" w:rsidRPr="00CA2A20">
        <w:rPr>
          <w:rFonts w:ascii="PP Telegraf" w:eastAsia="PP Telegraf" w:hAnsi="PP Telegraf" w:cs="PP Telegraf"/>
          <w:sz w:val="22"/>
          <w:szCs w:val="22"/>
          <w:lang w:val="de-DE"/>
        </w:rPr>
        <w:t xml:space="preserve">diesem Indikator </w:t>
      </w:r>
      <w:r w:rsidRPr="00CA2A20">
        <w:rPr>
          <w:rFonts w:ascii="PP Telegraf" w:eastAsia="PP Telegraf" w:hAnsi="PP Telegraf" w:cs="PP Telegraf"/>
          <w:sz w:val="22"/>
          <w:szCs w:val="22"/>
          <w:lang w:val="de-DE"/>
        </w:rPr>
        <w:t>unter den Top 50 rangieren</w:t>
      </w:r>
      <w:r w:rsidR="1C93322C" w:rsidRPr="00CA2A20">
        <w:rPr>
          <w:rFonts w:ascii="PP Telegraf" w:eastAsia="PP Telegraf" w:hAnsi="PP Telegraf" w:cs="PP Telegraf"/>
          <w:sz w:val="22"/>
          <w:szCs w:val="22"/>
          <w:lang w:val="de-DE"/>
        </w:rPr>
        <w:t>.</w:t>
      </w:r>
    </w:p>
    <w:p w14:paraId="0DA1945E" w14:textId="0D438A3F" w:rsidR="00D77A0B" w:rsidRPr="00CA2A20" w:rsidRDefault="592CDB2D" w:rsidP="23C77BED">
      <w:pPr>
        <w:pStyle w:val="paragraph"/>
        <w:numPr>
          <w:ilvl w:val="0"/>
          <w:numId w:val="7"/>
        </w:numPr>
        <w:spacing w:before="0" w:beforeAutospacing="0" w:after="160" w:afterAutospacing="0" w:line="360" w:lineRule="auto"/>
        <w:jc w:val="both"/>
        <w:textAlignment w:val="baseline"/>
        <w:rPr>
          <w:rFonts w:ascii="PP Telegraf" w:eastAsia="PP Telegraf" w:hAnsi="PP Telegraf" w:cs="PP Telegraf"/>
          <w:sz w:val="22"/>
          <w:szCs w:val="22"/>
          <w:lang w:val="de-DE"/>
        </w:rPr>
      </w:pPr>
      <w:r w:rsidRPr="00CA2A20">
        <w:rPr>
          <w:rFonts w:ascii="PP Telegraf" w:eastAsia="PP Telegraf" w:hAnsi="PP Telegraf" w:cs="PP Telegraf"/>
          <w:sz w:val="22"/>
          <w:szCs w:val="22"/>
          <w:lang w:val="de-DE"/>
        </w:rPr>
        <w:t>Zwei Schweizer Universitäten gehören zu den weltweiten Top 50 bei den Zitierungen pro Fakultät, wobei die Universität Bern auf</w:t>
      </w:r>
      <w:r w:rsidR="005806DC">
        <w:rPr>
          <w:rFonts w:ascii="PP Telegraf" w:eastAsia="PP Telegraf" w:hAnsi="PP Telegraf" w:cs="PP Telegraf"/>
          <w:sz w:val="22"/>
          <w:szCs w:val="22"/>
          <w:lang w:val="de-DE"/>
        </w:rPr>
        <w:t xml:space="preserve"> Platz</w:t>
      </w:r>
      <w:r w:rsidRPr="00CA2A20">
        <w:rPr>
          <w:rFonts w:ascii="PP Telegraf" w:eastAsia="PP Telegraf" w:hAnsi="PP Telegraf" w:cs="PP Telegraf"/>
          <w:sz w:val="22"/>
          <w:szCs w:val="22"/>
          <w:lang w:val="de-DE"/>
        </w:rPr>
        <w:t xml:space="preserve"> 28 liegt, gefolgt von der ETH Zürich</w:t>
      </w:r>
      <w:r w:rsidR="005806DC">
        <w:rPr>
          <w:rFonts w:ascii="PP Telegraf" w:eastAsia="PP Telegraf" w:hAnsi="PP Telegraf" w:cs="PP Telegraf"/>
          <w:sz w:val="22"/>
          <w:szCs w:val="22"/>
          <w:lang w:val="de-DE"/>
        </w:rPr>
        <w:t xml:space="preserve"> auf Rang</w:t>
      </w:r>
      <w:r w:rsidRPr="00CA2A20">
        <w:rPr>
          <w:rFonts w:ascii="PP Telegraf" w:eastAsia="PP Telegraf" w:hAnsi="PP Telegraf" w:cs="PP Telegraf"/>
          <w:sz w:val="22"/>
          <w:szCs w:val="22"/>
          <w:lang w:val="de-DE"/>
        </w:rPr>
        <w:t xml:space="preserve"> 41.</w:t>
      </w:r>
    </w:p>
    <w:p w14:paraId="42D99DDD" w14:textId="5B3956EF" w:rsidR="0066331A" w:rsidRPr="00CA2A20" w:rsidRDefault="43DC0B2D" w:rsidP="23C77BED">
      <w:pPr>
        <w:pStyle w:val="paragraph"/>
        <w:numPr>
          <w:ilvl w:val="0"/>
          <w:numId w:val="7"/>
        </w:numPr>
        <w:spacing w:before="0" w:beforeAutospacing="0" w:after="160" w:afterAutospacing="0" w:line="360" w:lineRule="auto"/>
        <w:jc w:val="both"/>
        <w:textAlignment w:val="baseline"/>
        <w:rPr>
          <w:rFonts w:ascii="PP Telegraf" w:eastAsia="PP Telegraf" w:hAnsi="PP Telegraf" w:cs="PP Telegraf"/>
          <w:sz w:val="22"/>
          <w:szCs w:val="22"/>
          <w:lang w:val="de-DE"/>
        </w:rPr>
      </w:pPr>
      <w:r w:rsidRPr="00CA2A20">
        <w:rPr>
          <w:rFonts w:ascii="PP Telegraf" w:eastAsia="PP Telegraf" w:hAnsi="PP Telegraf" w:cs="PP Telegraf"/>
          <w:sz w:val="22"/>
          <w:szCs w:val="22"/>
          <w:lang w:val="de-DE"/>
        </w:rPr>
        <w:t xml:space="preserve">Die ETH Zürich ist beim Indikator </w:t>
      </w:r>
      <w:r w:rsidR="136CB627" w:rsidRPr="00CA2A20">
        <w:rPr>
          <w:rFonts w:ascii="PP Telegraf" w:eastAsia="PP Telegraf" w:hAnsi="PP Telegraf" w:cs="PP Telegraf"/>
          <w:sz w:val="22"/>
          <w:szCs w:val="22"/>
          <w:lang w:val="de-DE"/>
        </w:rPr>
        <w:t xml:space="preserve">„Nachhaltigkeit“ </w:t>
      </w:r>
      <w:r w:rsidRPr="00CA2A20">
        <w:rPr>
          <w:rFonts w:ascii="PP Telegraf" w:eastAsia="PP Telegraf" w:hAnsi="PP Telegraf" w:cs="PP Telegraf"/>
          <w:sz w:val="22"/>
          <w:szCs w:val="22"/>
          <w:lang w:val="de-DE"/>
        </w:rPr>
        <w:t xml:space="preserve">vom zweiten auf </w:t>
      </w:r>
      <w:r w:rsidR="005806DC">
        <w:rPr>
          <w:rFonts w:ascii="PP Telegraf" w:eastAsia="PP Telegraf" w:hAnsi="PP Telegraf" w:cs="PP Telegraf"/>
          <w:sz w:val="22"/>
          <w:szCs w:val="22"/>
          <w:lang w:val="de-DE"/>
        </w:rPr>
        <w:t>den elften</w:t>
      </w:r>
      <w:r w:rsidRPr="00CA2A20">
        <w:rPr>
          <w:rFonts w:ascii="PP Telegraf" w:eastAsia="PP Telegraf" w:hAnsi="PP Telegraf" w:cs="PP Telegraf"/>
          <w:sz w:val="22"/>
          <w:szCs w:val="22"/>
          <w:vertAlign w:val="superscript"/>
          <w:lang w:val="de-DE"/>
        </w:rPr>
        <w:t>.</w:t>
      </w:r>
      <w:r w:rsidRPr="00CA2A20">
        <w:rPr>
          <w:rFonts w:ascii="PP Telegraf" w:eastAsia="PP Telegraf" w:hAnsi="PP Telegraf" w:cs="PP Telegraf"/>
          <w:sz w:val="22"/>
          <w:szCs w:val="22"/>
          <w:lang w:val="de-DE"/>
        </w:rPr>
        <w:t xml:space="preserve"> Platz zurückgefallen. Dennoch ist dies weiterhin die höchste Platzierung in Kontinentaleuropa bei diesem Indikator.</w:t>
      </w:r>
    </w:p>
    <w:p w14:paraId="39519E77" w14:textId="5A2FB3F2" w:rsidR="0066331A" w:rsidRPr="00CA2A20" w:rsidRDefault="41180CA9" w:rsidP="23C77BED">
      <w:pPr>
        <w:pStyle w:val="paragraph"/>
        <w:numPr>
          <w:ilvl w:val="0"/>
          <w:numId w:val="7"/>
        </w:numPr>
        <w:spacing w:before="0" w:beforeAutospacing="0" w:after="160" w:afterAutospacing="0" w:line="360" w:lineRule="auto"/>
        <w:jc w:val="both"/>
        <w:textAlignment w:val="baseline"/>
        <w:rPr>
          <w:rFonts w:ascii="PP Telegraf" w:eastAsia="PP Telegraf" w:hAnsi="PP Telegraf" w:cs="PP Telegraf"/>
          <w:sz w:val="22"/>
          <w:szCs w:val="22"/>
          <w:lang w:val="de-DE"/>
        </w:rPr>
      </w:pPr>
      <w:r w:rsidRPr="00CA2A20">
        <w:rPr>
          <w:rFonts w:ascii="PP Telegraf" w:eastAsia="PP Telegraf" w:hAnsi="PP Telegraf" w:cs="PP Telegraf"/>
          <w:sz w:val="22"/>
          <w:szCs w:val="22"/>
          <w:lang w:val="de-DE"/>
        </w:rPr>
        <w:t xml:space="preserve">Die USI – </w:t>
      </w:r>
      <w:proofErr w:type="spellStart"/>
      <w:r w:rsidRPr="00CA2A20">
        <w:rPr>
          <w:rFonts w:ascii="PP Telegraf" w:eastAsia="PP Telegraf" w:hAnsi="PP Telegraf" w:cs="PP Telegraf"/>
          <w:sz w:val="22"/>
          <w:szCs w:val="22"/>
          <w:lang w:val="de-DE"/>
        </w:rPr>
        <w:t>Università</w:t>
      </w:r>
      <w:proofErr w:type="spellEnd"/>
      <w:r w:rsidRPr="00CA2A20">
        <w:rPr>
          <w:rFonts w:ascii="PP Telegraf" w:eastAsia="PP Telegraf" w:hAnsi="PP Telegraf" w:cs="PP Telegraf"/>
          <w:sz w:val="22"/>
          <w:szCs w:val="22"/>
          <w:lang w:val="de-DE"/>
        </w:rPr>
        <w:t xml:space="preserve"> della Svizzera italiana hat in diesem Jahr unter den Schweizer Universitäten den </w:t>
      </w:r>
      <w:proofErr w:type="spellStart"/>
      <w:r w:rsidR="246155C2" w:rsidRPr="00CA2A20">
        <w:rPr>
          <w:rFonts w:ascii="PP Telegraf" w:eastAsia="PP Telegraf" w:hAnsi="PP Telegraf" w:cs="PP Telegraf"/>
          <w:sz w:val="22"/>
          <w:szCs w:val="22"/>
          <w:lang w:val="de-DE"/>
        </w:rPr>
        <w:t>grössten</w:t>
      </w:r>
      <w:proofErr w:type="spellEnd"/>
      <w:r w:rsidR="246155C2" w:rsidRPr="00CA2A20">
        <w:rPr>
          <w:rFonts w:ascii="PP Telegraf" w:eastAsia="PP Telegraf" w:hAnsi="PP Telegraf" w:cs="PP Telegraf"/>
          <w:sz w:val="22"/>
          <w:szCs w:val="22"/>
          <w:lang w:val="de-DE"/>
        </w:rPr>
        <w:t xml:space="preserve"> </w:t>
      </w:r>
      <w:r w:rsidRPr="00CA2A20">
        <w:rPr>
          <w:rFonts w:ascii="PP Telegraf" w:eastAsia="PP Telegraf" w:hAnsi="PP Telegraf" w:cs="PP Telegraf"/>
          <w:sz w:val="22"/>
          <w:szCs w:val="22"/>
          <w:lang w:val="de-DE"/>
        </w:rPr>
        <w:t xml:space="preserve">Sprung in der Rangliste </w:t>
      </w:r>
      <w:r w:rsidR="246155C2" w:rsidRPr="00CA2A20">
        <w:rPr>
          <w:rFonts w:ascii="PP Telegraf" w:eastAsia="PP Telegraf" w:hAnsi="PP Telegraf" w:cs="PP Telegraf"/>
          <w:sz w:val="22"/>
          <w:szCs w:val="22"/>
          <w:lang w:val="de-DE"/>
        </w:rPr>
        <w:t>gemacht und ist um 17 Plätze auf Rang 456 geklettert. Dieser Aufstieg ist auf Verbesserungen bei den Zitierungen pro Fakultät zurückzuführen.</w:t>
      </w:r>
    </w:p>
    <w:p w14:paraId="5E5C1E92" w14:textId="53E6961D" w:rsidR="00C77A89" w:rsidRPr="00CA2A20" w:rsidRDefault="56EC3F1A" w:rsidP="23C77BED">
      <w:pPr>
        <w:pStyle w:val="Listenabsatz"/>
        <w:numPr>
          <w:ilvl w:val="0"/>
          <w:numId w:val="7"/>
        </w:numPr>
        <w:jc w:val="both"/>
        <w:rPr>
          <w:rFonts w:ascii="PP Telegraf" w:eastAsia="PP Telegraf" w:hAnsi="PP Telegraf" w:cs="PP Telegraf"/>
          <w:color w:val="1D1D1B"/>
          <w:kern w:val="0"/>
          <w:sz w:val="22"/>
          <w:szCs w:val="22"/>
          <w:lang w:val="de-DE" w:eastAsia="en-GB"/>
          <w14:ligatures w14:val="none"/>
        </w:rPr>
      </w:pPr>
      <w:r w:rsidRPr="00CA2A20">
        <w:rPr>
          <w:rFonts w:ascii="PP Telegraf" w:eastAsia="PP Telegraf" w:hAnsi="PP Telegraf" w:cs="PP Telegraf"/>
          <w:sz w:val="22"/>
          <w:szCs w:val="22"/>
          <w:lang w:val="de-DE"/>
        </w:rPr>
        <w:t xml:space="preserve">Unterdessen </w:t>
      </w:r>
      <w:r w:rsidRPr="00CA2A20">
        <w:rPr>
          <w:rFonts w:ascii="PP Telegraf" w:eastAsia="PP Telegraf" w:hAnsi="PP Telegraf" w:cs="PP Telegraf"/>
          <w:color w:val="1D1D1B"/>
          <w:kern w:val="0"/>
          <w:sz w:val="22"/>
          <w:szCs w:val="22"/>
          <w:lang w:val="de-DE" w:eastAsia="en-GB"/>
          <w14:ligatures w14:val="none"/>
        </w:rPr>
        <w:t>klettert die Universität Basel dank Verbesserungen bei der akademischen Reputation und den Beschäftigungsergebnissen in die globalen Top 150.</w:t>
      </w:r>
    </w:p>
    <w:p w14:paraId="00CE9EB7" w14:textId="77777777" w:rsidR="00C5141A" w:rsidRPr="00983B15" w:rsidRDefault="00C5141A" w:rsidP="00C5141A">
      <w:pPr>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b/>
          <w:bCs/>
          <w:color w:val="1D1D1B"/>
          <w:kern w:val="0"/>
          <w:sz w:val="22"/>
          <w:szCs w:val="22"/>
          <w:u w:val="single"/>
          <w:lang w:val="de-DE" w:eastAsia="en-GB"/>
          <w14:ligatures w14:val="none"/>
        </w:rPr>
        <w:lastRenderedPageBreak/>
        <w:t xml:space="preserve">Globale Trends </w:t>
      </w:r>
    </w:p>
    <w:p w14:paraId="11AB757A" w14:textId="77777777" w:rsidR="00C5141A" w:rsidRPr="00983B15" w:rsidRDefault="00C5141A" w:rsidP="00C5141A">
      <w:pPr>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Zum fünfzehnten Mal in Folge behält</w:t>
      </w:r>
      <w:r w:rsidRPr="00983B15">
        <w:rPr>
          <w:rFonts w:ascii="PP Telegraf" w:eastAsia="PP Telegraf" w:hAnsi="PP Telegraf" w:cs="PP Telegraf"/>
          <w:b/>
          <w:bCs/>
          <w:color w:val="000000"/>
          <w:kern w:val="0"/>
          <w:sz w:val="22"/>
          <w:szCs w:val="22"/>
          <w:lang w:val="de-DE" w:eastAsia="en-GB"/>
          <w14:ligatures w14:val="none"/>
        </w:rPr>
        <w:t xml:space="preserve"> </w:t>
      </w:r>
      <w:r w:rsidRPr="00E45AC6">
        <w:rPr>
          <w:rFonts w:ascii="PP Telegraf" w:eastAsia="PP Telegraf" w:hAnsi="PP Telegraf" w:cs="PP Telegraf"/>
          <w:color w:val="000000"/>
          <w:kern w:val="0"/>
          <w:sz w:val="22"/>
          <w:szCs w:val="22"/>
          <w:lang w:val="de-DE" w:eastAsia="en-GB"/>
          <w14:ligatures w14:val="none"/>
        </w:rPr>
        <w:t>das</w:t>
      </w:r>
      <w:r w:rsidRPr="00983B15">
        <w:rPr>
          <w:rFonts w:ascii="PP Telegraf" w:eastAsia="PP Telegraf" w:hAnsi="PP Telegraf" w:cs="PP Telegraf"/>
          <w:b/>
          <w:bCs/>
          <w:color w:val="000000"/>
          <w:kern w:val="0"/>
          <w:sz w:val="22"/>
          <w:szCs w:val="22"/>
          <w:lang w:val="de-DE" w:eastAsia="en-GB"/>
          <w14:ligatures w14:val="none"/>
        </w:rPr>
        <w:t xml:space="preserve"> Massachusetts Institute </w:t>
      </w:r>
      <w:proofErr w:type="spellStart"/>
      <w:r w:rsidRPr="00983B15">
        <w:rPr>
          <w:rFonts w:ascii="PP Telegraf" w:eastAsia="PP Telegraf" w:hAnsi="PP Telegraf" w:cs="PP Telegraf"/>
          <w:b/>
          <w:bCs/>
          <w:color w:val="000000"/>
          <w:kern w:val="0"/>
          <w:sz w:val="22"/>
          <w:szCs w:val="22"/>
          <w:lang w:val="de-DE" w:eastAsia="en-GB"/>
          <w14:ligatures w14:val="none"/>
        </w:rPr>
        <w:t>of</w:t>
      </w:r>
      <w:proofErr w:type="spellEnd"/>
      <w:r w:rsidRPr="00983B15">
        <w:rPr>
          <w:rFonts w:ascii="PP Telegraf" w:eastAsia="PP Telegraf" w:hAnsi="PP Telegraf" w:cs="PP Telegraf"/>
          <w:b/>
          <w:bCs/>
          <w:color w:val="000000"/>
          <w:kern w:val="0"/>
          <w:sz w:val="22"/>
          <w:szCs w:val="22"/>
          <w:lang w:val="de-DE" w:eastAsia="en-GB"/>
          <w14:ligatures w14:val="none"/>
        </w:rPr>
        <w:t xml:space="preserve"> Technology (MIT) </w:t>
      </w:r>
      <w:r w:rsidRPr="00983B15">
        <w:rPr>
          <w:rFonts w:ascii="PP Telegraf" w:eastAsia="PP Telegraf" w:hAnsi="PP Telegraf" w:cs="PP Telegraf"/>
          <w:color w:val="000000"/>
          <w:kern w:val="0"/>
          <w:sz w:val="22"/>
          <w:szCs w:val="22"/>
          <w:lang w:val="de-DE" w:eastAsia="en-GB"/>
          <w14:ligatures w14:val="none"/>
        </w:rPr>
        <w:t xml:space="preserve">den Spitzenplatz. </w:t>
      </w:r>
      <w:r w:rsidRPr="00E45AC6">
        <w:rPr>
          <w:rFonts w:ascii="PP Telegraf" w:eastAsia="PP Telegraf" w:hAnsi="PP Telegraf" w:cs="PP Telegraf"/>
          <w:color w:val="000000"/>
          <w:kern w:val="0"/>
          <w:sz w:val="22"/>
          <w:szCs w:val="22"/>
          <w:lang w:val="de-DE" w:eastAsia="en-GB"/>
          <w14:ligatures w14:val="none"/>
        </w:rPr>
        <w:t>Das</w:t>
      </w:r>
      <w:r w:rsidRPr="00983B15">
        <w:rPr>
          <w:rFonts w:ascii="PP Telegraf" w:eastAsia="PP Telegraf" w:hAnsi="PP Telegraf" w:cs="PP Telegraf"/>
          <w:b/>
          <w:bCs/>
          <w:color w:val="000000"/>
          <w:kern w:val="0"/>
          <w:sz w:val="22"/>
          <w:szCs w:val="22"/>
          <w:lang w:val="de-DE" w:eastAsia="en-GB"/>
          <w14:ligatures w14:val="none"/>
        </w:rPr>
        <w:t xml:space="preserve"> Imperial College London </w:t>
      </w:r>
      <w:r w:rsidRPr="00983B15">
        <w:rPr>
          <w:rFonts w:ascii="PP Telegraf" w:eastAsia="PP Telegraf" w:hAnsi="PP Telegraf" w:cs="PP Telegraf"/>
          <w:color w:val="000000"/>
          <w:kern w:val="0"/>
          <w:sz w:val="22"/>
          <w:szCs w:val="22"/>
          <w:lang w:val="de-DE" w:eastAsia="en-GB"/>
          <w14:ligatures w14:val="none"/>
        </w:rPr>
        <w:t xml:space="preserve">bleibt zum dritten Mal in Folge auf dem zweiten Platz und teilt sich diese Position nun mit </w:t>
      </w:r>
      <w:r w:rsidRPr="00E45AC6">
        <w:rPr>
          <w:rFonts w:ascii="PP Telegraf" w:eastAsia="PP Telegraf" w:hAnsi="PP Telegraf" w:cs="PP Telegraf"/>
          <w:color w:val="000000"/>
          <w:kern w:val="0"/>
          <w:sz w:val="22"/>
          <w:szCs w:val="22"/>
          <w:lang w:val="de-DE" w:eastAsia="en-GB"/>
          <w14:ligatures w14:val="none"/>
        </w:rPr>
        <w:t>der</w:t>
      </w:r>
      <w:r w:rsidRPr="00983B15">
        <w:rPr>
          <w:rFonts w:ascii="PP Telegraf" w:eastAsia="PP Telegraf" w:hAnsi="PP Telegraf" w:cs="PP Telegraf"/>
          <w:b/>
          <w:bCs/>
          <w:color w:val="000000"/>
          <w:kern w:val="0"/>
          <w:sz w:val="22"/>
          <w:szCs w:val="22"/>
          <w:lang w:val="de-DE" w:eastAsia="en-GB"/>
          <w14:ligatures w14:val="none"/>
        </w:rPr>
        <w:t xml:space="preserve"> Stanford University</w:t>
      </w:r>
      <w:r w:rsidRPr="00983B15">
        <w:rPr>
          <w:rFonts w:ascii="PP Telegraf" w:eastAsia="PP Telegraf" w:hAnsi="PP Telegraf" w:cs="PP Telegraf"/>
          <w:color w:val="000000"/>
          <w:kern w:val="0"/>
          <w:sz w:val="22"/>
          <w:szCs w:val="22"/>
          <w:lang w:val="de-DE" w:eastAsia="en-GB"/>
          <w14:ligatures w14:val="none"/>
        </w:rPr>
        <w:t xml:space="preserve">, die vom sechsten Platz im Vorjahr auf den dritten Platz vorrückt. Die </w:t>
      </w:r>
      <w:r w:rsidRPr="00983B15">
        <w:rPr>
          <w:rFonts w:ascii="PP Telegraf" w:eastAsia="PP Telegraf" w:hAnsi="PP Telegraf" w:cs="PP Telegraf"/>
          <w:b/>
          <w:bCs/>
          <w:color w:val="000000"/>
          <w:kern w:val="0"/>
          <w:sz w:val="22"/>
          <w:szCs w:val="22"/>
          <w:lang w:val="de-DE" w:eastAsia="en-GB"/>
          <w14:ligatures w14:val="none"/>
        </w:rPr>
        <w:t xml:space="preserve">University </w:t>
      </w:r>
      <w:proofErr w:type="spellStart"/>
      <w:r w:rsidRPr="00983B15">
        <w:rPr>
          <w:rFonts w:ascii="PP Telegraf" w:eastAsia="PP Telegraf" w:hAnsi="PP Telegraf" w:cs="PP Telegraf"/>
          <w:b/>
          <w:bCs/>
          <w:color w:val="000000"/>
          <w:kern w:val="0"/>
          <w:sz w:val="22"/>
          <w:szCs w:val="22"/>
          <w:lang w:val="de-DE" w:eastAsia="en-GB"/>
          <w14:ligatures w14:val="none"/>
        </w:rPr>
        <w:t>of</w:t>
      </w:r>
      <w:proofErr w:type="spellEnd"/>
      <w:r w:rsidRPr="00983B15">
        <w:rPr>
          <w:rFonts w:ascii="PP Telegraf" w:eastAsia="PP Telegraf" w:hAnsi="PP Telegraf" w:cs="PP Telegraf"/>
          <w:b/>
          <w:bCs/>
          <w:color w:val="000000"/>
          <w:kern w:val="0"/>
          <w:sz w:val="22"/>
          <w:szCs w:val="22"/>
          <w:lang w:val="de-DE" w:eastAsia="en-GB"/>
          <w14:ligatures w14:val="none"/>
        </w:rPr>
        <w:t xml:space="preserve"> Oxford </w:t>
      </w:r>
      <w:r w:rsidRPr="00983B15">
        <w:rPr>
          <w:rFonts w:ascii="PP Telegraf" w:eastAsia="PP Telegraf" w:hAnsi="PP Telegraf" w:cs="PP Telegraf"/>
          <w:color w:val="000000"/>
          <w:kern w:val="0"/>
          <w:sz w:val="22"/>
          <w:szCs w:val="22"/>
          <w:lang w:val="de-DE" w:eastAsia="en-GB"/>
          <w14:ligatures w14:val="none"/>
        </w:rPr>
        <w:t>und die</w:t>
      </w:r>
      <w:r w:rsidRPr="00983B15">
        <w:rPr>
          <w:rFonts w:ascii="PP Telegraf" w:eastAsia="PP Telegraf" w:hAnsi="PP Telegraf" w:cs="PP Telegraf"/>
          <w:b/>
          <w:bCs/>
          <w:color w:val="000000"/>
          <w:kern w:val="0"/>
          <w:sz w:val="22"/>
          <w:szCs w:val="22"/>
          <w:lang w:val="de-DE" w:eastAsia="en-GB"/>
          <w14:ligatures w14:val="none"/>
        </w:rPr>
        <w:t xml:space="preserve"> Harvard University </w:t>
      </w:r>
      <w:r w:rsidRPr="00983B15">
        <w:rPr>
          <w:rFonts w:ascii="PP Telegraf" w:eastAsia="PP Telegraf" w:hAnsi="PP Telegraf" w:cs="PP Telegraf"/>
          <w:color w:val="000000"/>
          <w:kern w:val="0"/>
          <w:sz w:val="22"/>
          <w:szCs w:val="22"/>
          <w:lang w:val="de-DE" w:eastAsia="en-GB"/>
          <w14:ligatures w14:val="none"/>
        </w:rPr>
        <w:t xml:space="preserve">belegen weiterhin den vierten bzw. fünften Platz. </w:t>
      </w:r>
    </w:p>
    <w:p w14:paraId="79C67620" w14:textId="77777777" w:rsidR="00C5141A" w:rsidRPr="00983B15" w:rsidRDefault="00C5141A" w:rsidP="00C5141A">
      <w:pPr>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 xml:space="preserve">Neben den USA und Großbritannien sind die Schweiz und Singapur die einzigen anderen Hochschulsysteme, die in den Top 10 vertreten sind: </w:t>
      </w:r>
      <w:r w:rsidRPr="00994E70">
        <w:rPr>
          <w:rFonts w:ascii="PP Telegraf" w:eastAsia="PP Telegraf" w:hAnsi="PP Telegraf" w:cs="PP Telegraf"/>
          <w:color w:val="000000"/>
          <w:kern w:val="0"/>
          <w:sz w:val="22"/>
          <w:szCs w:val="22"/>
          <w:lang w:val="de-DE" w:eastAsia="en-GB"/>
          <w14:ligatures w14:val="none"/>
        </w:rPr>
        <w:t>Die</w:t>
      </w:r>
      <w:r w:rsidRPr="00983B15">
        <w:rPr>
          <w:rFonts w:ascii="PP Telegraf" w:eastAsia="PP Telegraf" w:hAnsi="PP Telegraf" w:cs="PP Telegraf"/>
          <w:b/>
          <w:bCs/>
          <w:color w:val="000000"/>
          <w:kern w:val="0"/>
          <w:sz w:val="22"/>
          <w:szCs w:val="22"/>
          <w:lang w:val="de-DE" w:eastAsia="en-GB"/>
          <w14:ligatures w14:val="none"/>
        </w:rPr>
        <w:t xml:space="preserve"> ETH Zürich </w:t>
      </w:r>
      <w:r w:rsidRPr="00983B15">
        <w:rPr>
          <w:rFonts w:ascii="PP Telegraf" w:eastAsia="PP Telegraf" w:hAnsi="PP Telegraf" w:cs="PP Telegraf"/>
          <w:color w:val="000000"/>
          <w:kern w:val="0"/>
          <w:sz w:val="22"/>
          <w:szCs w:val="22"/>
          <w:lang w:val="de-DE" w:eastAsia="en-GB"/>
          <w14:ligatures w14:val="none"/>
        </w:rPr>
        <w:t xml:space="preserve">belegt den achten Platz (nach dem siebten im Vorjahr) und </w:t>
      </w:r>
      <w:r w:rsidRPr="001C4B49">
        <w:rPr>
          <w:rFonts w:ascii="PP Telegraf" w:eastAsia="PP Telegraf" w:hAnsi="PP Telegraf" w:cs="PP Telegraf"/>
          <w:color w:val="000000"/>
          <w:kern w:val="0"/>
          <w:sz w:val="22"/>
          <w:szCs w:val="22"/>
          <w:lang w:val="de-DE" w:eastAsia="en-GB"/>
          <w14:ligatures w14:val="none"/>
        </w:rPr>
        <w:t>die</w:t>
      </w:r>
      <w:r w:rsidRPr="00983B15">
        <w:rPr>
          <w:rFonts w:ascii="PP Telegraf" w:eastAsia="PP Telegraf" w:hAnsi="PP Telegraf" w:cs="PP Telegraf"/>
          <w:b/>
          <w:bCs/>
          <w:color w:val="000000"/>
          <w:kern w:val="0"/>
          <w:sz w:val="22"/>
          <w:szCs w:val="22"/>
          <w:lang w:val="de-DE" w:eastAsia="en-GB"/>
          <w14:ligatures w14:val="none"/>
        </w:rPr>
        <w:t xml:space="preserve"> National University </w:t>
      </w:r>
      <w:proofErr w:type="spellStart"/>
      <w:r w:rsidRPr="00983B15">
        <w:rPr>
          <w:rFonts w:ascii="PP Telegraf" w:eastAsia="PP Telegraf" w:hAnsi="PP Telegraf" w:cs="PP Telegraf"/>
          <w:b/>
          <w:bCs/>
          <w:color w:val="000000"/>
          <w:kern w:val="0"/>
          <w:sz w:val="22"/>
          <w:szCs w:val="22"/>
          <w:lang w:val="de-DE" w:eastAsia="en-GB"/>
          <w14:ligatures w14:val="none"/>
        </w:rPr>
        <w:t>of</w:t>
      </w:r>
      <w:proofErr w:type="spellEnd"/>
      <w:r w:rsidRPr="00983B15">
        <w:rPr>
          <w:rFonts w:ascii="PP Telegraf" w:eastAsia="PP Telegraf" w:hAnsi="PP Telegraf" w:cs="PP Telegraf"/>
          <w:b/>
          <w:bCs/>
          <w:color w:val="000000"/>
          <w:kern w:val="0"/>
          <w:sz w:val="22"/>
          <w:szCs w:val="22"/>
          <w:lang w:val="de-DE" w:eastAsia="en-GB"/>
          <w14:ligatures w14:val="none"/>
        </w:rPr>
        <w:t xml:space="preserve"> Singapore (NUS) </w:t>
      </w:r>
      <w:r w:rsidRPr="00983B15">
        <w:rPr>
          <w:rFonts w:ascii="PP Telegraf" w:eastAsia="PP Telegraf" w:hAnsi="PP Telegraf" w:cs="PP Telegraf"/>
          <w:color w:val="000000"/>
          <w:kern w:val="0"/>
          <w:sz w:val="22"/>
          <w:szCs w:val="22"/>
          <w:lang w:val="de-DE" w:eastAsia="en-GB"/>
          <w14:ligatures w14:val="none"/>
        </w:rPr>
        <w:t xml:space="preserve">den zehnten Platz (nach dem achten im Vorjahr). </w:t>
      </w:r>
    </w:p>
    <w:p w14:paraId="4DAEA6CB" w14:textId="77777777" w:rsidR="00C5141A" w:rsidRPr="00983B15" w:rsidRDefault="00C5141A" w:rsidP="00C5141A">
      <w:pPr>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 xml:space="preserve">Es gibt keine Neuzugänge unter den globalen Top 10, während </w:t>
      </w:r>
      <w:r w:rsidRPr="001C4B49">
        <w:rPr>
          <w:rFonts w:ascii="PP Telegraf" w:eastAsia="PP Telegraf" w:hAnsi="PP Telegraf" w:cs="PP Telegraf"/>
          <w:color w:val="000000"/>
          <w:kern w:val="0"/>
          <w:sz w:val="22"/>
          <w:szCs w:val="22"/>
          <w:lang w:val="de-DE" w:eastAsia="en-GB"/>
          <w14:ligatures w14:val="none"/>
        </w:rPr>
        <w:t>die</w:t>
      </w:r>
      <w:r w:rsidRPr="00983B15">
        <w:rPr>
          <w:rFonts w:ascii="PP Telegraf" w:eastAsia="PP Telegraf" w:hAnsi="PP Telegraf" w:cs="PP Telegraf"/>
          <w:b/>
          <w:bCs/>
          <w:color w:val="000000"/>
          <w:kern w:val="0"/>
          <w:sz w:val="22"/>
          <w:szCs w:val="22"/>
          <w:lang w:val="de-DE" w:eastAsia="en-GB"/>
          <w14:ligatures w14:val="none"/>
        </w:rPr>
        <w:t xml:space="preserve"> Yale University</w:t>
      </w:r>
      <w:r w:rsidRPr="00983B15">
        <w:rPr>
          <w:rFonts w:ascii="PP Telegraf" w:eastAsia="PP Telegraf" w:hAnsi="PP Telegraf" w:cs="PP Telegraf"/>
          <w:color w:val="000000"/>
          <w:kern w:val="0"/>
          <w:sz w:val="22"/>
          <w:szCs w:val="22"/>
          <w:lang w:val="de-DE" w:eastAsia="en-GB"/>
          <w14:ligatures w14:val="none"/>
        </w:rPr>
        <w:t xml:space="preserve">, </w:t>
      </w:r>
      <w:r w:rsidRPr="001C4B49">
        <w:rPr>
          <w:rFonts w:ascii="PP Telegraf" w:eastAsia="PP Telegraf" w:hAnsi="PP Telegraf" w:cs="PP Telegraf"/>
          <w:color w:val="000000"/>
          <w:kern w:val="0"/>
          <w:sz w:val="22"/>
          <w:szCs w:val="22"/>
          <w:lang w:val="de-DE" w:eastAsia="en-GB"/>
          <w14:ligatures w14:val="none"/>
        </w:rPr>
        <w:t>die</w:t>
      </w:r>
      <w:r w:rsidRPr="00983B15">
        <w:rPr>
          <w:rFonts w:ascii="PP Telegraf" w:eastAsia="PP Telegraf" w:hAnsi="PP Telegraf" w:cs="PP Telegraf"/>
          <w:b/>
          <w:bCs/>
          <w:color w:val="000000"/>
          <w:kern w:val="0"/>
          <w:sz w:val="22"/>
          <w:szCs w:val="22"/>
          <w:lang w:val="de-DE" w:eastAsia="en-GB"/>
          <w14:ligatures w14:val="none"/>
        </w:rPr>
        <w:t xml:space="preserve"> Chinese University </w:t>
      </w:r>
      <w:proofErr w:type="spellStart"/>
      <w:r w:rsidRPr="00983B15">
        <w:rPr>
          <w:rFonts w:ascii="PP Telegraf" w:eastAsia="PP Telegraf" w:hAnsi="PP Telegraf" w:cs="PP Telegraf"/>
          <w:b/>
          <w:bCs/>
          <w:color w:val="000000"/>
          <w:kern w:val="0"/>
          <w:sz w:val="22"/>
          <w:szCs w:val="22"/>
          <w:lang w:val="de-DE" w:eastAsia="en-GB"/>
          <w14:ligatures w14:val="none"/>
        </w:rPr>
        <w:t>of</w:t>
      </w:r>
      <w:proofErr w:type="spellEnd"/>
      <w:r w:rsidRPr="00983B15">
        <w:rPr>
          <w:rFonts w:ascii="PP Telegraf" w:eastAsia="PP Telegraf" w:hAnsi="PP Telegraf" w:cs="PP Telegraf"/>
          <w:b/>
          <w:bCs/>
          <w:color w:val="000000"/>
          <w:kern w:val="0"/>
          <w:sz w:val="22"/>
          <w:szCs w:val="22"/>
          <w:lang w:val="de-DE" w:eastAsia="en-GB"/>
          <w14:ligatures w14:val="none"/>
        </w:rPr>
        <w:t xml:space="preserve"> Hong Kong </w:t>
      </w:r>
      <w:r w:rsidRPr="00983B15">
        <w:rPr>
          <w:rFonts w:ascii="PP Telegraf" w:eastAsia="PP Telegraf" w:hAnsi="PP Telegraf" w:cs="PP Telegraf"/>
          <w:color w:val="000000"/>
          <w:kern w:val="0"/>
          <w:sz w:val="22"/>
          <w:szCs w:val="22"/>
          <w:lang w:val="de-DE" w:eastAsia="en-GB"/>
          <w14:ligatures w14:val="none"/>
        </w:rPr>
        <w:t xml:space="preserve">und </w:t>
      </w:r>
      <w:r w:rsidRPr="001C4B49">
        <w:rPr>
          <w:rFonts w:ascii="PP Telegraf" w:eastAsia="PP Telegraf" w:hAnsi="PP Telegraf" w:cs="PP Telegraf"/>
          <w:color w:val="000000"/>
          <w:kern w:val="0"/>
          <w:sz w:val="22"/>
          <w:szCs w:val="22"/>
          <w:lang w:val="de-DE" w:eastAsia="en-GB"/>
          <w14:ligatures w14:val="none"/>
        </w:rPr>
        <w:t>die</w:t>
      </w:r>
      <w:r w:rsidRPr="00983B15">
        <w:rPr>
          <w:rFonts w:ascii="PP Telegraf" w:eastAsia="PP Telegraf" w:hAnsi="PP Telegraf" w:cs="PP Telegraf"/>
          <w:b/>
          <w:bCs/>
          <w:color w:val="000000"/>
          <w:kern w:val="0"/>
          <w:sz w:val="22"/>
          <w:szCs w:val="22"/>
          <w:lang w:val="de-DE" w:eastAsia="en-GB"/>
          <w14:ligatures w14:val="none"/>
        </w:rPr>
        <w:t xml:space="preserve"> Johns Hopkins University </w:t>
      </w:r>
      <w:r w:rsidRPr="00983B15">
        <w:rPr>
          <w:rFonts w:ascii="PP Telegraf" w:eastAsia="PP Telegraf" w:hAnsi="PP Telegraf" w:cs="PP Telegraf"/>
          <w:color w:val="000000"/>
          <w:kern w:val="0"/>
          <w:sz w:val="22"/>
          <w:szCs w:val="22"/>
          <w:lang w:val="de-DE" w:eastAsia="en-GB"/>
          <w14:ligatures w14:val="none"/>
        </w:rPr>
        <w:t xml:space="preserve">in die Top 20 vorstoßen und </w:t>
      </w:r>
      <w:r>
        <w:rPr>
          <w:rFonts w:ascii="PP Telegraf" w:eastAsia="PP Telegraf" w:hAnsi="PP Telegraf" w:cs="PP Telegraf"/>
          <w:color w:val="000000"/>
          <w:kern w:val="0"/>
          <w:sz w:val="22"/>
          <w:szCs w:val="22"/>
          <w:lang w:val="de-DE" w:eastAsia="en-GB"/>
          <w14:ligatures w14:val="none"/>
        </w:rPr>
        <w:t>die Plätze</w:t>
      </w:r>
      <w:r w:rsidRPr="00983B15">
        <w:rPr>
          <w:rFonts w:ascii="PP Telegraf" w:eastAsia="PP Telegraf" w:hAnsi="PP Telegraf" w:cs="PP Telegraf"/>
          <w:color w:val="000000"/>
          <w:kern w:val="0"/>
          <w:sz w:val="22"/>
          <w:szCs w:val="22"/>
          <w:lang w:val="de-DE" w:eastAsia="en-GB"/>
          <w14:ligatures w14:val="none"/>
        </w:rPr>
        <w:t xml:space="preserve"> 16, 18 bzw. 20 belegen. </w:t>
      </w:r>
    </w:p>
    <w:p w14:paraId="4041910A" w14:textId="77777777" w:rsidR="00C5141A" w:rsidRPr="00983B15" w:rsidRDefault="00C5141A" w:rsidP="00C5141A">
      <w:pPr>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 xml:space="preserve">Die Vereinigten Staaten sind mit 184 gelisteten Universitäten das am stärksten vertretene Hochschulsystem, gefolgt vom Vereinigten Königreich mit 93 und </w:t>
      </w:r>
      <w:r>
        <w:rPr>
          <w:rFonts w:ascii="PP Telegraf" w:eastAsia="PP Telegraf" w:hAnsi="PP Telegraf" w:cs="PP Telegraf"/>
          <w:color w:val="000000"/>
          <w:kern w:val="0"/>
          <w:sz w:val="22"/>
          <w:szCs w:val="22"/>
          <w:lang w:val="de-DE" w:eastAsia="en-GB"/>
          <w14:ligatures w14:val="none"/>
        </w:rPr>
        <w:t>C</w:t>
      </w:r>
      <w:r w:rsidRPr="00983B15">
        <w:rPr>
          <w:rFonts w:ascii="PP Telegraf" w:eastAsia="PP Telegraf" w:hAnsi="PP Telegraf" w:cs="PP Telegraf"/>
          <w:color w:val="000000"/>
          <w:kern w:val="0"/>
          <w:sz w:val="22"/>
          <w:szCs w:val="22"/>
          <w:lang w:val="de-DE" w:eastAsia="en-GB"/>
          <w14:ligatures w14:val="none"/>
        </w:rPr>
        <w:t xml:space="preserve">hina mit 85. Festlandchina verzeichnet mit 13 neuen Einrichtungen die meisten Neuzugänge, gefolgt von Deutschland mit </w:t>
      </w:r>
      <w:r>
        <w:rPr>
          <w:rFonts w:ascii="PP Telegraf" w:eastAsia="PP Telegraf" w:hAnsi="PP Telegraf" w:cs="PP Telegraf"/>
          <w:color w:val="000000"/>
          <w:kern w:val="0"/>
          <w:sz w:val="22"/>
          <w:szCs w:val="22"/>
          <w:lang w:val="de-DE" w:eastAsia="en-GB"/>
          <w14:ligatures w14:val="none"/>
        </w:rPr>
        <w:t>elf</w:t>
      </w:r>
      <w:r w:rsidRPr="00983B15">
        <w:rPr>
          <w:rFonts w:ascii="PP Telegraf" w:eastAsia="PP Telegraf" w:hAnsi="PP Telegraf" w:cs="PP Telegraf"/>
          <w:color w:val="000000"/>
          <w:kern w:val="0"/>
          <w:sz w:val="22"/>
          <w:szCs w:val="22"/>
          <w:lang w:val="de-DE" w:eastAsia="en-GB"/>
          <w14:ligatures w14:val="none"/>
        </w:rPr>
        <w:t xml:space="preserve"> und Spanien mit</w:t>
      </w:r>
      <w:r>
        <w:rPr>
          <w:rFonts w:ascii="PP Telegraf" w:eastAsia="PP Telegraf" w:hAnsi="PP Telegraf" w:cs="PP Telegraf"/>
          <w:color w:val="000000"/>
          <w:kern w:val="0"/>
          <w:sz w:val="22"/>
          <w:szCs w:val="22"/>
          <w:lang w:val="de-DE" w:eastAsia="en-GB"/>
          <w14:ligatures w14:val="none"/>
        </w:rPr>
        <w:t xml:space="preserve"> zehn Universitäten</w:t>
      </w:r>
      <w:r w:rsidRPr="00983B15">
        <w:rPr>
          <w:rFonts w:ascii="PP Telegraf" w:eastAsia="PP Telegraf" w:hAnsi="PP Telegraf" w:cs="PP Telegraf"/>
          <w:color w:val="000000"/>
          <w:kern w:val="0"/>
          <w:sz w:val="22"/>
          <w:szCs w:val="22"/>
          <w:lang w:val="de-DE" w:eastAsia="en-GB"/>
          <w14:ligatures w14:val="none"/>
        </w:rPr>
        <w:t xml:space="preserve">. </w:t>
      </w:r>
    </w:p>
    <w:tbl>
      <w:tblPr>
        <w:tblW w:w="72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1110"/>
        <w:gridCol w:w="3195"/>
        <w:gridCol w:w="1965"/>
      </w:tblGrid>
      <w:tr w:rsidR="00C5141A" w:rsidRPr="0063356B" w14:paraId="18D71B5E" w14:textId="77777777" w:rsidTr="00274428">
        <w:trPr>
          <w:trHeight w:val="285"/>
          <w:jc w:val="center"/>
        </w:trPr>
        <w:tc>
          <w:tcPr>
            <w:tcW w:w="7245" w:type="dxa"/>
            <w:gridSpan w:val="4"/>
            <w:tcBorders>
              <w:top w:val="single" w:sz="6" w:space="0" w:color="auto"/>
              <w:left w:val="single" w:sz="6" w:space="0" w:color="auto"/>
              <w:bottom w:val="single" w:sz="6" w:space="0" w:color="auto"/>
              <w:right w:val="single" w:sz="6" w:space="0" w:color="auto"/>
            </w:tcBorders>
            <w:vAlign w:val="bottom"/>
            <w:hideMark/>
          </w:tcPr>
          <w:p w14:paraId="2E65F790"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b/>
                <w:bCs/>
                <w:kern w:val="0"/>
                <w:sz w:val="20"/>
                <w:szCs w:val="20"/>
                <w:lang w:eastAsia="en-GB"/>
                <w14:ligatures w14:val="none"/>
              </w:rPr>
              <w:t>Tabelle</w:t>
            </w:r>
            <w:proofErr w:type="spellEnd"/>
            <w:r w:rsidRPr="468DEF39">
              <w:rPr>
                <w:rFonts w:ascii="PP Telegraf" w:eastAsia="PP Telegraf" w:hAnsi="PP Telegraf" w:cs="PP Telegraf"/>
                <w:b/>
                <w:bCs/>
                <w:kern w:val="0"/>
                <w:sz w:val="20"/>
                <w:szCs w:val="20"/>
                <w:lang w:eastAsia="en-GB"/>
                <w14:ligatures w14:val="none"/>
              </w:rPr>
              <w:t xml:space="preserve"> 5: </w:t>
            </w:r>
            <w:proofErr w:type="spellStart"/>
            <w:r w:rsidRPr="468DEF39">
              <w:rPr>
                <w:rFonts w:ascii="PP Telegraf" w:eastAsia="PP Telegraf" w:hAnsi="PP Telegraf" w:cs="PP Telegraf"/>
                <w:b/>
                <w:bCs/>
                <w:kern w:val="0"/>
                <w:sz w:val="20"/>
                <w:szCs w:val="20"/>
                <w:lang w:eastAsia="en-GB"/>
                <w14:ligatures w14:val="none"/>
              </w:rPr>
              <w:t>Globale</w:t>
            </w:r>
            <w:proofErr w:type="spellEnd"/>
            <w:r w:rsidRPr="468DEF39">
              <w:rPr>
                <w:rFonts w:ascii="PP Telegraf" w:eastAsia="PP Telegraf" w:hAnsi="PP Telegraf" w:cs="PP Telegraf"/>
                <w:b/>
                <w:bCs/>
                <w:kern w:val="0"/>
                <w:sz w:val="20"/>
                <w:szCs w:val="20"/>
                <w:lang w:eastAsia="en-GB"/>
                <w14:ligatures w14:val="none"/>
              </w:rPr>
              <w:t xml:space="preserve"> Top 10 </w:t>
            </w:r>
          </w:p>
        </w:tc>
      </w:tr>
      <w:tr w:rsidR="00C5141A" w:rsidRPr="0063356B" w14:paraId="34C79B53" w14:textId="77777777" w:rsidTr="00274428">
        <w:trPr>
          <w:trHeight w:val="285"/>
          <w:jc w:val="center"/>
        </w:trPr>
        <w:tc>
          <w:tcPr>
            <w:tcW w:w="975" w:type="dxa"/>
            <w:tcBorders>
              <w:top w:val="single" w:sz="6" w:space="0" w:color="auto"/>
              <w:left w:val="single" w:sz="6" w:space="0" w:color="auto"/>
              <w:bottom w:val="single" w:sz="6" w:space="0" w:color="auto"/>
              <w:right w:val="single" w:sz="6" w:space="0" w:color="auto"/>
            </w:tcBorders>
            <w:vAlign w:val="center"/>
            <w:hideMark/>
          </w:tcPr>
          <w:p w14:paraId="0F41A6A4"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Rang 2027 </w:t>
            </w:r>
          </w:p>
        </w:tc>
        <w:tc>
          <w:tcPr>
            <w:tcW w:w="1110" w:type="dxa"/>
            <w:tcBorders>
              <w:top w:val="nil"/>
              <w:left w:val="single" w:sz="6" w:space="0" w:color="auto"/>
              <w:bottom w:val="single" w:sz="6" w:space="0" w:color="auto"/>
              <w:right w:val="single" w:sz="6" w:space="0" w:color="auto"/>
            </w:tcBorders>
            <w:vAlign w:val="center"/>
            <w:hideMark/>
          </w:tcPr>
          <w:p w14:paraId="64A28B9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Rang 2026 </w:t>
            </w:r>
          </w:p>
        </w:tc>
        <w:tc>
          <w:tcPr>
            <w:tcW w:w="3195" w:type="dxa"/>
            <w:tcBorders>
              <w:top w:val="nil"/>
              <w:left w:val="single" w:sz="6" w:space="0" w:color="auto"/>
              <w:bottom w:val="single" w:sz="6" w:space="0" w:color="auto"/>
              <w:right w:val="single" w:sz="6" w:space="0" w:color="auto"/>
            </w:tcBorders>
            <w:vAlign w:val="center"/>
            <w:hideMark/>
          </w:tcPr>
          <w:p w14:paraId="4AD2DC0D"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b/>
                <w:bCs/>
                <w:kern w:val="0"/>
                <w:sz w:val="16"/>
                <w:szCs w:val="16"/>
                <w:lang w:eastAsia="en-GB"/>
                <w14:ligatures w14:val="none"/>
              </w:rPr>
              <w:t>Einrichtung</w:t>
            </w:r>
            <w:proofErr w:type="spellEnd"/>
            <w:r w:rsidRPr="468DEF39">
              <w:rPr>
                <w:rFonts w:ascii="PP Telegraf" w:eastAsia="PP Telegraf" w:hAnsi="PP Telegraf" w:cs="PP Telegraf"/>
                <w:b/>
                <w:bCs/>
                <w:kern w:val="0"/>
                <w:sz w:val="16"/>
                <w:szCs w:val="16"/>
                <w:lang w:eastAsia="en-GB"/>
                <w14:ligatures w14:val="none"/>
              </w:rPr>
              <w:t xml:space="preserve"> </w:t>
            </w:r>
          </w:p>
        </w:tc>
        <w:tc>
          <w:tcPr>
            <w:tcW w:w="1965" w:type="dxa"/>
            <w:tcBorders>
              <w:top w:val="nil"/>
              <w:left w:val="single" w:sz="6" w:space="0" w:color="auto"/>
              <w:bottom w:val="single" w:sz="6" w:space="0" w:color="auto"/>
              <w:right w:val="single" w:sz="6" w:space="0" w:color="auto"/>
            </w:tcBorders>
            <w:vAlign w:val="center"/>
            <w:hideMark/>
          </w:tcPr>
          <w:p w14:paraId="1650CCA5"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b/>
                <w:bCs/>
                <w:kern w:val="0"/>
                <w:sz w:val="16"/>
                <w:szCs w:val="16"/>
                <w:lang w:eastAsia="en-GB"/>
                <w14:ligatures w14:val="none"/>
              </w:rPr>
              <w:t>Standort</w:t>
            </w:r>
            <w:proofErr w:type="spellEnd"/>
            <w:r w:rsidRPr="468DEF39">
              <w:rPr>
                <w:rFonts w:ascii="PP Telegraf" w:eastAsia="PP Telegraf" w:hAnsi="PP Telegraf" w:cs="PP Telegraf"/>
                <w:b/>
                <w:bCs/>
                <w:kern w:val="0"/>
                <w:sz w:val="16"/>
                <w:szCs w:val="16"/>
                <w:lang w:eastAsia="en-GB"/>
                <w14:ligatures w14:val="none"/>
              </w:rPr>
              <w:t xml:space="preserve"> </w:t>
            </w:r>
          </w:p>
        </w:tc>
      </w:tr>
      <w:tr w:rsidR="00C5141A" w:rsidRPr="0063356B" w14:paraId="6C3337B3" w14:textId="77777777" w:rsidTr="00274428">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689EA0A2"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1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28854CC1"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1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1CDE6327"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Massachusetts Institute of Technology (MIT)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1A8E9D3F"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Vereinigte </w:t>
            </w:r>
            <w:proofErr w:type="spellStart"/>
            <w:r w:rsidRPr="468DEF39">
              <w:rPr>
                <w:rFonts w:ascii="PP Telegraf" w:eastAsia="PP Telegraf" w:hAnsi="PP Telegraf" w:cs="PP Telegraf"/>
                <w:kern w:val="0"/>
                <w:sz w:val="16"/>
                <w:szCs w:val="16"/>
                <w:lang w:eastAsia="en-GB"/>
                <w14:ligatures w14:val="none"/>
              </w:rPr>
              <w:t>Staaten</w:t>
            </w:r>
            <w:proofErr w:type="spellEnd"/>
            <w:r w:rsidRPr="468DEF39">
              <w:rPr>
                <w:rFonts w:ascii="PP Telegraf" w:eastAsia="PP Telegraf" w:hAnsi="PP Telegraf" w:cs="PP Telegraf"/>
                <w:kern w:val="0"/>
                <w:sz w:val="16"/>
                <w:szCs w:val="16"/>
                <w:lang w:eastAsia="en-GB"/>
                <w14:ligatures w14:val="none"/>
              </w:rPr>
              <w:t xml:space="preserve"> von Amerika </w:t>
            </w:r>
          </w:p>
        </w:tc>
      </w:tr>
      <w:tr w:rsidR="00C5141A" w:rsidRPr="0063356B" w14:paraId="17635145" w14:textId="77777777" w:rsidTr="00274428">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03ECC89D"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2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2DD8E8CE"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3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75680265"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Stanford University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3230DB8C"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Vereinigte </w:t>
            </w:r>
            <w:proofErr w:type="spellStart"/>
            <w:r w:rsidRPr="468DEF39">
              <w:rPr>
                <w:rFonts w:ascii="PP Telegraf" w:eastAsia="PP Telegraf" w:hAnsi="PP Telegraf" w:cs="PP Telegraf"/>
                <w:kern w:val="0"/>
                <w:sz w:val="16"/>
                <w:szCs w:val="16"/>
                <w:lang w:eastAsia="en-GB"/>
                <w14:ligatures w14:val="none"/>
              </w:rPr>
              <w:t>Staaten</w:t>
            </w:r>
            <w:proofErr w:type="spellEnd"/>
            <w:r w:rsidRPr="468DEF39">
              <w:rPr>
                <w:rFonts w:ascii="PP Telegraf" w:eastAsia="PP Telegraf" w:hAnsi="PP Telegraf" w:cs="PP Telegraf"/>
                <w:kern w:val="0"/>
                <w:sz w:val="16"/>
                <w:szCs w:val="16"/>
                <w:lang w:eastAsia="en-GB"/>
                <w14:ligatures w14:val="none"/>
              </w:rPr>
              <w:t xml:space="preserve"> von Amerika </w:t>
            </w:r>
          </w:p>
        </w:tc>
      </w:tr>
      <w:tr w:rsidR="00C5141A" w:rsidRPr="0063356B" w14:paraId="26022A7A" w14:textId="77777777" w:rsidTr="00274428">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58317B83"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2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7D5C3A4F"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2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5635F437"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Imperial College London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6EE6C435"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kern w:val="0"/>
                <w:sz w:val="16"/>
                <w:szCs w:val="16"/>
                <w:lang w:eastAsia="en-GB"/>
                <w14:ligatures w14:val="none"/>
              </w:rPr>
              <w:t>Vereinigtes</w:t>
            </w:r>
            <w:proofErr w:type="spellEnd"/>
            <w:r w:rsidRPr="468DEF39">
              <w:rPr>
                <w:rFonts w:ascii="PP Telegraf" w:eastAsia="PP Telegraf" w:hAnsi="PP Telegraf" w:cs="PP Telegraf"/>
                <w:kern w:val="0"/>
                <w:sz w:val="16"/>
                <w:szCs w:val="16"/>
                <w:lang w:eastAsia="en-GB"/>
                <w14:ligatures w14:val="none"/>
              </w:rPr>
              <w:t xml:space="preserve"> </w:t>
            </w:r>
            <w:proofErr w:type="spellStart"/>
            <w:r w:rsidRPr="468DEF39">
              <w:rPr>
                <w:rFonts w:ascii="PP Telegraf" w:eastAsia="PP Telegraf" w:hAnsi="PP Telegraf" w:cs="PP Telegraf"/>
                <w:kern w:val="0"/>
                <w:sz w:val="16"/>
                <w:szCs w:val="16"/>
                <w:lang w:eastAsia="en-GB"/>
                <w14:ligatures w14:val="none"/>
              </w:rPr>
              <w:t>Königreich</w:t>
            </w:r>
            <w:proofErr w:type="spellEnd"/>
            <w:r w:rsidRPr="468DEF39">
              <w:rPr>
                <w:rFonts w:ascii="PP Telegraf" w:eastAsia="PP Telegraf" w:hAnsi="PP Telegraf" w:cs="PP Telegraf"/>
                <w:kern w:val="0"/>
                <w:sz w:val="16"/>
                <w:szCs w:val="16"/>
                <w:lang w:eastAsia="en-GB"/>
                <w14:ligatures w14:val="none"/>
              </w:rPr>
              <w:t xml:space="preserve"> </w:t>
            </w:r>
          </w:p>
        </w:tc>
      </w:tr>
      <w:tr w:rsidR="00C5141A" w:rsidRPr="0063356B" w14:paraId="4B65BFCA" w14:textId="77777777" w:rsidTr="00274428">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3C2462A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4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5AE9CD27"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4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56703040"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Universität Oxford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28F7F459"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kern w:val="0"/>
                <w:sz w:val="16"/>
                <w:szCs w:val="16"/>
                <w:lang w:eastAsia="en-GB"/>
                <w14:ligatures w14:val="none"/>
              </w:rPr>
              <w:t>Vereinigtes</w:t>
            </w:r>
            <w:proofErr w:type="spellEnd"/>
            <w:r w:rsidRPr="468DEF39">
              <w:rPr>
                <w:rFonts w:ascii="PP Telegraf" w:eastAsia="PP Telegraf" w:hAnsi="PP Telegraf" w:cs="PP Telegraf"/>
                <w:kern w:val="0"/>
                <w:sz w:val="16"/>
                <w:szCs w:val="16"/>
                <w:lang w:eastAsia="en-GB"/>
                <w14:ligatures w14:val="none"/>
              </w:rPr>
              <w:t xml:space="preserve"> </w:t>
            </w:r>
            <w:proofErr w:type="spellStart"/>
            <w:r w:rsidRPr="468DEF39">
              <w:rPr>
                <w:rFonts w:ascii="PP Telegraf" w:eastAsia="PP Telegraf" w:hAnsi="PP Telegraf" w:cs="PP Telegraf"/>
                <w:kern w:val="0"/>
                <w:sz w:val="16"/>
                <w:szCs w:val="16"/>
                <w:lang w:eastAsia="en-GB"/>
                <w14:ligatures w14:val="none"/>
              </w:rPr>
              <w:t>Königreich</w:t>
            </w:r>
            <w:proofErr w:type="spellEnd"/>
            <w:r w:rsidRPr="468DEF39">
              <w:rPr>
                <w:rFonts w:ascii="PP Telegraf" w:eastAsia="PP Telegraf" w:hAnsi="PP Telegraf" w:cs="PP Telegraf"/>
                <w:kern w:val="0"/>
                <w:sz w:val="16"/>
                <w:szCs w:val="16"/>
                <w:lang w:eastAsia="en-GB"/>
                <w14:ligatures w14:val="none"/>
              </w:rPr>
              <w:t xml:space="preserve"> </w:t>
            </w:r>
          </w:p>
        </w:tc>
      </w:tr>
      <w:tr w:rsidR="00C5141A" w:rsidRPr="0063356B" w14:paraId="67B29B2F" w14:textId="77777777" w:rsidTr="00274428">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197B90D6"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5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34701D2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5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4C1B894E"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Harvard-Universität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576F6640"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Vereinigte </w:t>
            </w:r>
            <w:proofErr w:type="spellStart"/>
            <w:r w:rsidRPr="468DEF39">
              <w:rPr>
                <w:rFonts w:ascii="PP Telegraf" w:eastAsia="PP Telegraf" w:hAnsi="PP Telegraf" w:cs="PP Telegraf"/>
                <w:kern w:val="0"/>
                <w:sz w:val="16"/>
                <w:szCs w:val="16"/>
                <w:lang w:eastAsia="en-GB"/>
                <w14:ligatures w14:val="none"/>
              </w:rPr>
              <w:t>Staaten</w:t>
            </w:r>
            <w:proofErr w:type="spellEnd"/>
            <w:r w:rsidRPr="468DEF39">
              <w:rPr>
                <w:rFonts w:ascii="PP Telegraf" w:eastAsia="PP Telegraf" w:hAnsi="PP Telegraf" w:cs="PP Telegraf"/>
                <w:kern w:val="0"/>
                <w:sz w:val="16"/>
                <w:szCs w:val="16"/>
                <w:lang w:eastAsia="en-GB"/>
                <w14:ligatures w14:val="none"/>
              </w:rPr>
              <w:t xml:space="preserve"> von Amerika </w:t>
            </w:r>
          </w:p>
        </w:tc>
      </w:tr>
      <w:tr w:rsidR="00C5141A" w:rsidRPr="0063356B" w14:paraId="395E835D" w14:textId="77777777" w:rsidTr="00274428">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49F85688"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6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571C6DEE"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6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78B22B15"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Universität Cambridge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662BCCD9"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kern w:val="0"/>
                <w:sz w:val="16"/>
                <w:szCs w:val="16"/>
                <w:lang w:eastAsia="en-GB"/>
                <w14:ligatures w14:val="none"/>
              </w:rPr>
              <w:t>Vereinigtes</w:t>
            </w:r>
            <w:proofErr w:type="spellEnd"/>
            <w:r w:rsidRPr="468DEF39">
              <w:rPr>
                <w:rFonts w:ascii="PP Telegraf" w:eastAsia="PP Telegraf" w:hAnsi="PP Telegraf" w:cs="PP Telegraf"/>
                <w:kern w:val="0"/>
                <w:sz w:val="16"/>
                <w:szCs w:val="16"/>
                <w:lang w:eastAsia="en-GB"/>
                <w14:ligatures w14:val="none"/>
              </w:rPr>
              <w:t xml:space="preserve"> </w:t>
            </w:r>
            <w:proofErr w:type="spellStart"/>
            <w:r w:rsidRPr="468DEF39">
              <w:rPr>
                <w:rFonts w:ascii="PP Telegraf" w:eastAsia="PP Telegraf" w:hAnsi="PP Telegraf" w:cs="PP Telegraf"/>
                <w:kern w:val="0"/>
                <w:sz w:val="16"/>
                <w:szCs w:val="16"/>
                <w:lang w:eastAsia="en-GB"/>
                <w14:ligatures w14:val="none"/>
              </w:rPr>
              <w:t>Königreich</w:t>
            </w:r>
            <w:proofErr w:type="spellEnd"/>
            <w:r w:rsidRPr="468DEF39">
              <w:rPr>
                <w:rFonts w:ascii="PP Telegraf" w:eastAsia="PP Telegraf" w:hAnsi="PP Telegraf" w:cs="PP Telegraf"/>
                <w:kern w:val="0"/>
                <w:sz w:val="16"/>
                <w:szCs w:val="16"/>
                <w:lang w:eastAsia="en-GB"/>
                <w14:ligatures w14:val="none"/>
              </w:rPr>
              <w:t xml:space="preserve"> </w:t>
            </w:r>
          </w:p>
        </w:tc>
      </w:tr>
      <w:tr w:rsidR="00C5141A" w:rsidRPr="0063356B" w14:paraId="25717139" w14:textId="77777777" w:rsidTr="00274428">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79E25B27"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7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7BCFD53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10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6F34588E"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California Institute of Technology (Caltech)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46361FDE"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Vereinigte </w:t>
            </w:r>
            <w:proofErr w:type="spellStart"/>
            <w:r w:rsidRPr="468DEF39">
              <w:rPr>
                <w:rFonts w:ascii="PP Telegraf" w:eastAsia="PP Telegraf" w:hAnsi="PP Telegraf" w:cs="PP Telegraf"/>
                <w:kern w:val="0"/>
                <w:sz w:val="16"/>
                <w:szCs w:val="16"/>
                <w:lang w:eastAsia="en-GB"/>
                <w14:ligatures w14:val="none"/>
              </w:rPr>
              <w:t>Staaten</w:t>
            </w:r>
            <w:proofErr w:type="spellEnd"/>
            <w:r w:rsidRPr="468DEF39">
              <w:rPr>
                <w:rFonts w:ascii="PP Telegraf" w:eastAsia="PP Telegraf" w:hAnsi="PP Telegraf" w:cs="PP Telegraf"/>
                <w:kern w:val="0"/>
                <w:sz w:val="16"/>
                <w:szCs w:val="16"/>
                <w:lang w:eastAsia="en-GB"/>
                <w14:ligatures w14:val="none"/>
              </w:rPr>
              <w:t xml:space="preserve"> von Amerika </w:t>
            </w:r>
          </w:p>
        </w:tc>
      </w:tr>
      <w:tr w:rsidR="00C5141A" w:rsidRPr="0063356B" w14:paraId="2EC3E415" w14:textId="77777777" w:rsidTr="00274428">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0C116EED"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8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13D93E10"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9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102E95A0"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UCL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662EDC3C"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kern w:val="0"/>
                <w:sz w:val="16"/>
                <w:szCs w:val="16"/>
                <w:lang w:eastAsia="en-GB"/>
                <w14:ligatures w14:val="none"/>
              </w:rPr>
              <w:t>Vereinigtes</w:t>
            </w:r>
            <w:proofErr w:type="spellEnd"/>
            <w:r w:rsidRPr="468DEF39">
              <w:rPr>
                <w:rFonts w:ascii="PP Telegraf" w:eastAsia="PP Telegraf" w:hAnsi="PP Telegraf" w:cs="PP Telegraf"/>
                <w:kern w:val="0"/>
                <w:sz w:val="16"/>
                <w:szCs w:val="16"/>
                <w:lang w:eastAsia="en-GB"/>
                <w14:ligatures w14:val="none"/>
              </w:rPr>
              <w:t xml:space="preserve"> </w:t>
            </w:r>
            <w:proofErr w:type="spellStart"/>
            <w:r w:rsidRPr="468DEF39">
              <w:rPr>
                <w:rFonts w:ascii="PP Telegraf" w:eastAsia="PP Telegraf" w:hAnsi="PP Telegraf" w:cs="PP Telegraf"/>
                <w:kern w:val="0"/>
                <w:sz w:val="16"/>
                <w:szCs w:val="16"/>
                <w:lang w:eastAsia="en-GB"/>
                <w14:ligatures w14:val="none"/>
              </w:rPr>
              <w:t>Königreich</w:t>
            </w:r>
            <w:proofErr w:type="spellEnd"/>
            <w:r w:rsidRPr="468DEF39">
              <w:rPr>
                <w:rFonts w:ascii="PP Telegraf" w:eastAsia="PP Telegraf" w:hAnsi="PP Telegraf" w:cs="PP Telegraf"/>
                <w:kern w:val="0"/>
                <w:sz w:val="16"/>
                <w:szCs w:val="16"/>
                <w:lang w:eastAsia="en-GB"/>
                <w14:ligatures w14:val="none"/>
              </w:rPr>
              <w:t xml:space="preserve"> </w:t>
            </w:r>
          </w:p>
        </w:tc>
      </w:tr>
      <w:tr w:rsidR="00C5141A" w:rsidRPr="0063356B" w14:paraId="3D04F165" w14:textId="77777777" w:rsidTr="00274428">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2C11BDE4"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8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3FAE9983"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7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28440D95"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ETH Zürich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55C9E28C"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Schweiz </w:t>
            </w:r>
          </w:p>
        </w:tc>
      </w:tr>
      <w:tr w:rsidR="00C5141A" w:rsidRPr="0063356B" w14:paraId="5CB92598" w14:textId="77777777" w:rsidTr="00274428">
        <w:trPr>
          <w:trHeight w:val="285"/>
          <w:jc w:val="center"/>
        </w:trPr>
        <w:tc>
          <w:tcPr>
            <w:tcW w:w="975" w:type="dxa"/>
            <w:tcBorders>
              <w:top w:val="single" w:sz="6" w:space="0" w:color="auto"/>
              <w:left w:val="single" w:sz="6" w:space="0" w:color="auto"/>
              <w:bottom w:val="single" w:sz="6" w:space="0" w:color="auto"/>
              <w:right w:val="single" w:sz="6" w:space="0" w:color="auto"/>
            </w:tcBorders>
            <w:vAlign w:val="bottom"/>
            <w:hideMark/>
          </w:tcPr>
          <w:p w14:paraId="01AD960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kern w:val="0"/>
                <w:sz w:val="16"/>
                <w:szCs w:val="16"/>
                <w:lang w:eastAsia="en-GB"/>
                <w14:ligatures w14:val="none"/>
              </w:rPr>
              <w:t xml:space="preserve">10 </w:t>
            </w:r>
          </w:p>
        </w:tc>
        <w:tc>
          <w:tcPr>
            <w:tcW w:w="1110" w:type="dxa"/>
            <w:tcBorders>
              <w:top w:val="single" w:sz="6" w:space="0" w:color="auto"/>
              <w:left w:val="single" w:sz="6" w:space="0" w:color="auto"/>
              <w:bottom w:val="single" w:sz="6" w:space="0" w:color="auto"/>
              <w:right w:val="single" w:sz="6" w:space="0" w:color="auto"/>
            </w:tcBorders>
            <w:vAlign w:val="bottom"/>
            <w:hideMark/>
          </w:tcPr>
          <w:p w14:paraId="7B62027A"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8 </w:t>
            </w:r>
          </w:p>
        </w:tc>
        <w:tc>
          <w:tcPr>
            <w:tcW w:w="3195" w:type="dxa"/>
            <w:tcBorders>
              <w:top w:val="single" w:sz="6" w:space="0" w:color="auto"/>
              <w:left w:val="single" w:sz="6" w:space="0" w:color="auto"/>
              <w:bottom w:val="single" w:sz="6" w:space="0" w:color="auto"/>
              <w:right w:val="single" w:sz="6" w:space="0" w:color="auto"/>
            </w:tcBorders>
            <w:vAlign w:val="bottom"/>
            <w:hideMark/>
          </w:tcPr>
          <w:p w14:paraId="7A060465"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kern w:val="0"/>
                <w:sz w:val="16"/>
                <w:szCs w:val="16"/>
                <w:lang w:eastAsia="en-GB"/>
                <w14:ligatures w14:val="none"/>
              </w:rPr>
              <w:t xml:space="preserve">National University of Singapore (NUS) </w:t>
            </w:r>
          </w:p>
        </w:tc>
        <w:tc>
          <w:tcPr>
            <w:tcW w:w="1965" w:type="dxa"/>
            <w:tcBorders>
              <w:top w:val="single" w:sz="6" w:space="0" w:color="auto"/>
              <w:left w:val="single" w:sz="6" w:space="0" w:color="auto"/>
              <w:bottom w:val="single" w:sz="6" w:space="0" w:color="auto"/>
              <w:right w:val="single" w:sz="6" w:space="0" w:color="auto"/>
            </w:tcBorders>
            <w:vAlign w:val="bottom"/>
            <w:hideMark/>
          </w:tcPr>
          <w:p w14:paraId="53E39432"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kern w:val="0"/>
                <w:sz w:val="16"/>
                <w:szCs w:val="16"/>
                <w:lang w:eastAsia="en-GB"/>
                <w14:ligatures w14:val="none"/>
              </w:rPr>
              <w:t>Singapur</w:t>
            </w:r>
            <w:proofErr w:type="spellEnd"/>
            <w:r w:rsidRPr="468DEF39">
              <w:rPr>
                <w:rFonts w:ascii="PP Telegraf" w:eastAsia="PP Telegraf" w:hAnsi="PP Telegraf" w:cs="PP Telegraf"/>
                <w:kern w:val="0"/>
                <w:sz w:val="16"/>
                <w:szCs w:val="16"/>
                <w:lang w:eastAsia="en-GB"/>
                <w14:ligatures w14:val="none"/>
              </w:rPr>
              <w:t xml:space="preserve"> </w:t>
            </w:r>
          </w:p>
        </w:tc>
      </w:tr>
    </w:tbl>
    <w:p w14:paraId="45E4137B" w14:textId="77777777" w:rsidR="00C5141A" w:rsidRPr="0063356B" w:rsidRDefault="00C5141A" w:rsidP="00C5141A">
      <w:pPr>
        <w:spacing w:after="0" w:line="240" w:lineRule="auto"/>
        <w:textAlignment w:val="baseline"/>
        <w:rPr>
          <w:rFonts w:ascii="PP Telegraf" w:eastAsia="PP Telegraf" w:hAnsi="PP Telegraf" w:cs="PP Telegraf"/>
          <w:kern w:val="0"/>
          <w:sz w:val="18"/>
          <w:szCs w:val="18"/>
          <w:lang w:val="en-US" w:eastAsia="en-GB"/>
          <w14:ligatures w14:val="none"/>
        </w:rPr>
      </w:pPr>
      <w:r w:rsidRPr="468DEF39">
        <w:rPr>
          <w:rFonts w:ascii="PP Telegraf" w:eastAsia="PP Telegraf" w:hAnsi="PP Telegraf" w:cs="PP Telegraf"/>
          <w:color w:val="000000"/>
          <w:kern w:val="0"/>
          <w:sz w:val="22"/>
          <w:szCs w:val="22"/>
          <w:lang w:val="en-US" w:eastAsia="en-GB"/>
          <w14:ligatures w14:val="none"/>
        </w:rPr>
        <w:t xml:space="preserve"> </w:t>
      </w:r>
    </w:p>
    <w:p w14:paraId="59CC38AA" w14:textId="77777777" w:rsidR="00C5141A" w:rsidRDefault="00C5141A" w:rsidP="00C5141A">
      <w:pPr>
        <w:rPr>
          <w:rFonts w:ascii="PP Telegraf" w:eastAsia="PP Telegraf" w:hAnsi="PP Telegraf" w:cs="PP Telegraf"/>
          <w:b/>
          <w:bCs/>
          <w:color w:val="000000" w:themeColor="text1"/>
          <w:sz w:val="22"/>
          <w:szCs w:val="22"/>
          <w:u w:val="single"/>
          <w:lang w:eastAsia="en-GB"/>
        </w:rPr>
      </w:pPr>
    </w:p>
    <w:p w14:paraId="0AA6A994" w14:textId="77777777" w:rsidR="00C5141A" w:rsidRDefault="00C5141A" w:rsidP="00C5141A">
      <w:pPr>
        <w:rPr>
          <w:rFonts w:ascii="PP Telegraf" w:eastAsia="PP Telegraf" w:hAnsi="PP Telegraf" w:cs="PP Telegraf"/>
          <w:b/>
          <w:bCs/>
          <w:color w:val="000000" w:themeColor="text1"/>
          <w:sz w:val="22"/>
          <w:szCs w:val="22"/>
          <w:u w:val="single"/>
          <w:lang w:eastAsia="en-GB"/>
        </w:rPr>
      </w:pPr>
    </w:p>
    <w:p w14:paraId="36C441BF" w14:textId="77777777" w:rsidR="00C5141A" w:rsidRPr="0063356B" w:rsidRDefault="00C5141A" w:rsidP="00C5141A">
      <w:pPr>
        <w:textAlignment w:val="baseline"/>
        <w:rPr>
          <w:rFonts w:ascii="PP Telegraf" w:eastAsia="PP Telegraf" w:hAnsi="PP Telegraf" w:cs="PP Telegraf"/>
          <w:kern w:val="0"/>
          <w:sz w:val="18"/>
          <w:szCs w:val="18"/>
          <w:lang w:val="en-US" w:eastAsia="en-GB"/>
          <w14:ligatures w14:val="none"/>
        </w:rPr>
      </w:pPr>
      <w:r w:rsidRPr="468DEF39">
        <w:rPr>
          <w:rFonts w:ascii="PP Telegraf" w:eastAsia="PP Telegraf" w:hAnsi="PP Telegraf" w:cs="PP Telegraf"/>
          <w:b/>
          <w:bCs/>
          <w:color w:val="000000"/>
          <w:kern w:val="0"/>
          <w:sz w:val="22"/>
          <w:szCs w:val="22"/>
          <w:u w:val="single"/>
          <w:lang w:eastAsia="en-GB"/>
          <w14:ligatures w14:val="none"/>
        </w:rPr>
        <w:t xml:space="preserve">Regionale </w:t>
      </w:r>
      <w:proofErr w:type="spellStart"/>
      <w:r w:rsidRPr="468DEF39">
        <w:rPr>
          <w:rFonts w:ascii="PP Telegraf" w:eastAsia="PP Telegraf" w:hAnsi="PP Telegraf" w:cs="PP Telegraf"/>
          <w:b/>
          <w:bCs/>
          <w:color w:val="000000"/>
          <w:kern w:val="0"/>
          <w:sz w:val="22"/>
          <w:szCs w:val="22"/>
          <w:u w:val="single"/>
          <w:lang w:eastAsia="en-GB"/>
          <w14:ligatures w14:val="none"/>
        </w:rPr>
        <w:t>Zusammenfassung</w:t>
      </w:r>
      <w:proofErr w:type="spellEnd"/>
      <w:r w:rsidRPr="468DEF39">
        <w:rPr>
          <w:rFonts w:ascii="PP Telegraf" w:eastAsia="PP Telegraf" w:hAnsi="PP Telegraf" w:cs="PP Telegraf"/>
          <w:b/>
          <w:bCs/>
          <w:color w:val="000000"/>
          <w:kern w:val="0"/>
          <w:sz w:val="22"/>
          <w:szCs w:val="22"/>
          <w:u w:val="single"/>
          <w:lang w:eastAsia="en-GB"/>
          <w14:ligatures w14:val="none"/>
        </w:rPr>
        <w:t xml:space="preserve"> </w:t>
      </w:r>
    </w:p>
    <w:p w14:paraId="221B11F5" w14:textId="77777777" w:rsidR="00C5141A" w:rsidRPr="00983B15" w:rsidRDefault="00C5141A" w:rsidP="00C5141A">
      <w:pPr>
        <w:pStyle w:val="Listenabsatz"/>
        <w:numPr>
          <w:ilvl w:val="0"/>
          <w:numId w:val="11"/>
        </w:numPr>
        <w:contextualSpacing w:val="0"/>
        <w:textAlignment w:val="baseline"/>
        <w:rPr>
          <w:rFonts w:ascii="PP Telegraf" w:eastAsia="PP Telegraf" w:hAnsi="PP Telegraf" w:cs="PP Telegraf"/>
          <w:kern w:val="0"/>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lastRenderedPageBreak/>
        <w:t>Sechs irische Hochschulen verbessern sich im Ranking 2027, wobei das University College Dublin erstmals in die weltweiten Top 100 aufsteigt. Das irische Hochschulsystem, das sowohl bei der Arbeitgeberreputation als auch bei der Nachhaltigkeit weltweit den zweiten Platz belegt, setzt den Aufwärtstrend der letzten Jahre fort.   </w:t>
      </w:r>
    </w:p>
    <w:p w14:paraId="038CA81E" w14:textId="77777777" w:rsidR="00C5141A" w:rsidRPr="00983B15" w:rsidRDefault="00C5141A" w:rsidP="00C5141A">
      <w:pPr>
        <w:pStyle w:val="Listenabsatz"/>
        <w:numPr>
          <w:ilvl w:val="0"/>
          <w:numId w:val="11"/>
        </w:numPr>
        <w:contextualSpacing w:val="0"/>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 xml:space="preserve">Fünf britische Einrichtungen erreichen 2027 ihre bisher beste Platzierung: die University </w:t>
      </w:r>
      <w:proofErr w:type="spellStart"/>
      <w:r w:rsidRPr="00983B15">
        <w:rPr>
          <w:rFonts w:ascii="PP Telegraf" w:eastAsia="PP Telegraf" w:hAnsi="PP Telegraf" w:cs="PP Telegraf"/>
          <w:color w:val="000000"/>
          <w:kern w:val="0"/>
          <w:sz w:val="22"/>
          <w:szCs w:val="22"/>
          <w:lang w:val="de-DE" w:eastAsia="en-GB"/>
          <w14:ligatures w14:val="none"/>
        </w:rPr>
        <w:t>of</w:t>
      </w:r>
      <w:proofErr w:type="spellEnd"/>
      <w:r w:rsidRPr="00983B15">
        <w:rPr>
          <w:rFonts w:ascii="PP Telegraf" w:eastAsia="PP Telegraf" w:hAnsi="PP Telegraf" w:cs="PP Telegraf"/>
          <w:color w:val="000000"/>
          <w:kern w:val="0"/>
          <w:sz w:val="22"/>
          <w:szCs w:val="22"/>
          <w:lang w:val="de-DE" w:eastAsia="en-GB"/>
          <w14:ligatures w14:val="none"/>
        </w:rPr>
        <w:t xml:space="preserve"> Bath (Platz 125), die University </w:t>
      </w:r>
      <w:proofErr w:type="spellStart"/>
      <w:r w:rsidRPr="00983B15">
        <w:rPr>
          <w:rFonts w:ascii="PP Telegraf" w:eastAsia="PP Telegraf" w:hAnsi="PP Telegraf" w:cs="PP Telegraf"/>
          <w:color w:val="000000"/>
          <w:kern w:val="0"/>
          <w:sz w:val="22"/>
          <w:szCs w:val="22"/>
          <w:lang w:val="de-DE" w:eastAsia="en-GB"/>
          <w14:ligatures w14:val="none"/>
        </w:rPr>
        <w:t>of</w:t>
      </w:r>
      <w:proofErr w:type="spellEnd"/>
      <w:r w:rsidRPr="00983B15">
        <w:rPr>
          <w:rFonts w:ascii="PP Telegraf" w:eastAsia="PP Telegraf" w:hAnsi="PP Telegraf" w:cs="PP Telegraf"/>
          <w:color w:val="000000"/>
          <w:kern w:val="0"/>
          <w:sz w:val="22"/>
          <w:szCs w:val="22"/>
          <w:lang w:val="de-DE" w:eastAsia="en-GB"/>
          <w14:ligatures w14:val="none"/>
        </w:rPr>
        <w:t xml:space="preserve"> Exeter (Platz 136), die Loughborough University (Platz 203), die University </w:t>
      </w:r>
      <w:proofErr w:type="spellStart"/>
      <w:r w:rsidRPr="00983B15">
        <w:rPr>
          <w:rFonts w:ascii="PP Telegraf" w:eastAsia="PP Telegraf" w:hAnsi="PP Telegraf" w:cs="PP Telegraf"/>
          <w:color w:val="000000"/>
          <w:kern w:val="0"/>
          <w:sz w:val="22"/>
          <w:szCs w:val="22"/>
          <w:lang w:val="de-DE" w:eastAsia="en-GB"/>
          <w14:ligatures w14:val="none"/>
        </w:rPr>
        <w:t>of</w:t>
      </w:r>
      <w:proofErr w:type="spellEnd"/>
      <w:r w:rsidRPr="00983B15">
        <w:rPr>
          <w:rFonts w:ascii="PP Telegraf" w:eastAsia="PP Telegraf" w:hAnsi="PP Telegraf" w:cs="PP Telegraf"/>
          <w:color w:val="000000"/>
          <w:kern w:val="0"/>
          <w:sz w:val="22"/>
          <w:szCs w:val="22"/>
          <w:lang w:val="de-DE" w:eastAsia="en-GB"/>
          <w14:ligatures w14:val="none"/>
        </w:rPr>
        <w:t xml:space="preserve"> Strathclyde (Platz 230) und die Northumbria University (Platz 528).  </w:t>
      </w:r>
    </w:p>
    <w:p w14:paraId="461A3EA5" w14:textId="77777777" w:rsidR="00C5141A" w:rsidRPr="00983B15" w:rsidRDefault="00C5141A" w:rsidP="00C5141A">
      <w:pPr>
        <w:pStyle w:val="Listenabsatz"/>
        <w:numPr>
          <w:ilvl w:val="0"/>
          <w:numId w:val="11"/>
        </w:numPr>
        <w:contextualSpacing w:val="0"/>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color w:val="000000"/>
          <w:kern w:val="0"/>
          <w:sz w:val="22"/>
          <w:szCs w:val="22"/>
          <w:lang w:val="de-DE" w:eastAsia="en-GB"/>
          <w14:ligatures w14:val="none"/>
        </w:rPr>
        <w:t xml:space="preserve">Italien gehört in der diesjährigen Rangliste zu den europäischen Hochschulsystemen mit der größten Verbesserung und liegt unter den Systemen mit zehn oder mehr gelisteten Universitäten nur hinter Österreich. Das Politecnico di Milano klettert weiter in die globalen Top 100 auf, nachdem es in der letztjährigen Ausgabe erstmals in diese Kategorie aufgestiegen war. </w:t>
      </w:r>
    </w:p>
    <w:p w14:paraId="77E21F2C" w14:textId="77777777" w:rsidR="00C5141A" w:rsidRPr="00983B15" w:rsidRDefault="00C5141A" w:rsidP="00C5141A">
      <w:pPr>
        <w:pStyle w:val="Listenabsatz"/>
        <w:numPr>
          <w:ilvl w:val="0"/>
          <w:numId w:val="11"/>
        </w:numPr>
        <w:contextualSpacing w:val="0"/>
        <w:textAlignment w:val="baseline"/>
        <w:rPr>
          <w:rFonts w:ascii="PP Telegraf" w:eastAsia="PP Telegraf" w:hAnsi="PP Telegraf" w:cs="PP Telegraf"/>
          <w:kern w:val="0"/>
          <w:sz w:val="22"/>
          <w:szCs w:val="22"/>
          <w:lang w:val="de-DE" w:eastAsia="en-GB"/>
          <w14:ligatures w14:val="none"/>
        </w:rPr>
      </w:pPr>
      <w:r w:rsidRPr="00983B15">
        <w:rPr>
          <w:rFonts w:ascii="PP Telegraf" w:eastAsia="PP Telegraf" w:hAnsi="PP Telegraf" w:cs="PP Telegraf"/>
          <w:kern w:val="0"/>
          <w:sz w:val="22"/>
          <w:szCs w:val="22"/>
          <w:lang w:val="de-DE" w:eastAsia="en-GB"/>
          <w14:ligatures w14:val="none"/>
        </w:rPr>
        <w:t xml:space="preserve">Neben Deutschland haben auch Spanien und Frankreich ihre Präsenz im Ranking ausgebaut und jeweils </w:t>
      </w:r>
      <w:r>
        <w:rPr>
          <w:rFonts w:ascii="PP Telegraf" w:eastAsia="PP Telegraf" w:hAnsi="PP Telegraf" w:cs="PP Telegraf"/>
          <w:kern w:val="0"/>
          <w:sz w:val="22"/>
          <w:szCs w:val="22"/>
          <w:lang w:val="de-DE" w:eastAsia="en-GB"/>
          <w14:ligatures w14:val="none"/>
        </w:rPr>
        <w:t>zehn</w:t>
      </w:r>
      <w:r w:rsidRPr="00983B15">
        <w:rPr>
          <w:rFonts w:ascii="PP Telegraf" w:eastAsia="PP Telegraf" w:hAnsi="PP Telegraf" w:cs="PP Telegraf"/>
          <w:kern w:val="0"/>
          <w:sz w:val="22"/>
          <w:szCs w:val="22"/>
          <w:lang w:val="de-DE" w:eastAsia="en-GB"/>
          <w14:ligatures w14:val="none"/>
        </w:rPr>
        <w:t xml:space="preserve"> bzw. sieben Universitäten hinzugewonnen, womit sie nach Festlandchina und Deutschland die dritt- und viertstärksten Hochschulsysteme sind.</w:t>
      </w:r>
    </w:p>
    <w:p w14:paraId="38D2D604" w14:textId="77777777" w:rsidR="00C5141A" w:rsidRPr="00983B15" w:rsidRDefault="00C5141A" w:rsidP="00C5141A">
      <w:pPr>
        <w:textAlignment w:val="baseline"/>
        <w:rPr>
          <w:rFonts w:ascii="PP Telegraf" w:eastAsia="PP Telegraf" w:hAnsi="PP Telegraf" w:cs="PP Telegraf"/>
          <w:color w:val="000000" w:themeColor="text1"/>
          <w:kern w:val="0"/>
          <w:sz w:val="22"/>
          <w:szCs w:val="22"/>
          <w:lang w:val="de-DE" w:eastAsia="en-GB"/>
          <w14:ligatures w14:val="none"/>
        </w:rPr>
      </w:pPr>
      <w:r w:rsidRPr="00983B15">
        <w:rPr>
          <w:rFonts w:ascii="PP Telegraf" w:eastAsia="PP Telegraf" w:hAnsi="PP Telegraf" w:cs="PP Telegraf"/>
          <w:b/>
          <w:bCs/>
          <w:color w:val="000000"/>
          <w:kern w:val="0"/>
          <w:sz w:val="22"/>
          <w:szCs w:val="22"/>
          <w:lang w:val="de-DE" w:eastAsia="en-GB"/>
          <w14:ligatures w14:val="none"/>
        </w:rPr>
        <w:t xml:space="preserve">Ben Sowter </w:t>
      </w:r>
      <w:r w:rsidRPr="00983B15">
        <w:rPr>
          <w:rFonts w:ascii="PP Telegraf" w:eastAsia="PP Telegraf" w:hAnsi="PP Telegraf" w:cs="PP Telegraf"/>
          <w:color w:val="000000"/>
          <w:kern w:val="0"/>
          <w:sz w:val="22"/>
          <w:szCs w:val="22"/>
          <w:lang w:val="de-DE" w:eastAsia="en-GB"/>
          <w14:ligatures w14:val="none"/>
        </w:rPr>
        <w:t>merkt an</w:t>
      </w:r>
      <w:r w:rsidRPr="00983B15">
        <w:rPr>
          <w:rFonts w:ascii="PP Telegraf" w:eastAsia="PP Telegraf" w:hAnsi="PP Telegraf" w:cs="PP Telegraf"/>
          <w:i/>
          <w:iCs/>
          <w:color w:val="000000"/>
          <w:kern w:val="0"/>
          <w:sz w:val="22"/>
          <w:szCs w:val="22"/>
          <w:lang w:val="de-DE" w:eastAsia="en-GB"/>
          <w14:ligatures w14:val="none"/>
        </w:rPr>
        <w:t>: „Die QS World University Rankings dienen weiterhin als wichtiger Maßstab für die Bewertung der Leistung im Hochschulbereich und beeinflussen die Entscheidungen von Studierenden, Wissenschaftlern, Institutionen und politischen Entscheidungsträgern weltweit.</w:t>
      </w:r>
      <w:r>
        <w:rPr>
          <w:rFonts w:ascii="PP Telegraf" w:eastAsia="PP Telegraf" w:hAnsi="PP Telegraf" w:cs="PP Telegraf"/>
          <w:i/>
          <w:iCs/>
          <w:color w:val="000000"/>
          <w:kern w:val="0"/>
          <w:sz w:val="22"/>
          <w:szCs w:val="22"/>
          <w:lang w:val="de-DE" w:eastAsia="en-GB"/>
          <w14:ligatures w14:val="none"/>
        </w:rPr>
        <w:t>“</w:t>
      </w:r>
    </w:p>
    <w:p w14:paraId="0B693B30" w14:textId="77777777" w:rsidR="00C5141A" w:rsidRPr="00983B15" w:rsidRDefault="00C5141A" w:rsidP="00C5141A">
      <w:pPr>
        <w:textAlignment w:val="baseline"/>
        <w:rPr>
          <w:rFonts w:ascii="PP Telegraf" w:eastAsia="PP Telegraf" w:hAnsi="PP Telegraf" w:cs="PP Telegraf"/>
          <w:color w:val="000000" w:themeColor="text1"/>
          <w:kern w:val="0"/>
          <w:sz w:val="22"/>
          <w:szCs w:val="22"/>
          <w:lang w:val="de-DE" w:eastAsia="en-GB"/>
          <w14:ligatures w14:val="none"/>
        </w:rPr>
      </w:pPr>
      <w:r w:rsidRPr="00983B15">
        <w:rPr>
          <w:rFonts w:ascii="PP Telegraf" w:eastAsia="PP Telegraf" w:hAnsi="PP Telegraf" w:cs="PP Telegraf"/>
          <w:i/>
          <w:iCs/>
          <w:color w:val="000000"/>
          <w:kern w:val="0"/>
          <w:sz w:val="22"/>
          <w:szCs w:val="22"/>
          <w:lang w:val="de-DE" w:eastAsia="en-GB"/>
          <w14:ligatures w14:val="none"/>
        </w:rPr>
        <w:t>„Die Hochschulbildung bleibt ein entscheidender Motor für Innovation, internationale Zusammenarbeit sowie soziale und wirtschaftliche Entwicklung. Da einige etablierte Studienorte ihre Richtlinien in Bezug auf die Mobilität internationaler Studierender und die Finanzierung überdenken, könnten aufstrebende Hochschulzentren neue Möglichkeiten finden, um globale Talente anzuziehen und ihre Position in den Bereichen Forschung, Wissensgenerierung und akademische Führungsrolle zu stärken.</w:t>
      </w:r>
      <w:r>
        <w:rPr>
          <w:rFonts w:ascii="PP Telegraf" w:eastAsia="PP Telegraf" w:hAnsi="PP Telegraf" w:cs="PP Telegraf"/>
          <w:i/>
          <w:iCs/>
          <w:color w:val="000000"/>
          <w:kern w:val="0"/>
          <w:sz w:val="22"/>
          <w:szCs w:val="22"/>
          <w:lang w:val="de-DE" w:eastAsia="en-GB"/>
          <w14:ligatures w14:val="none"/>
        </w:rPr>
        <w:t>“</w:t>
      </w:r>
    </w:p>
    <w:p w14:paraId="5F104AD8" w14:textId="77777777" w:rsidR="00C5141A" w:rsidRPr="00983B15" w:rsidRDefault="00C5141A" w:rsidP="00C5141A">
      <w:pPr>
        <w:textAlignment w:val="baseline"/>
        <w:rPr>
          <w:rFonts w:ascii="PP Telegraf" w:eastAsia="PP Telegraf" w:hAnsi="PP Telegraf" w:cs="PP Telegraf"/>
          <w:color w:val="000000" w:themeColor="text1"/>
          <w:kern w:val="0"/>
          <w:sz w:val="22"/>
          <w:szCs w:val="22"/>
          <w:lang w:val="de-DE" w:eastAsia="en-GB"/>
          <w14:ligatures w14:val="none"/>
        </w:rPr>
      </w:pPr>
      <w:r w:rsidRPr="00983B15">
        <w:rPr>
          <w:rFonts w:ascii="PP Telegraf" w:eastAsia="PP Telegraf" w:hAnsi="PP Telegraf" w:cs="PP Telegraf"/>
          <w:i/>
          <w:iCs/>
          <w:color w:val="000000"/>
          <w:kern w:val="0"/>
          <w:sz w:val="22"/>
          <w:szCs w:val="22"/>
          <w:lang w:val="de-DE" w:eastAsia="en-GB"/>
          <w14:ligatures w14:val="none"/>
        </w:rPr>
        <w:t>„Die Rankings zeigen, dass die USA nach wie vor weltweit führend im Hochschulbereich sind, wobei Einrichtungen wie das MIT, Harvard und Caltech Maßstäbe für Forschungsbedeutung und Reputation setzen. Gleichzeitig wird die globale Landkarte des Hochschulwesens immer vielfältiger, da Einrichtungen in Asien und im Nahen Osten nachhaltige Investitionen in Forschung und Internationalisierung in messbare Erfolge umsetzen.</w:t>
      </w:r>
      <w:r>
        <w:rPr>
          <w:rFonts w:ascii="PP Telegraf" w:eastAsia="PP Telegraf" w:hAnsi="PP Telegraf" w:cs="PP Telegraf"/>
          <w:i/>
          <w:iCs/>
          <w:color w:val="000000"/>
          <w:kern w:val="0"/>
          <w:sz w:val="22"/>
          <w:szCs w:val="22"/>
          <w:lang w:val="de-DE" w:eastAsia="en-GB"/>
          <w14:ligatures w14:val="none"/>
        </w:rPr>
        <w:t>“</w:t>
      </w:r>
    </w:p>
    <w:p w14:paraId="0F143955" w14:textId="77777777" w:rsidR="00C5141A" w:rsidRPr="00983B15" w:rsidRDefault="00C5141A" w:rsidP="00C5141A">
      <w:pPr>
        <w:textAlignment w:val="baseline"/>
        <w:rPr>
          <w:rFonts w:ascii="PP Telegraf" w:eastAsia="PP Telegraf" w:hAnsi="PP Telegraf" w:cs="PP Telegraf"/>
          <w:kern w:val="0"/>
          <w:sz w:val="18"/>
          <w:szCs w:val="18"/>
          <w:lang w:val="de-DE" w:eastAsia="en-GB"/>
          <w14:ligatures w14:val="none"/>
        </w:rPr>
      </w:pPr>
      <w:r w:rsidRPr="00983B15">
        <w:rPr>
          <w:rFonts w:ascii="PP Telegraf" w:eastAsia="PP Telegraf" w:hAnsi="PP Telegraf" w:cs="PP Telegraf"/>
          <w:i/>
          <w:iCs/>
          <w:color w:val="000000"/>
          <w:kern w:val="0"/>
          <w:sz w:val="22"/>
          <w:szCs w:val="22"/>
          <w:lang w:val="de-DE" w:eastAsia="en-GB"/>
          <w14:ligatures w14:val="none"/>
        </w:rPr>
        <w:t xml:space="preserve">„Das Bild in Europa bleibt gemischt: Während einige Systeme ihre globale Position durch langfristige Finanzierungs- und Innovationspolitik stetig stärken, zeigen andere Anzeichen von Stagnation.“ </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90"/>
        <w:gridCol w:w="569"/>
        <w:gridCol w:w="922"/>
        <w:gridCol w:w="645"/>
        <w:gridCol w:w="570"/>
        <w:gridCol w:w="2265"/>
        <w:gridCol w:w="570"/>
        <w:gridCol w:w="525"/>
        <w:gridCol w:w="480"/>
        <w:gridCol w:w="510"/>
        <w:gridCol w:w="615"/>
      </w:tblGrid>
      <w:tr w:rsidR="00C5141A" w:rsidRPr="00983B15" w14:paraId="05D9C6A4" w14:textId="77777777" w:rsidTr="00274428">
        <w:trPr>
          <w:trHeight w:val="285"/>
          <w:jc w:val="center"/>
        </w:trPr>
        <w:tc>
          <w:tcPr>
            <w:tcW w:w="9420" w:type="dxa"/>
            <w:gridSpan w:val="12"/>
            <w:vAlign w:val="bottom"/>
            <w:hideMark/>
          </w:tcPr>
          <w:p w14:paraId="15E824D5" w14:textId="77777777" w:rsidR="00C5141A" w:rsidRPr="00983B15" w:rsidRDefault="00C5141A" w:rsidP="00274428">
            <w:pPr>
              <w:spacing w:after="0" w:line="240" w:lineRule="auto"/>
              <w:jc w:val="center"/>
              <w:textAlignment w:val="baseline"/>
              <w:rPr>
                <w:rFonts w:ascii="PP Telegraf" w:eastAsia="PP Telegraf" w:hAnsi="PP Telegraf" w:cs="PP Telegraf"/>
                <w:kern w:val="0"/>
                <w:lang w:val="de-DE" w:eastAsia="en-GB"/>
                <w14:ligatures w14:val="none"/>
              </w:rPr>
            </w:pPr>
            <w:r w:rsidRPr="00983B15">
              <w:rPr>
                <w:rFonts w:ascii="PP Telegraf" w:eastAsia="PP Telegraf" w:hAnsi="PP Telegraf" w:cs="PP Telegraf"/>
                <w:b/>
                <w:bCs/>
                <w:color w:val="1D1D1B"/>
                <w:kern w:val="0"/>
                <w:sz w:val="20"/>
                <w:szCs w:val="20"/>
                <w:lang w:val="de-DE" w:eastAsia="en-GB"/>
                <w14:ligatures w14:val="none"/>
              </w:rPr>
              <w:t>Tabelle 6: Die besten Hochschulsysteme nach Gesamtzahl der rangierten Universitäten  </w:t>
            </w:r>
          </w:p>
        </w:tc>
      </w:tr>
      <w:tr w:rsidR="00C5141A" w:rsidRPr="0063356B" w14:paraId="1B1293A9" w14:textId="77777777" w:rsidTr="00274428">
        <w:trPr>
          <w:trHeight w:val="285"/>
          <w:jc w:val="center"/>
        </w:trPr>
        <w:tc>
          <w:tcPr>
            <w:tcW w:w="1380" w:type="dxa"/>
            <w:vMerge w:val="restart"/>
            <w:vAlign w:val="center"/>
            <w:hideMark/>
          </w:tcPr>
          <w:p w14:paraId="0EA62B17"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b/>
                <w:bCs/>
                <w:color w:val="1D1D1B"/>
                <w:kern w:val="0"/>
                <w:sz w:val="16"/>
                <w:szCs w:val="16"/>
                <w:lang w:eastAsia="en-GB"/>
                <w14:ligatures w14:val="none"/>
              </w:rPr>
              <w:t>Hochschulsystem</w:t>
            </w:r>
            <w:proofErr w:type="spellEnd"/>
            <w:r w:rsidRPr="468DEF39">
              <w:rPr>
                <w:rFonts w:ascii="PP Telegraf" w:eastAsia="PP Telegraf" w:hAnsi="PP Telegraf" w:cs="PP Telegraf"/>
                <w:b/>
                <w:bCs/>
                <w:color w:val="1D1D1B"/>
                <w:kern w:val="0"/>
                <w:sz w:val="16"/>
                <w:szCs w:val="16"/>
                <w:lang w:eastAsia="en-GB"/>
                <w14:ligatures w14:val="none"/>
              </w:rPr>
              <w:t xml:space="preserve"> </w:t>
            </w:r>
          </w:p>
        </w:tc>
        <w:tc>
          <w:tcPr>
            <w:tcW w:w="690" w:type="dxa"/>
            <w:vMerge w:val="restart"/>
            <w:vAlign w:val="center"/>
            <w:hideMark/>
          </w:tcPr>
          <w:p w14:paraId="17CFDCF6"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b/>
                <w:bCs/>
                <w:color w:val="1D1D1B"/>
                <w:kern w:val="0"/>
                <w:sz w:val="16"/>
                <w:szCs w:val="16"/>
                <w:lang w:eastAsia="en-GB"/>
                <w14:ligatures w14:val="none"/>
              </w:rPr>
              <w:t>Gesamtzahl</w:t>
            </w:r>
            <w:proofErr w:type="spellEnd"/>
            <w:r w:rsidRPr="468DEF39">
              <w:rPr>
                <w:rFonts w:ascii="PP Telegraf" w:eastAsia="PP Telegraf" w:hAnsi="PP Telegraf" w:cs="PP Telegraf"/>
                <w:b/>
                <w:bCs/>
                <w:color w:val="1D1D1B"/>
                <w:kern w:val="0"/>
                <w:sz w:val="16"/>
                <w:szCs w:val="16"/>
                <w:lang w:eastAsia="en-GB"/>
                <w14:ligatures w14:val="none"/>
              </w:rPr>
              <w:t xml:space="preserve"> der </w:t>
            </w:r>
            <w:proofErr w:type="spellStart"/>
            <w:r w:rsidRPr="468DEF39">
              <w:rPr>
                <w:rFonts w:ascii="PP Telegraf" w:eastAsia="PP Telegraf" w:hAnsi="PP Telegraf" w:cs="PP Telegraf"/>
                <w:b/>
                <w:bCs/>
                <w:color w:val="1D1D1B"/>
                <w:kern w:val="0"/>
                <w:sz w:val="16"/>
                <w:szCs w:val="16"/>
                <w:lang w:eastAsia="en-GB"/>
                <w14:ligatures w14:val="none"/>
              </w:rPr>
              <w:t>rangierten</w:t>
            </w:r>
            <w:proofErr w:type="spellEnd"/>
            <w:r w:rsidRPr="468DEF39">
              <w:rPr>
                <w:rFonts w:ascii="PP Telegraf" w:eastAsia="PP Telegraf" w:hAnsi="PP Telegraf" w:cs="PP Telegraf"/>
                <w:b/>
                <w:bCs/>
                <w:color w:val="1D1D1B"/>
                <w:kern w:val="0"/>
                <w:sz w:val="16"/>
                <w:szCs w:val="16"/>
                <w:lang w:eastAsia="en-GB"/>
                <w14:ligatures w14:val="none"/>
              </w:rPr>
              <w:t xml:space="preserve"> </w:t>
            </w:r>
          </w:p>
        </w:tc>
        <w:tc>
          <w:tcPr>
            <w:tcW w:w="510" w:type="dxa"/>
            <w:vMerge w:val="restart"/>
            <w:vAlign w:val="center"/>
            <w:hideMark/>
          </w:tcPr>
          <w:p w14:paraId="1C5C876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b/>
                <w:bCs/>
                <w:color w:val="1D1D1B"/>
                <w:kern w:val="0"/>
                <w:sz w:val="16"/>
                <w:szCs w:val="16"/>
                <w:lang w:eastAsia="en-GB"/>
                <w14:ligatures w14:val="none"/>
              </w:rPr>
              <w:t>Anstieg</w:t>
            </w:r>
            <w:proofErr w:type="spellEnd"/>
            <w:r w:rsidRPr="468DEF39">
              <w:rPr>
                <w:rFonts w:ascii="PP Telegraf" w:eastAsia="PP Telegraf" w:hAnsi="PP Telegraf" w:cs="PP Telegraf"/>
                <w:b/>
                <w:bCs/>
                <w:color w:val="1D1D1B"/>
                <w:kern w:val="0"/>
                <w:sz w:val="16"/>
                <w:szCs w:val="16"/>
                <w:lang w:eastAsia="en-GB"/>
                <w14:ligatures w14:val="none"/>
              </w:rPr>
              <w:t xml:space="preserve"> </w:t>
            </w:r>
          </w:p>
        </w:tc>
        <w:tc>
          <w:tcPr>
            <w:tcW w:w="660" w:type="dxa"/>
            <w:vMerge w:val="restart"/>
            <w:vAlign w:val="center"/>
            <w:hideMark/>
          </w:tcPr>
          <w:p w14:paraId="24C389E8"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b/>
                <w:bCs/>
                <w:color w:val="1D1D1B"/>
                <w:kern w:val="0"/>
                <w:sz w:val="16"/>
                <w:szCs w:val="16"/>
                <w:lang w:eastAsia="en-GB"/>
                <w14:ligatures w14:val="none"/>
              </w:rPr>
              <w:t>Unverändert</w:t>
            </w:r>
            <w:proofErr w:type="spellEnd"/>
            <w:r w:rsidRPr="468DEF39">
              <w:rPr>
                <w:rFonts w:ascii="PP Telegraf" w:eastAsia="PP Telegraf" w:hAnsi="PP Telegraf" w:cs="PP Telegraf"/>
                <w:b/>
                <w:bCs/>
                <w:color w:val="1D1D1B"/>
                <w:kern w:val="0"/>
                <w:sz w:val="16"/>
                <w:szCs w:val="16"/>
                <w:lang w:eastAsia="en-GB"/>
                <w14:ligatures w14:val="none"/>
              </w:rPr>
              <w:t xml:space="preserve"> </w:t>
            </w:r>
          </w:p>
        </w:tc>
        <w:tc>
          <w:tcPr>
            <w:tcW w:w="645" w:type="dxa"/>
            <w:vMerge w:val="restart"/>
            <w:vAlign w:val="center"/>
            <w:hideMark/>
          </w:tcPr>
          <w:p w14:paraId="7C8E5D0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Ab </w:t>
            </w:r>
          </w:p>
        </w:tc>
        <w:tc>
          <w:tcPr>
            <w:tcW w:w="570" w:type="dxa"/>
            <w:vMerge w:val="restart"/>
            <w:vAlign w:val="center"/>
            <w:hideMark/>
          </w:tcPr>
          <w:p w14:paraId="7C949868"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Neu </w:t>
            </w:r>
          </w:p>
        </w:tc>
        <w:tc>
          <w:tcPr>
            <w:tcW w:w="2835" w:type="dxa"/>
            <w:gridSpan w:val="2"/>
            <w:vAlign w:val="center"/>
            <w:hideMark/>
          </w:tcPr>
          <w:p w14:paraId="6BA7C224"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Top-Universität </w:t>
            </w:r>
          </w:p>
        </w:tc>
        <w:tc>
          <w:tcPr>
            <w:tcW w:w="525" w:type="dxa"/>
            <w:vMerge w:val="restart"/>
            <w:vAlign w:val="center"/>
            <w:hideMark/>
          </w:tcPr>
          <w:p w14:paraId="1DCFE2BB"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Top 50 </w:t>
            </w:r>
          </w:p>
        </w:tc>
        <w:tc>
          <w:tcPr>
            <w:tcW w:w="480" w:type="dxa"/>
            <w:vMerge w:val="restart"/>
            <w:vAlign w:val="center"/>
            <w:hideMark/>
          </w:tcPr>
          <w:p w14:paraId="4B39D8F4"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Top 100 </w:t>
            </w:r>
          </w:p>
        </w:tc>
        <w:tc>
          <w:tcPr>
            <w:tcW w:w="510" w:type="dxa"/>
            <w:vMerge w:val="restart"/>
            <w:vAlign w:val="center"/>
            <w:hideMark/>
          </w:tcPr>
          <w:p w14:paraId="0544EB40"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Top 200 </w:t>
            </w:r>
          </w:p>
        </w:tc>
        <w:tc>
          <w:tcPr>
            <w:tcW w:w="555" w:type="dxa"/>
            <w:vMerge w:val="restart"/>
            <w:vAlign w:val="center"/>
            <w:hideMark/>
          </w:tcPr>
          <w:p w14:paraId="4001AB3A"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Top 500 </w:t>
            </w:r>
          </w:p>
        </w:tc>
      </w:tr>
      <w:tr w:rsidR="00C5141A" w:rsidRPr="0063356B" w14:paraId="54141913" w14:textId="77777777" w:rsidTr="00274428">
        <w:trPr>
          <w:trHeight w:val="300"/>
          <w:jc w:val="center"/>
        </w:trPr>
        <w:tc>
          <w:tcPr>
            <w:tcW w:w="0" w:type="auto"/>
            <w:vMerge/>
            <w:vAlign w:val="center"/>
            <w:hideMark/>
          </w:tcPr>
          <w:p w14:paraId="32B767BA" w14:textId="77777777" w:rsidR="00C5141A" w:rsidRPr="0063356B" w:rsidRDefault="00C5141A" w:rsidP="00274428">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4113204A" w14:textId="77777777" w:rsidR="00C5141A" w:rsidRPr="0063356B" w:rsidRDefault="00C5141A" w:rsidP="00274428">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15CA88EF" w14:textId="77777777" w:rsidR="00C5141A" w:rsidRPr="0063356B" w:rsidRDefault="00C5141A" w:rsidP="00274428">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15F3E855" w14:textId="77777777" w:rsidR="00C5141A" w:rsidRPr="0063356B" w:rsidRDefault="00C5141A" w:rsidP="00274428">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4924BE80" w14:textId="77777777" w:rsidR="00C5141A" w:rsidRPr="0063356B" w:rsidRDefault="00C5141A" w:rsidP="00274428">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21AD0221" w14:textId="77777777" w:rsidR="00C5141A" w:rsidRPr="0063356B" w:rsidRDefault="00C5141A" w:rsidP="00274428">
            <w:pPr>
              <w:spacing w:after="0" w:line="240" w:lineRule="auto"/>
              <w:rPr>
                <w:rFonts w:ascii="Times New Roman" w:eastAsia="Times New Roman" w:hAnsi="Times New Roman" w:cs="Times New Roman"/>
                <w:kern w:val="0"/>
                <w:lang w:val="en-US" w:eastAsia="en-GB"/>
                <w14:ligatures w14:val="none"/>
              </w:rPr>
            </w:pPr>
          </w:p>
        </w:tc>
        <w:tc>
          <w:tcPr>
            <w:tcW w:w="2265" w:type="dxa"/>
            <w:shd w:val="clear" w:color="auto" w:fill="E9E9E7"/>
            <w:vAlign w:val="center"/>
            <w:hideMark/>
          </w:tcPr>
          <w:p w14:paraId="0537665D"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Name </w:t>
            </w:r>
          </w:p>
        </w:tc>
        <w:tc>
          <w:tcPr>
            <w:tcW w:w="570" w:type="dxa"/>
            <w:shd w:val="clear" w:color="auto" w:fill="E9E9E7"/>
            <w:vAlign w:val="center"/>
            <w:hideMark/>
          </w:tcPr>
          <w:p w14:paraId="395E9E01"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b/>
                <w:bCs/>
                <w:color w:val="1D1D1B"/>
                <w:kern w:val="0"/>
                <w:sz w:val="16"/>
                <w:szCs w:val="16"/>
                <w:lang w:eastAsia="en-GB"/>
                <w14:ligatures w14:val="none"/>
              </w:rPr>
              <w:t xml:space="preserve">Rang </w:t>
            </w:r>
          </w:p>
        </w:tc>
        <w:tc>
          <w:tcPr>
            <w:tcW w:w="0" w:type="auto"/>
            <w:vMerge/>
            <w:vAlign w:val="center"/>
            <w:hideMark/>
          </w:tcPr>
          <w:p w14:paraId="7DE06A3F" w14:textId="77777777" w:rsidR="00C5141A" w:rsidRPr="0063356B" w:rsidRDefault="00C5141A" w:rsidP="00274428">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2558E395" w14:textId="77777777" w:rsidR="00C5141A" w:rsidRPr="0063356B" w:rsidRDefault="00C5141A" w:rsidP="00274428">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5E1F85CC" w14:textId="77777777" w:rsidR="00C5141A" w:rsidRPr="0063356B" w:rsidRDefault="00C5141A" w:rsidP="00274428">
            <w:pPr>
              <w:spacing w:after="0" w:line="240" w:lineRule="auto"/>
              <w:rPr>
                <w:rFonts w:ascii="Times New Roman" w:eastAsia="Times New Roman" w:hAnsi="Times New Roman" w:cs="Times New Roman"/>
                <w:kern w:val="0"/>
                <w:lang w:val="en-US" w:eastAsia="en-GB"/>
                <w14:ligatures w14:val="none"/>
              </w:rPr>
            </w:pPr>
          </w:p>
        </w:tc>
        <w:tc>
          <w:tcPr>
            <w:tcW w:w="0" w:type="auto"/>
            <w:vMerge/>
            <w:vAlign w:val="center"/>
            <w:hideMark/>
          </w:tcPr>
          <w:p w14:paraId="7A5CC590" w14:textId="77777777" w:rsidR="00C5141A" w:rsidRPr="0063356B" w:rsidRDefault="00C5141A" w:rsidP="00274428">
            <w:pPr>
              <w:spacing w:after="0" w:line="240" w:lineRule="auto"/>
              <w:rPr>
                <w:rFonts w:ascii="Times New Roman" w:eastAsia="Times New Roman" w:hAnsi="Times New Roman" w:cs="Times New Roman"/>
                <w:kern w:val="0"/>
                <w:lang w:val="en-US" w:eastAsia="en-GB"/>
                <w14:ligatures w14:val="none"/>
              </w:rPr>
            </w:pPr>
          </w:p>
        </w:tc>
      </w:tr>
      <w:tr w:rsidR="00C5141A" w:rsidRPr="0063356B" w14:paraId="38258EBA" w14:textId="77777777" w:rsidTr="00274428">
        <w:trPr>
          <w:trHeight w:val="285"/>
          <w:jc w:val="center"/>
        </w:trPr>
        <w:tc>
          <w:tcPr>
            <w:tcW w:w="1380" w:type="dxa"/>
            <w:vAlign w:val="center"/>
            <w:hideMark/>
          </w:tcPr>
          <w:p w14:paraId="2212E02C"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lastRenderedPageBreak/>
              <w:t xml:space="preserve">USA </w:t>
            </w:r>
          </w:p>
        </w:tc>
        <w:tc>
          <w:tcPr>
            <w:tcW w:w="690" w:type="dxa"/>
            <w:vAlign w:val="center"/>
            <w:hideMark/>
          </w:tcPr>
          <w:p w14:paraId="492EAB8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184 </w:t>
            </w:r>
          </w:p>
        </w:tc>
        <w:tc>
          <w:tcPr>
            <w:tcW w:w="510" w:type="dxa"/>
            <w:vAlign w:val="center"/>
            <w:hideMark/>
          </w:tcPr>
          <w:p w14:paraId="1E777F6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22 </w:t>
            </w:r>
          </w:p>
        </w:tc>
        <w:tc>
          <w:tcPr>
            <w:tcW w:w="660" w:type="dxa"/>
            <w:vAlign w:val="center"/>
            <w:hideMark/>
          </w:tcPr>
          <w:p w14:paraId="695FB46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38 </w:t>
            </w:r>
          </w:p>
        </w:tc>
        <w:tc>
          <w:tcPr>
            <w:tcW w:w="645" w:type="dxa"/>
            <w:vAlign w:val="center"/>
            <w:hideMark/>
          </w:tcPr>
          <w:p w14:paraId="1799151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121 </w:t>
            </w:r>
          </w:p>
        </w:tc>
        <w:tc>
          <w:tcPr>
            <w:tcW w:w="570" w:type="dxa"/>
            <w:vAlign w:val="center"/>
            <w:hideMark/>
          </w:tcPr>
          <w:p w14:paraId="66CB9B67"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3 </w:t>
            </w:r>
          </w:p>
        </w:tc>
        <w:tc>
          <w:tcPr>
            <w:tcW w:w="2265" w:type="dxa"/>
            <w:shd w:val="clear" w:color="auto" w:fill="E9E9E7"/>
            <w:vAlign w:val="center"/>
            <w:hideMark/>
          </w:tcPr>
          <w:p w14:paraId="2C159C28"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MIT </w:t>
            </w:r>
          </w:p>
        </w:tc>
        <w:tc>
          <w:tcPr>
            <w:tcW w:w="570" w:type="dxa"/>
            <w:shd w:val="clear" w:color="auto" w:fill="E9E9E7"/>
            <w:vAlign w:val="center"/>
            <w:hideMark/>
          </w:tcPr>
          <w:p w14:paraId="541466E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 </w:t>
            </w:r>
          </w:p>
        </w:tc>
        <w:tc>
          <w:tcPr>
            <w:tcW w:w="525" w:type="dxa"/>
            <w:vAlign w:val="center"/>
            <w:hideMark/>
          </w:tcPr>
          <w:p w14:paraId="2DBD5503"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14 </w:t>
            </w:r>
          </w:p>
        </w:tc>
        <w:tc>
          <w:tcPr>
            <w:tcW w:w="480" w:type="dxa"/>
            <w:vAlign w:val="center"/>
            <w:hideMark/>
          </w:tcPr>
          <w:p w14:paraId="53730F6F"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26 </w:t>
            </w:r>
          </w:p>
        </w:tc>
        <w:tc>
          <w:tcPr>
            <w:tcW w:w="510" w:type="dxa"/>
            <w:vAlign w:val="center"/>
            <w:hideMark/>
          </w:tcPr>
          <w:p w14:paraId="0023E9C6"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38 </w:t>
            </w:r>
          </w:p>
        </w:tc>
        <w:tc>
          <w:tcPr>
            <w:tcW w:w="555" w:type="dxa"/>
            <w:vAlign w:val="center"/>
            <w:hideMark/>
          </w:tcPr>
          <w:p w14:paraId="7CCBF93D"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68 </w:t>
            </w:r>
          </w:p>
        </w:tc>
      </w:tr>
      <w:tr w:rsidR="00C5141A" w:rsidRPr="0063356B" w14:paraId="36D251AC" w14:textId="77777777" w:rsidTr="00274428">
        <w:trPr>
          <w:trHeight w:val="285"/>
          <w:jc w:val="center"/>
        </w:trPr>
        <w:tc>
          <w:tcPr>
            <w:tcW w:w="1380" w:type="dxa"/>
            <w:vAlign w:val="center"/>
            <w:hideMark/>
          </w:tcPr>
          <w:p w14:paraId="13E13749"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color w:val="1D1D1B"/>
                <w:kern w:val="0"/>
                <w:sz w:val="16"/>
                <w:szCs w:val="16"/>
                <w:lang w:eastAsia="en-GB"/>
                <w14:ligatures w14:val="none"/>
              </w:rPr>
              <w:t>Großbritannien</w:t>
            </w:r>
            <w:proofErr w:type="spellEnd"/>
            <w:r w:rsidRPr="468DEF39">
              <w:rPr>
                <w:rFonts w:ascii="PP Telegraf" w:eastAsia="PP Telegraf" w:hAnsi="PP Telegraf" w:cs="PP Telegraf"/>
                <w:color w:val="1D1D1B"/>
                <w:kern w:val="0"/>
                <w:sz w:val="16"/>
                <w:szCs w:val="16"/>
                <w:lang w:eastAsia="en-GB"/>
                <w14:ligatures w14:val="none"/>
              </w:rPr>
              <w:t xml:space="preserve"> </w:t>
            </w:r>
          </w:p>
        </w:tc>
        <w:tc>
          <w:tcPr>
            <w:tcW w:w="690" w:type="dxa"/>
            <w:vAlign w:val="center"/>
            <w:hideMark/>
          </w:tcPr>
          <w:p w14:paraId="4212AA76"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93 </w:t>
            </w:r>
          </w:p>
        </w:tc>
        <w:tc>
          <w:tcPr>
            <w:tcW w:w="510" w:type="dxa"/>
            <w:vAlign w:val="center"/>
            <w:hideMark/>
          </w:tcPr>
          <w:p w14:paraId="61223A85"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31 </w:t>
            </w:r>
          </w:p>
        </w:tc>
        <w:tc>
          <w:tcPr>
            <w:tcW w:w="660" w:type="dxa"/>
            <w:vAlign w:val="center"/>
            <w:hideMark/>
          </w:tcPr>
          <w:p w14:paraId="792BEF5B"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20 </w:t>
            </w:r>
          </w:p>
        </w:tc>
        <w:tc>
          <w:tcPr>
            <w:tcW w:w="645" w:type="dxa"/>
            <w:vAlign w:val="center"/>
            <w:hideMark/>
          </w:tcPr>
          <w:p w14:paraId="258A7D9B"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38 </w:t>
            </w:r>
          </w:p>
        </w:tc>
        <w:tc>
          <w:tcPr>
            <w:tcW w:w="570" w:type="dxa"/>
            <w:vAlign w:val="center"/>
            <w:hideMark/>
          </w:tcPr>
          <w:p w14:paraId="4D016D6A"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4 </w:t>
            </w:r>
          </w:p>
        </w:tc>
        <w:tc>
          <w:tcPr>
            <w:tcW w:w="2265" w:type="dxa"/>
            <w:shd w:val="clear" w:color="auto" w:fill="E9E9E7"/>
            <w:vAlign w:val="center"/>
            <w:hideMark/>
          </w:tcPr>
          <w:p w14:paraId="4ACF47A2"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Imperial College London </w:t>
            </w:r>
          </w:p>
        </w:tc>
        <w:tc>
          <w:tcPr>
            <w:tcW w:w="570" w:type="dxa"/>
            <w:shd w:val="clear" w:color="auto" w:fill="E9E9E7"/>
            <w:vAlign w:val="center"/>
            <w:hideMark/>
          </w:tcPr>
          <w:p w14:paraId="0CFC00AD"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 </w:t>
            </w:r>
          </w:p>
        </w:tc>
        <w:tc>
          <w:tcPr>
            <w:tcW w:w="525" w:type="dxa"/>
            <w:vAlign w:val="center"/>
            <w:hideMark/>
          </w:tcPr>
          <w:p w14:paraId="3AB292C3"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7 </w:t>
            </w:r>
          </w:p>
        </w:tc>
        <w:tc>
          <w:tcPr>
            <w:tcW w:w="480" w:type="dxa"/>
            <w:vAlign w:val="center"/>
            <w:hideMark/>
          </w:tcPr>
          <w:p w14:paraId="6FB5193B"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16 </w:t>
            </w:r>
          </w:p>
        </w:tc>
        <w:tc>
          <w:tcPr>
            <w:tcW w:w="510" w:type="dxa"/>
            <w:vAlign w:val="center"/>
            <w:hideMark/>
          </w:tcPr>
          <w:p w14:paraId="1195D6D6"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28 </w:t>
            </w:r>
          </w:p>
        </w:tc>
        <w:tc>
          <w:tcPr>
            <w:tcW w:w="555" w:type="dxa"/>
            <w:vAlign w:val="center"/>
            <w:hideMark/>
          </w:tcPr>
          <w:p w14:paraId="3C5F8085"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48 </w:t>
            </w:r>
          </w:p>
        </w:tc>
      </w:tr>
      <w:tr w:rsidR="00C5141A" w:rsidRPr="0063356B" w14:paraId="2D4E220C" w14:textId="77777777" w:rsidTr="00274428">
        <w:trPr>
          <w:trHeight w:val="285"/>
          <w:jc w:val="center"/>
        </w:trPr>
        <w:tc>
          <w:tcPr>
            <w:tcW w:w="1380" w:type="dxa"/>
            <w:vAlign w:val="center"/>
            <w:hideMark/>
          </w:tcPr>
          <w:p w14:paraId="3D9407C7"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color w:val="1D1D1B"/>
                <w:kern w:val="0"/>
                <w:sz w:val="16"/>
                <w:szCs w:val="16"/>
                <w:lang w:eastAsia="en-GB"/>
                <w14:ligatures w14:val="none"/>
              </w:rPr>
              <w:t>Festlandchina</w:t>
            </w:r>
            <w:proofErr w:type="spellEnd"/>
            <w:r w:rsidRPr="468DEF39">
              <w:rPr>
                <w:rFonts w:ascii="PP Telegraf" w:eastAsia="PP Telegraf" w:hAnsi="PP Telegraf" w:cs="PP Telegraf"/>
                <w:color w:val="1D1D1B"/>
                <w:kern w:val="0"/>
                <w:sz w:val="16"/>
                <w:szCs w:val="16"/>
                <w:lang w:eastAsia="en-GB"/>
                <w14:ligatures w14:val="none"/>
              </w:rPr>
              <w:t xml:space="preserve"> </w:t>
            </w:r>
          </w:p>
        </w:tc>
        <w:tc>
          <w:tcPr>
            <w:tcW w:w="690" w:type="dxa"/>
            <w:vAlign w:val="center"/>
            <w:hideMark/>
          </w:tcPr>
          <w:p w14:paraId="72FB4464"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85 </w:t>
            </w:r>
          </w:p>
        </w:tc>
        <w:tc>
          <w:tcPr>
            <w:tcW w:w="510" w:type="dxa"/>
            <w:vAlign w:val="center"/>
            <w:hideMark/>
          </w:tcPr>
          <w:p w14:paraId="2C7BAE22"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52 </w:t>
            </w:r>
          </w:p>
        </w:tc>
        <w:tc>
          <w:tcPr>
            <w:tcW w:w="660" w:type="dxa"/>
            <w:vAlign w:val="center"/>
            <w:hideMark/>
          </w:tcPr>
          <w:p w14:paraId="1FD4274B"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10 </w:t>
            </w:r>
          </w:p>
        </w:tc>
        <w:tc>
          <w:tcPr>
            <w:tcW w:w="645" w:type="dxa"/>
            <w:vAlign w:val="center"/>
            <w:hideMark/>
          </w:tcPr>
          <w:p w14:paraId="28F43307"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10 </w:t>
            </w:r>
          </w:p>
        </w:tc>
        <w:tc>
          <w:tcPr>
            <w:tcW w:w="570" w:type="dxa"/>
            <w:vAlign w:val="center"/>
            <w:hideMark/>
          </w:tcPr>
          <w:p w14:paraId="3B5651A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13 </w:t>
            </w:r>
          </w:p>
        </w:tc>
        <w:tc>
          <w:tcPr>
            <w:tcW w:w="2265" w:type="dxa"/>
            <w:shd w:val="clear" w:color="auto" w:fill="E9E9E7"/>
            <w:vAlign w:val="center"/>
            <w:hideMark/>
          </w:tcPr>
          <w:p w14:paraId="79878A1F"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Universität Peking </w:t>
            </w:r>
          </w:p>
        </w:tc>
        <w:tc>
          <w:tcPr>
            <w:tcW w:w="570" w:type="dxa"/>
            <w:shd w:val="clear" w:color="auto" w:fill="E9E9E7"/>
            <w:vAlign w:val="center"/>
            <w:hideMark/>
          </w:tcPr>
          <w:p w14:paraId="5FCABD46"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13 </w:t>
            </w:r>
          </w:p>
        </w:tc>
        <w:tc>
          <w:tcPr>
            <w:tcW w:w="525" w:type="dxa"/>
            <w:vAlign w:val="center"/>
            <w:hideMark/>
          </w:tcPr>
          <w:p w14:paraId="7FCC0390"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5 </w:t>
            </w:r>
          </w:p>
        </w:tc>
        <w:tc>
          <w:tcPr>
            <w:tcW w:w="480" w:type="dxa"/>
            <w:vAlign w:val="center"/>
            <w:hideMark/>
          </w:tcPr>
          <w:p w14:paraId="50B1A30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6 </w:t>
            </w:r>
          </w:p>
        </w:tc>
        <w:tc>
          <w:tcPr>
            <w:tcW w:w="510" w:type="dxa"/>
            <w:vAlign w:val="center"/>
            <w:hideMark/>
          </w:tcPr>
          <w:p w14:paraId="49C8E763"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10 </w:t>
            </w:r>
          </w:p>
        </w:tc>
        <w:tc>
          <w:tcPr>
            <w:tcW w:w="555" w:type="dxa"/>
            <w:vAlign w:val="center"/>
            <w:hideMark/>
          </w:tcPr>
          <w:p w14:paraId="3B61AD9D"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38 </w:t>
            </w:r>
          </w:p>
        </w:tc>
      </w:tr>
      <w:tr w:rsidR="00C5141A" w:rsidRPr="0063356B" w14:paraId="02DBF4DB" w14:textId="77777777" w:rsidTr="00274428">
        <w:trPr>
          <w:trHeight w:val="285"/>
          <w:jc w:val="center"/>
        </w:trPr>
        <w:tc>
          <w:tcPr>
            <w:tcW w:w="1380" w:type="dxa"/>
            <w:vAlign w:val="center"/>
            <w:hideMark/>
          </w:tcPr>
          <w:p w14:paraId="297D012D"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Deutschland </w:t>
            </w:r>
          </w:p>
        </w:tc>
        <w:tc>
          <w:tcPr>
            <w:tcW w:w="690" w:type="dxa"/>
            <w:vAlign w:val="center"/>
            <w:hideMark/>
          </w:tcPr>
          <w:p w14:paraId="3BA2D485"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60 </w:t>
            </w:r>
          </w:p>
        </w:tc>
        <w:tc>
          <w:tcPr>
            <w:tcW w:w="510" w:type="dxa"/>
            <w:vAlign w:val="center"/>
            <w:hideMark/>
          </w:tcPr>
          <w:p w14:paraId="70BFBC7E"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8 </w:t>
            </w:r>
          </w:p>
        </w:tc>
        <w:tc>
          <w:tcPr>
            <w:tcW w:w="660" w:type="dxa"/>
            <w:vAlign w:val="center"/>
            <w:hideMark/>
          </w:tcPr>
          <w:p w14:paraId="06AF273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3 </w:t>
            </w:r>
          </w:p>
        </w:tc>
        <w:tc>
          <w:tcPr>
            <w:tcW w:w="645" w:type="dxa"/>
            <w:vAlign w:val="center"/>
            <w:hideMark/>
          </w:tcPr>
          <w:p w14:paraId="0880ED36"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38 </w:t>
            </w:r>
          </w:p>
        </w:tc>
        <w:tc>
          <w:tcPr>
            <w:tcW w:w="570" w:type="dxa"/>
            <w:vAlign w:val="center"/>
            <w:hideMark/>
          </w:tcPr>
          <w:p w14:paraId="5518DDDF"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11 </w:t>
            </w:r>
          </w:p>
        </w:tc>
        <w:tc>
          <w:tcPr>
            <w:tcW w:w="2265" w:type="dxa"/>
            <w:shd w:val="clear" w:color="auto" w:fill="E9E9E7"/>
            <w:vAlign w:val="center"/>
            <w:hideMark/>
          </w:tcPr>
          <w:p w14:paraId="3604A920"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color w:val="1D1D1B"/>
                <w:kern w:val="0"/>
                <w:sz w:val="16"/>
                <w:szCs w:val="16"/>
                <w:lang w:eastAsia="en-GB"/>
                <w14:ligatures w14:val="none"/>
              </w:rPr>
              <w:t>Technische</w:t>
            </w:r>
            <w:proofErr w:type="spellEnd"/>
            <w:r w:rsidRPr="468DEF39">
              <w:rPr>
                <w:rFonts w:ascii="PP Telegraf" w:eastAsia="PP Telegraf" w:hAnsi="PP Telegraf" w:cs="PP Telegraf"/>
                <w:color w:val="1D1D1B"/>
                <w:kern w:val="0"/>
                <w:sz w:val="16"/>
                <w:szCs w:val="16"/>
                <w:lang w:eastAsia="en-GB"/>
                <w14:ligatures w14:val="none"/>
              </w:rPr>
              <w:t xml:space="preserve"> Universität München </w:t>
            </w:r>
          </w:p>
        </w:tc>
        <w:tc>
          <w:tcPr>
            <w:tcW w:w="570" w:type="dxa"/>
            <w:shd w:val="clear" w:color="auto" w:fill="E9E9E7"/>
            <w:vAlign w:val="center"/>
            <w:hideMark/>
          </w:tcPr>
          <w:p w14:paraId="6BD906CA"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25 </w:t>
            </w:r>
          </w:p>
        </w:tc>
        <w:tc>
          <w:tcPr>
            <w:tcW w:w="525" w:type="dxa"/>
            <w:vAlign w:val="center"/>
            <w:hideMark/>
          </w:tcPr>
          <w:p w14:paraId="7FE66F3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 </w:t>
            </w:r>
          </w:p>
        </w:tc>
        <w:tc>
          <w:tcPr>
            <w:tcW w:w="480" w:type="dxa"/>
            <w:vAlign w:val="center"/>
            <w:hideMark/>
          </w:tcPr>
          <w:p w14:paraId="46465ABD"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 </w:t>
            </w:r>
          </w:p>
        </w:tc>
        <w:tc>
          <w:tcPr>
            <w:tcW w:w="510" w:type="dxa"/>
            <w:vAlign w:val="center"/>
            <w:hideMark/>
          </w:tcPr>
          <w:p w14:paraId="1413EDF0"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9 </w:t>
            </w:r>
          </w:p>
        </w:tc>
        <w:tc>
          <w:tcPr>
            <w:tcW w:w="555" w:type="dxa"/>
            <w:vAlign w:val="center"/>
            <w:hideMark/>
          </w:tcPr>
          <w:p w14:paraId="5B9BCB88"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28 </w:t>
            </w:r>
          </w:p>
        </w:tc>
      </w:tr>
      <w:tr w:rsidR="00C5141A" w:rsidRPr="0063356B" w14:paraId="61ADF0B0" w14:textId="77777777" w:rsidTr="00274428">
        <w:trPr>
          <w:trHeight w:val="285"/>
          <w:jc w:val="center"/>
        </w:trPr>
        <w:tc>
          <w:tcPr>
            <w:tcW w:w="1380" w:type="dxa"/>
            <w:vAlign w:val="center"/>
            <w:hideMark/>
          </w:tcPr>
          <w:p w14:paraId="4B4D1DDF"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color w:val="1D1D1B"/>
                <w:kern w:val="0"/>
                <w:sz w:val="16"/>
                <w:szCs w:val="16"/>
                <w:lang w:eastAsia="en-GB"/>
                <w14:ligatures w14:val="none"/>
              </w:rPr>
              <w:t>Indien</w:t>
            </w:r>
            <w:proofErr w:type="spellEnd"/>
            <w:r w:rsidRPr="468DEF39">
              <w:rPr>
                <w:rFonts w:ascii="PP Telegraf" w:eastAsia="PP Telegraf" w:hAnsi="PP Telegraf" w:cs="PP Telegraf"/>
                <w:color w:val="1D1D1B"/>
                <w:kern w:val="0"/>
                <w:sz w:val="16"/>
                <w:szCs w:val="16"/>
                <w:lang w:eastAsia="en-GB"/>
                <w14:ligatures w14:val="none"/>
              </w:rPr>
              <w:t xml:space="preserve"> </w:t>
            </w:r>
          </w:p>
        </w:tc>
        <w:tc>
          <w:tcPr>
            <w:tcW w:w="690" w:type="dxa"/>
            <w:vAlign w:val="center"/>
            <w:hideMark/>
          </w:tcPr>
          <w:p w14:paraId="687FC336"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52 </w:t>
            </w:r>
          </w:p>
        </w:tc>
        <w:tc>
          <w:tcPr>
            <w:tcW w:w="510" w:type="dxa"/>
            <w:vAlign w:val="center"/>
            <w:hideMark/>
          </w:tcPr>
          <w:p w14:paraId="0870DF3D"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26 </w:t>
            </w:r>
          </w:p>
        </w:tc>
        <w:tc>
          <w:tcPr>
            <w:tcW w:w="660" w:type="dxa"/>
            <w:vAlign w:val="center"/>
            <w:hideMark/>
          </w:tcPr>
          <w:p w14:paraId="6D30DAD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9 </w:t>
            </w:r>
          </w:p>
        </w:tc>
        <w:tc>
          <w:tcPr>
            <w:tcW w:w="645" w:type="dxa"/>
            <w:vAlign w:val="center"/>
            <w:hideMark/>
          </w:tcPr>
          <w:p w14:paraId="06491081"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15 </w:t>
            </w:r>
          </w:p>
        </w:tc>
        <w:tc>
          <w:tcPr>
            <w:tcW w:w="570" w:type="dxa"/>
            <w:vAlign w:val="center"/>
            <w:hideMark/>
          </w:tcPr>
          <w:p w14:paraId="3C0ACB9A"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2 </w:t>
            </w:r>
          </w:p>
        </w:tc>
        <w:tc>
          <w:tcPr>
            <w:tcW w:w="2265" w:type="dxa"/>
            <w:shd w:val="clear" w:color="auto" w:fill="E9E9E7"/>
            <w:vAlign w:val="center"/>
            <w:hideMark/>
          </w:tcPr>
          <w:p w14:paraId="0531A944"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Indian Institute of Technology Delhi (IITD) </w:t>
            </w:r>
          </w:p>
        </w:tc>
        <w:tc>
          <w:tcPr>
            <w:tcW w:w="570" w:type="dxa"/>
            <w:shd w:val="clear" w:color="auto" w:fill="E9E9E7"/>
            <w:vAlign w:val="center"/>
            <w:hideMark/>
          </w:tcPr>
          <w:p w14:paraId="5D3752C5"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118 </w:t>
            </w:r>
          </w:p>
        </w:tc>
        <w:tc>
          <w:tcPr>
            <w:tcW w:w="525" w:type="dxa"/>
            <w:vAlign w:val="center"/>
            <w:hideMark/>
          </w:tcPr>
          <w:p w14:paraId="2E6F2AD5"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w:t>
            </w:r>
          </w:p>
        </w:tc>
        <w:tc>
          <w:tcPr>
            <w:tcW w:w="480" w:type="dxa"/>
            <w:vAlign w:val="center"/>
            <w:hideMark/>
          </w:tcPr>
          <w:p w14:paraId="79CAE9FE"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w:t>
            </w:r>
          </w:p>
        </w:tc>
        <w:tc>
          <w:tcPr>
            <w:tcW w:w="510" w:type="dxa"/>
            <w:vAlign w:val="center"/>
            <w:hideMark/>
          </w:tcPr>
          <w:p w14:paraId="787FB373"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 </w:t>
            </w:r>
          </w:p>
        </w:tc>
        <w:tc>
          <w:tcPr>
            <w:tcW w:w="555" w:type="dxa"/>
            <w:vAlign w:val="center"/>
            <w:hideMark/>
          </w:tcPr>
          <w:p w14:paraId="56143E7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11 </w:t>
            </w:r>
          </w:p>
        </w:tc>
      </w:tr>
      <w:tr w:rsidR="00C5141A" w:rsidRPr="0063356B" w14:paraId="730B9C85" w14:textId="77777777" w:rsidTr="00274428">
        <w:trPr>
          <w:trHeight w:val="285"/>
          <w:jc w:val="center"/>
        </w:trPr>
        <w:tc>
          <w:tcPr>
            <w:tcW w:w="1380" w:type="dxa"/>
            <w:vAlign w:val="center"/>
            <w:hideMark/>
          </w:tcPr>
          <w:p w14:paraId="68F78160"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color w:val="1D1D1B"/>
                <w:kern w:val="0"/>
                <w:sz w:val="16"/>
                <w:szCs w:val="16"/>
                <w:lang w:eastAsia="en-GB"/>
                <w14:ligatures w14:val="none"/>
              </w:rPr>
              <w:t>Spanien</w:t>
            </w:r>
            <w:proofErr w:type="spellEnd"/>
            <w:r w:rsidRPr="468DEF39">
              <w:rPr>
                <w:rFonts w:ascii="PP Telegraf" w:eastAsia="PP Telegraf" w:hAnsi="PP Telegraf" w:cs="PP Telegraf"/>
                <w:color w:val="1D1D1B"/>
                <w:kern w:val="0"/>
                <w:sz w:val="16"/>
                <w:szCs w:val="16"/>
                <w:lang w:eastAsia="en-GB"/>
                <w14:ligatures w14:val="none"/>
              </w:rPr>
              <w:t xml:space="preserve"> </w:t>
            </w:r>
          </w:p>
        </w:tc>
        <w:tc>
          <w:tcPr>
            <w:tcW w:w="690" w:type="dxa"/>
            <w:vAlign w:val="center"/>
            <w:hideMark/>
          </w:tcPr>
          <w:p w14:paraId="7A2B403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48 </w:t>
            </w:r>
          </w:p>
        </w:tc>
        <w:tc>
          <w:tcPr>
            <w:tcW w:w="510" w:type="dxa"/>
            <w:vAlign w:val="center"/>
            <w:hideMark/>
          </w:tcPr>
          <w:p w14:paraId="684BD0AD"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2 </w:t>
            </w:r>
          </w:p>
        </w:tc>
        <w:tc>
          <w:tcPr>
            <w:tcW w:w="660" w:type="dxa"/>
            <w:vAlign w:val="center"/>
            <w:hideMark/>
          </w:tcPr>
          <w:p w14:paraId="3F91745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12 </w:t>
            </w:r>
          </w:p>
        </w:tc>
        <w:tc>
          <w:tcPr>
            <w:tcW w:w="645" w:type="dxa"/>
            <w:vAlign w:val="center"/>
            <w:hideMark/>
          </w:tcPr>
          <w:p w14:paraId="4A29BC65"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24 </w:t>
            </w:r>
          </w:p>
        </w:tc>
        <w:tc>
          <w:tcPr>
            <w:tcW w:w="570" w:type="dxa"/>
            <w:vAlign w:val="center"/>
            <w:hideMark/>
          </w:tcPr>
          <w:p w14:paraId="3E2D59C4"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10 </w:t>
            </w:r>
          </w:p>
        </w:tc>
        <w:tc>
          <w:tcPr>
            <w:tcW w:w="2265" w:type="dxa"/>
            <w:shd w:val="clear" w:color="auto" w:fill="E9E9E7"/>
            <w:vAlign w:val="center"/>
            <w:hideMark/>
          </w:tcPr>
          <w:p w14:paraId="6CD97D55"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Universität Barcelona </w:t>
            </w:r>
          </w:p>
        </w:tc>
        <w:tc>
          <w:tcPr>
            <w:tcW w:w="570" w:type="dxa"/>
            <w:shd w:val="clear" w:color="auto" w:fill="E9E9E7"/>
            <w:vAlign w:val="center"/>
            <w:hideMark/>
          </w:tcPr>
          <w:p w14:paraId="6EAA0A81"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165 </w:t>
            </w:r>
          </w:p>
        </w:tc>
        <w:tc>
          <w:tcPr>
            <w:tcW w:w="525" w:type="dxa"/>
            <w:vAlign w:val="center"/>
            <w:hideMark/>
          </w:tcPr>
          <w:p w14:paraId="0C61F4F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w:t>
            </w:r>
          </w:p>
        </w:tc>
        <w:tc>
          <w:tcPr>
            <w:tcW w:w="480" w:type="dxa"/>
            <w:vAlign w:val="center"/>
            <w:hideMark/>
          </w:tcPr>
          <w:p w14:paraId="24FF9C8C"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w:t>
            </w:r>
          </w:p>
        </w:tc>
        <w:tc>
          <w:tcPr>
            <w:tcW w:w="510" w:type="dxa"/>
            <w:vAlign w:val="center"/>
            <w:hideMark/>
          </w:tcPr>
          <w:p w14:paraId="7D256126"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 </w:t>
            </w:r>
          </w:p>
        </w:tc>
        <w:tc>
          <w:tcPr>
            <w:tcW w:w="555" w:type="dxa"/>
            <w:vAlign w:val="center"/>
            <w:hideMark/>
          </w:tcPr>
          <w:p w14:paraId="1E0CFB26"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15 </w:t>
            </w:r>
          </w:p>
        </w:tc>
      </w:tr>
      <w:tr w:rsidR="00C5141A" w:rsidRPr="0063356B" w14:paraId="34E38166" w14:textId="77777777" w:rsidTr="00274428">
        <w:trPr>
          <w:trHeight w:val="285"/>
          <w:jc w:val="center"/>
        </w:trPr>
        <w:tc>
          <w:tcPr>
            <w:tcW w:w="1380" w:type="dxa"/>
            <w:vAlign w:val="center"/>
            <w:hideMark/>
          </w:tcPr>
          <w:p w14:paraId="1F80919B"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color w:val="1D1D1B"/>
                <w:kern w:val="0"/>
                <w:sz w:val="16"/>
                <w:szCs w:val="16"/>
                <w:lang w:eastAsia="en-GB"/>
                <w14:ligatures w14:val="none"/>
              </w:rPr>
              <w:t>Italien</w:t>
            </w:r>
            <w:proofErr w:type="spellEnd"/>
            <w:r w:rsidRPr="468DEF39">
              <w:rPr>
                <w:rFonts w:ascii="PP Telegraf" w:eastAsia="PP Telegraf" w:hAnsi="PP Telegraf" w:cs="PP Telegraf"/>
                <w:color w:val="1D1D1B"/>
                <w:kern w:val="0"/>
                <w:sz w:val="16"/>
                <w:szCs w:val="16"/>
                <w:lang w:eastAsia="en-GB"/>
                <w14:ligatures w14:val="none"/>
              </w:rPr>
              <w:t xml:space="preserve"> </w:t>
            </w:r>
          </w:p>
        </w:tc>
        <w:tc>
          <w:tcPr>
            <w:tcW w:w="690" w:type="dxa"/>
            <w:vAlign w:val="center"/>
            <w:hideMark/>
          </w:tcPr>
          <w:p w14:paraId="225EA161"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47 </w:t>
            </w:r>
          </w:p>
        </w:tc>
        <w:tc>
          <w:tcPr>
            <w:tcW w:w="510" w:type="dxa"/>
            <w:vAlign w:val="center"/>
            <w:hideMark/>
          </w:tcPr>
          <w:p w14:paraId="2361D750"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23 </w:t>
            </w:r>
          </w:p>
        </w:tc>
        <w:tc>
          <w:tcPr>
            <w:tcW w:w="660" w:type="dxa"/>
            <w:vAlign w:val="center"/>
            <w:hideMark/>
          </w:tcPr>
          <w:p w14:paraId="7B8DE011"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9 </w:t>
            </w:r>
          </w:p>
        </w:tc>
        <w:tc>
          <w:tcPr>
            <w:tcW w:w="645" w:type="dxa"/>
            <w:vAlign w:val="center"/>
            <w:hideMark/>
          </w:tcPr>
          <w:p w14:paraId="0CD9DB5F"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9 </w:t>
            </w:r>
          </w:p>
        </w:tc>
        <w:tc>
          <w:tcPr>
            <w:tcW w:w="570" w:type="dxa"/>
            <w:vAlign w:val="center"/>
            <w:hideMark/>
          </w:tcPr>
          <w:p w14:paraId="1CC19445"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6 </w:t>
            </w:r>
          </w:p>
        </w:tc>
        <w:tc>
          <w:tcPr>
            <w:tcW w:w="2265" w:type="dxa"/>
            <w:shd w:val="clear" w:color="auto" w:fill="E9E9E7"/>
            <w:vAlign w:val="center"/>
            <w:hideMark/>
          </w:tcPr>
          <w:p w14:paraId="4961DCDA"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color w:val="1D1D1B"/>
                <w:kern w:val="0"/>
                <w:sz w:val="16"/>
                <w:szCs w:val="16"/>
                <w:lang w:eastAsia="en-GB"/>
                <w14:ligatures w14:val="none"/>
              </w:rPr>
              <w:t>Politecnico</w:t>
            </w:r>
            <w:proofErr w:type="spellEnd"/>
            <w:r w:rsidRPr="468DEF39">
              <w:rPr>
                <w:rFonts w:ascii="PP Telegraf" w:eastAsia="PP Telegraf" w:hAnsi="PP Telegraf" w:cs="PP Telegraf"/>
                <w:color w:val="1D1D1B"/>
                <w:kern w:val="0"/>
                <w:sz w:val="16"/>
                <w:szCs w:val="16"/>
                <w:lang w:eastAsia="en-GB"/>
                <w14:ligatures w14:val="none"/>
              </w:rPr>
              <w:t xml:space="preserve"> di Milano </w:t>
            </w:r>
          </w:p>
        </w:tc>
        <w:tc>
          <w:tcPr>
            <w:tcW w:w="570" w:type="dxa"/>
            <w:shd w:val="clear" w:color="auto" w:fill="E9E9E7"/>
            <w:vAlign w:val="center"/>
            <w:hideMark/>
          </w:tcPr>
          <w:p w14:paraId="4A628377"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87 </w:t>
            </w:r>
          </w:p>
        </w:tc>
        <w:tc>
          <w:tcPr>
            <w:tcW w:w="525" w:type="dxa"/>
            <w:vAlign w:val="center"/>
            <w:hideMark/>
          </w:tcPr>
          <w:p w14:paraId="405A5821"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w:t>
            </w:r>
          </w:p>
        </w:tc>
        <w:tc>
          <w:tcPr>
            <w:tcW w:w="480" w:type="dxa"/>
            <w:vAlign w:val="center"/>
            <w:hideMark/>
          </w:tcPr>
          <w:p w14:paraId="64F3B30B"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 </w:t>
            </w:r>
          </w:p>
        </w:tc>
        <w:tc>
          <w:tcPr>
            <w:tcW w:w="510" w:type="dxa"/>
            <w:vAlign w:val="center"/>
            <w:hideMark/>
          </w:tcPr>
          <w:p w14:paraId="74288AA7"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 </w:t>
            </w:r>
          </w:p>
        </w:tc>
        <w:tc>
          <w:tcPr>
            <w:tcW w:w="555" w:type="dxa"/>
            <w:vAlign w:val="center"/>
            <w:hideMark/>
          </w:tcPr>
          <w:p w14:paraId="525C2AD1"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15 </w:t>
            </w:r>
          </w:p>
        </w:tc>
      </w:tr>
      <w:tr w:rsidR="00C5141A" w:rsidRPr="0063356B" w14:paraId="68AD6587" w14:textId="77777777" w:rsidTr="00274428">
        <w:trPr>
          <w:trHeight w:val="285"/>
          <w:jc w:val="center"/>
        </w:trPr>
        <w:tc>
          <w:tcPr>
            <w:tcW w:w="1380" w:type="dxa"/>
            <w:vAlign w:val="center"/>
            <w:hideMark/>
          </w:tcPr>
          <w:p w14:paraId="16E7E7FF"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color w:val="1D1D1B"/>
                <w:kern w:val="0"/>
                <w:sz w:val="16"/>
                <w:szCs w:val="16"/>
                <w:lang w:eastAsia="en-GB"/>
                <w14:ligatures w14:val="none"/>
              </w:rPr>
              <w:t>Südkorea</w:t>
            </w:r>
            <w:proofErr w:type="spellEnd"/>
            <w:r w:rsidRPr="468DEF39">
              <w:rPr>
                <w:rFonts w:ascii="PP Telegraf" w:eastAsia="PP Telegraf" w:hAnsi="PP Telegraf" w:cs="PP Telegraf"/>
                <w:color w:val="1D1D1B"/>
                <w:kern w:val="0"/>
                <w:sz w:val="16"/>
                <w:szCs w:val="16"/>
                <w:lang w:eastAsia="en-GB"/>
                <w14:ligatures w14:val="none"/>
              </w:rPr>
              <w:t xml:space="preserve"> </w:t>
            </w:r>
          </w:p>
        </w:tc>
        <w:tc>
          <w:tcPr>
            <w:tcW w:w="690" w:type="dxa"/>
            <w:vAlign w:val="center"/>
            <w:hideMark/>
          </w:tcPr>
          <w:p w14:paraId="59BBCF1E"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43 </w:t>
            </w:r>
          </w:p>
        </w:tc>
        <w:tc>
          <w:tcPr>
            <w:tcW w:w="510" w:type="dxa"/>
            <w:vAlign w:val="center"/>
            <w:hideMark/>
          </w:tcPr>
          <w:p w14:paraId="1505958E"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21 </w:t>
            </w:r>
          </w:p>
        </w:tc>
        <w:tc>
          <w:tcPr>
            <w:tcW w:w="660" w:type="dxa"/>
            <w:vAlign w:val="center"/>
            <w:hideMark/>
          </w:tcPr>
          <w:p w14:paraId="12473265"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12 </w:t>
            </w:r>
          </w:p>
        </w:tc>
        <w:tc>
          <w:tcPr>
            <w:tcW w:w="645" w:type="dxa"/>
            <w:vAlign w:val="center"/>
            <w:hideMark/>
          </w:tcPr>
          <w:p w14:paraId="5064FCF2"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7 </w:t>
            </w:r>
          </w:p>
        </w:tc>
        <w:tc>
          <w:tcPr>
            <w:tcW w:w="570" w:type="dxa"/>
            <w:vAlign w:val="center"/>
            <w:hideMark/>
          </w:tcPr>
          <w:p w14:paraId="4D48A8DA"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3 </w:t>
            </w:r>
          </w:p>
        </w:tc>
        <w:tc>
          <w:tcPr>
            <w:tcW w:w="2265" w:type="dxa"/>
            <w:shd w:val="clear" w:color="auto" w:fill="E9E9E7"/>
            <w:vAlign w:val="center"/>
            <w:hideMark/>
          </w:tcPr>
          <w:p w14:paraId="7782A455"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Seoul National University </w:t>
            </w:r>
          </w:p>
        </w:tc>
        <w:tc>
          <w:tcPr>
            <w:tcW w:w="570" w:type="dxa"/>
            <w:shd w:val="clear" w:color="auto" w:fill="E9E9E7"/>
            <w:vAlign w:val="center"/>
            <w:hideMark/>
          </w:tcPr>
          <w:p w14:paraId="69E75BB8"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38 </w:t>
            </w:r>
          </w:p>
        </w:tc>
        <w:tc>
          <w:tcPr>
            <w:tcW w:w="525" w:type="dxa"/>
            <w:vAlign w:val="center"/>
            <w:hideMark/>
          </w:tcPr>
          <w:p w14:paraId="6BB69202"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 </w:t>
            </w:r>
          </w:p>
        </w:tc>
        <w:tc>
          <w:tcPr>
            <w:tcW w:w="480" w:type="dxa"/>
            <w:vAlign w:val="center"/>
            <w:hideMark/>
          </w:tcPr>
          <w:p w14:paraId="560C53B5"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 </w:t>
            </w:r>
          </w:p>
        </w:tc>
        <w:tc>
          <w:tcPr>
            <w:tcW w:w="510" w:type="dxa"/>
            <w:vAlign w:val="center"/>
            <w:hideMark/>
          </w:tcPr>
          <w:p w14:paraId="31F41FB2"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7 </w:t>
            </w:r>
          </w:p>
        </w:tc>
        <w:tc>
          <w:tcPr>
            <w:tcW w:w="555" w:type="dxa"/>
            <w:vAlign w:val="center"/>
            <w:hideMark/>
          </w:tcPr>
          <w:p w14:paraId="7D70BA70"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17 </w:t>
            </w:r>
          </w:p>
        </w:tc>
      </w:tr>
      <w:tr w:rsidR="00C5141A" w:rsidRPr="0063356B" w14:paraId="265E5840" w14:textId="77777777" w:rsidTr="00274428">
        <w:trPr>
          <w:trHeight w:val="285"/>
          <w:jc w:val="center"/>
        </w:trPr>
        <w:tc>
          <w:tcPr>
            <w:tcW w:w="1380" w:type="dxa"/>
            <w:vAlign w:val="center"/>
            <w:hideMark/>
          </w:tcPr>
          <w:p w14:paraId="5F1CDC36"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Japan </w:t>
            </w:r>
          </w:p>
        </w:tc>
        <w:tc>
          <w:tcPr>
            <w:tcW w:w="690" w:type="dxa"/>
            <w:vAlign w:val="center"/>
            <w:hideMark/>
          </w:tcPr>
          <w:p w14:paraId="7138DA3B"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41 </w:t>
            </w:r>
          </w:p>
        </w:tc>
        <w:tc>
          <w:tcPr>
            <w:tcW w:w="510" w:type="dxa"/>
            <w:vAlign w:val="center"/>
            <w:hideMark/>
          </w:tcPr>
          <w:p w14:paraId="2D1908BD"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3 </w:t>
            </w:r>
          </w:p>
        </w:tc>
        <w:tc>
          <w:tcPr>
            <w:tcW w:w="660" w:type="dxa"/>
            <w:vAlign w:val="center"/>
            <w:hideMark/>
          </w:tcPr>
          <w:p w14:paraId="34710584"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13 </w:t>
            </w:r>
          </w:p>
        </w:tc>
        <w:tc>
          <w:tcPr>
            <w:tcW w:w="645" w:type="dxa"/>
            <w:vAlign w:val="center"/>
            <w:hideMark/>
          </w:tcPr>
          <w:p w14:paraId="6EED5E0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24 </w:t>
            </w:r>
          </w:p>
        </w:tc>
        <w:tc>
          <w:tcPr>
            <w:tcW w:w="570" w:type="dxa"/>
            <w:vAlign w:val="center"/>
            <w:hideMark/>
          </w:tcPr>
          <w:p w14:paraId="233D6B3E"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1 </w:t>
            </w:r>
          </w:p>
        </w:tc>
        <w:tc>
          <w:tcPr>
            <w:tcW w:w="2265" w:type="dxa"/>
            <w:shd w:val="clear" w:color="auto" w:fill="E9E9E7"/>
            <w:vAlign w:val="center"/>
            <w:hideMark/>
          </w:tcPr>
          <w:p w14:paraId="0647F9A0"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Die Universität Tokio </w:t>
            </w:r>
          </w:p>
        </w:tc>
        <w:tc>
          <w:tcPr>
            <w:tcW w:w="570" w:type="dxa"/>
            <w:shd w:val="clear" w:color="auto" w:fill="E9E9E7"/>
            <w:vAlign w:val="center"/>
            <w:hideMark/>
          </w:tcPr>
          <w:p w14:paraId="12402946"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39 </w:t>
            </w:r>
          </w:p>
        </w:tc>
        <w:tc>
          <w:tcPr>
            <w:tcW w:w="525" w:type="dxa"/>
            <w:vAlign w:val="center"/>
            <w:hideMark/>
          </w:tcPr>
          <w:p w14:paraId="427C141B"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 </w:t>
            </w:r>
          </w:p>
        </w:tc>
        <w:tc>
          <w:tcPr>
            <w:tcW w:w="480" w:type="dxa"/>
            <w:vAlign w:val="center"/>
            <w:hideMark/>
          </w:tcPr>
          <w:p w14:paraId="2D1C3A0F"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 </w:t>
            </w:r>
          </w:p>
        </w:tc>
        <w:tc>
          <w:tcPr>
            <w:tcW w:w="510" w:type="dxa"/>
            <w:vAlign w:val="center"/>
            <w:hideMark/>
          </w:tcPr>
          <w:p w14:paraId="2EEC1AA8"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8 </w:t>
            </w:r>
          </w:p>
        </w:tc>
        <w:tc>
          <w:tcPr>
            <w:tcW w:w="555" w:type="dxa"/>
            <w:vAlign w:val="center"/>
            <w:hideMark/>
          </w:tcPr>
          <w:p w14:paraId="32C76444"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12 </w:t>
            </w:r>
          </w:p>
        </w:tc>
      </w:tr>
      <w:tr w:rsidR="00C5141A" w:rsidRPr="0063356B" w14:paraId="4A9D7704" w14:textId="77777777" w:rsidTr="00274428">
        <w:trPr>
          <w:trHeight w:val="285"/>
          <w:jc w:val="center"/>
        </w:trPr>
        <w:tc>
          <w:tcPr>
            <w:tcW w:w="1380" w:type="dxa"/>
            <w:vAlign w:val="center"/>
            <w:hideMark/>
          </w:tcPr>
          <w:p w14:paraId="0C6C5709"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proofErr w:type="spellStart"/>
            <w:r w:rsidRPr="468DEF39">
              <w:rPr>
                <w:rFonts w:ascii="PP Telegraf" w:eastAsia="PP Telegraf" w:hAnsi="PP Telegraf" w:cs="PP Telegraf"/>
                <w:color w:val="1D1D1B"/>
                <w:kern w:val="0"/>
                <w:sz w:val="16"/>
                <w:szCs w:val="16"/>
                <w:lang w:eastAsia="en-GB"/>
                <w14:ligatures w14:val="none"/>
              </w:rPr>
              <w:t>Frankreich</w:t>
            </w:r>
            <w:proofErr w:type="spellEnd"/>
            <w:r w:rsidRPr="468DEF39">
              <w:rPr>
                <w:rFonts w:ascii="PP Telegraf" w:eastAsia="PP Telegraf" w:hAnsi="PP Telegraf" w:cs="PP Telegraf"/>
                <w:color w:val="1D1D1B"/>
                <w:kern w:val="0"/>
                <w:sz w:val="16"/>
                <w:szCs w:val="16"/>
                <w:lang w:eastAsia="en-GB"/>
                <w14:ligatures w14:val="none"/>
              </w:rPr>
              <w:t xml:space="preserve"> </w:t>
            </w:r>
          </w:p>
        </w:tc>
        <w:tc>
          <w:tcPr>
            <w:tcW w:w="690" w:type="dxa"/>
            <w:vAlign w:val="center"/>
            <w:hideMark/>
          </w:tcPr>
          <w:p w14:paraId="3353A832"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38 </w:t>
            </w:r>
          </w:p>
        </w:tc>
        <w:tc>
          <w:tcPr>
            <w:tcW w:w="510" w:type="dxa"/>
            <w:vAlign w:val="center"/>
            <w:hideMark/>
          </w:tcPr>
          <w:p w14:paraId="2B685B4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B050"/>
                <w:kern w:val="0"/>
                <w:sz w:val="16"/>
                <w:szCs w:val="16"/>
                <w:lang w:eastAsia="en-GB"/>
                <w14:ligatures w14:val="none"/>
              </w:rPr>
              <w:t xml:space="preserve">5 </w:t>
            </w:r>
          </w:p>
        </w:tc>
        <w:tc>
          <w:tcPr>
            <w:tcW w:w="660" w:type="dxa"/>
            <w:vAlign w:val="center"/>
            <w:hideMark/>
          </w:tcPr>
          <w:p w14:paraId="5D82C02E"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FFC000"/>
                <w:kern w:val="0"/>
                <w:sz w:val="16"/>
                <w:szCs w:val="16"/>
                <w:lang w:eastAsia="en-GB"/>
                <w14:ligatures w14:val="none"/>
              </w:rPr>
              <w:t xml:space="preserve">7 </w:t>
            </w:r>
          </w:p>
        </w:tc>
        <w:tc>
          <w:tcPr>
            <w:tcW w:w="645" w:type="dxa"/>
            <w:vAlign w:val="center"/>
            <w:hideMark/>
          </w:tcPr>
          <w:p w14:paraId="7C139B8B"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C00000"/>
                <w:kern w:val="0"/>
                <w:sz w:val="16"/>
                <w:szCs w:val="16"/>
                <w:lang w:eastAsia="en-GB"/>
                <w14:ligatures w14:val="none"/>
              </w:rPr>
              <w:t xml:space="preserve">19 </w:t>
            </w:r>
          </w:p>
        </w:tc>
        <w:tc>
          <w:tcPr>
            <w:tcW w:w="570" w:type="dxa"/>
            <w:vAlign w:val="center"/>
            <w:hideMark/>
          </w:tcPr>
          <w:p w14:paraId="174326D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0070C0"/>
                <w:kern w:val="0"/>
                <w:sz w:val="16"/>
                <w:szCs w:val="16"/>
                <w:lang w:eastAsia="en-GB"/>
                <w14:ligatures w14:val="none"/>
              </w:rPr>
              <w:t xml:space="preserve">7 </w:t>
            </w:r>
          </w:p>
        </w:tc>
        <w:tc>
          <w:tcPr>
            <w:tcW w:w="2265" w:type="dxa"/>
            <w:shd w:val="clear" w:color="auto" w:fill="E9E9E7"/>
            <w:vAlign w:val="center"/>
            <w:hideMark/>
          </w:tcPr>
          <w:p w14:paraId="06361659" w14:textId="77777777" w:rsidR="00C5141A" w:rsidRPr="0063356B" w:rsidRDefault="00C5141A" w:rsidP="00274428">
            <w:pPr>
              <w:spacing w:after="0" w:line="240" w:lineRule="auto"/>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Universität PSL </w:t>
            </w:r>
          </w:p>
        </w:tc>
        <w:tc>
          <w:tcPr>
            <w:tcW w:w="570" w:type="dxa"/>
            <w:shd w:val="clear" w:color="auto" w:fill="E9E9E7"/>
            <w:vAlign w:val="center"/>
            <w:hideMark/>
          </w:tcPr>
          <w:p w14:paraId="6403FAB2"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34 </w:t>
            </w:r>
          </w:p>
        </w:tc>
        <w:tc>
          <w:tcPr>
            <w:tcW w:w="525" w:type="dxa"/>
            <w:vAlign w:val="center"/>
            <w:hideMark/>
          </w:tcPr>
          <w:p w14:paraId="07B55882"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2 </w:t>
            </w:r>
          </w:p>
        </w:tc>
        <w:tc>
          <w:tcPr>
            <w:tcW w:w="480" w:type="dxa"/>
            <w:vAlign w:val="center"/>
            <w:hideMark/>
          </w:tcPr>
          <w:p w14:paraId="53111E89"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 </w:t>
            </w:r>
          </w:p>
        </w:tc>
        <w:tc>
          <w:tcPr>
            <w:tcW w:w="510" w:type="dxa"/>
            <w:vAlign w:val="center"/>
            <w:hideMark/>
          </w:tcPr>
          <w:p w14:paraId="52CD4728"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4 </w:t>
            </w:r>
          </w:p>
        </w:tc>
        <w:tc>
          <w:tcPr>
            <w:tcW w:w="555" w:type="dxa"/>
            <w:vAlign w:val="center"/>
            <w:hideMark/>
          </w:tcPr>
          <w:p w14:paraId="282FBE1F" w14:textId="77777777" w:rsidR="00C5141A" w:rsidRPr="0063356B" w:rsidRDefault="00C5141A" w:rsidP="00274428">
            <w:pPr>
              <w:spacing w:after="0" w:line="240" w:lineRule="auto"/>
              <w:jc w:val="center"/>
              <w:textAlignment w:val="baseline"/>
              <w:rPr>
                <w:rFonts w:ascii="PP Telegraf" w:eastAsia="PP Telegraf" w:hAnsi="PP Telegraf" w:cs="PP Telegraf"/>
                <w:kern w:val="0"/>
                <w:lang w:val="en-US" w:eastAsia="en-GB"/>
                <w14:ligatures w14:val="none"/>
              </w:rPr>
            </w:pPr>
            <w:r w:rsidRPr="468DEF39">
              <w:rPr>
                <w:rFonts w:ascii="PP Telegraf" w:eastAsia="PP Telegraf" w:hAnsi="PP Telegraf" w:cs="PP Telegraf"/>
                <w:color w:val="1D1D1B"/>
                <w:kern w:val="0"/>
                <w:sz w:val="16"/>
                <w:szCs w:val="16"/>
                <w:lang w:eastAsia="en-GB"/>
                <w14:ligatures w14:val="none"/>
              </w:rPr>
              <w:t xml:space="preserve">13 </w:t>
            </w:r>
          </w:p>
        </w:tc>
      </w:tr>
    </w:tbl>
    <w:p w14:paraId="15EBA06F" w14:textId="77777777" w:rsidR="00C5141A" w:rsidRPr="0063356B" w:rsidRDefault="00C5141A" w:rsidP="00C5141A">
      <w:pPr>
        <w:spacing w:after="0" w:line="240" w:lineRule="auto"/>
        <w:textAlignment w:val="baseline"/>
        <w:rPr>
          <w:rFonts w:ascii="PP Telegraf" w:eastAsia="PP Telegraf" w:hAnsi="PP Telegraf" w:cs="PP Telegraf"/>
          <w:kern w:val="0"/>
          <w:sz w:val="18"/>
          <w:szCs w:val="18"/>
          <w:lang w:val="en-US" w:eastAsia="en-GB"/>
          <w14:ligatures w14:val="none"/>
        </w:rPr>
      </w:pPr>
      <w:r w:rsidRPr="468DEF39">
        <w:rPr>
          <w:rFonts w:ascii="PP Telegraf" w:eastAsia="PP Telegraf" w:hAnsi="PP Telegraf" w:cs="PP Telegraf"/>
          <w:color w:val="1D1D1B"/>
          <w:kern w:val="0"/>
          <w:sz w:val="22"/>
          <w:szCs w:val="22"/>
          <w:lang w:val="en-US" w:eastAsia="en-GB"/>
          <w14:ligatures w14:val="none"/>
        </w:rPr>
        <w:t xml:space="preserve"> </w:t>
      </w:r>
    </w:p>
    <w:p w14:paraId="0B767CD9" w14:textId="77777777" w:rsidR="00C5141A" w:rsidRDefault="00C5141A" w:rsidP="00C5141A">
      <w:pPr>
        <w:rPr>
          <w:rFonts w:ascii="PP Telegraf" w:eastAsia="PP Telegraf" w:hAnsi="PP Telegraf" w:cs="PP Telegraf"/>
          <w:color w:val="1D1D1B"/>
          <w:kern w:val="0"/>
          <w:sz w:val="22"/>
          <w:szCs w:val="22"/>
          <w:lang w:eastAsia="en-GB"/>
          <w14:ligatures w14:val="none"/>
        </w:rPr>
      </w:pPr>
      <w:r w:rsidRPr="00983B15">
        <w:rPr>
          <w:rFonts w:ascii="PP Telegraf" w:eastAsia="PP Telegraf" w:hAnsi="PP Telegraf" w:cs="PP Telegraf"/>
          <w:color w:val="1D1D1B"/>
          <w:kern w:val="0"/>
          <w:sz w:val="22"/>
          <w:szCs w:val="22"/>
          <w:lang w:val="de-DE" w:eastAsia="en-GB"/>
          <w14:ligatures w14:val="none"/>
        </w:rPr>
        <w:t xml:space="preserve">Das diesjährige QS World University Ranking umfasst 1.500 Universitäten aus 106 Hochschulsystemen. </w:t>
      </w:r>
      <w:r w:rsidRPr="468DEF39">
        <w:rPr>
          <w:rFonts w:ascii="PP Telegraf" w:eastAsia="PP Telegraf" w:hAnsi="PP Telegraf" w:cs="PP Telegraf"/>
          <w:color w:val="1D1D1B"/>
          <w:kern w:val="0"/>
          <w:sz w:val="22"/>
          <w:szCs w:val="22"/>
          <w:lang w:eastAsia="en-GB"/>
          <w14:ligatures w14:val="none"/>
        </w:rPr>
        <w:t xml:space="preserve">Die Analyse </w:t>
      </w:r>
      <w:proofErr w:type="spellStart"/>
      <w:r w:rsidRPr="468DEF39">
        <w:rPr>
          <w:rFonts w:ascii="PP Telegraf" w:eastAsia="PP Telegraf" w:hAnsi="PP Telegraf" w:cs="PP Telegraf"/>
          <w:color w:val="1D1D1B"/>
          <w:kern w:val="0"/>
          <w:sz w:val="22"/>
          <w:szCs w:val="22"/>
          <w:lang w:eastAsia="en-GB"/>
          <w14:ligatures w14:val="none"/>
        </w:rPr>
        <w:t>berücksichtigte</w:t>
      </w:r>
      <w:proofErr w:type="spellEnd"/>
      <w:r w:rsidRPr="468DEF39">
        <w:rPr>
          <w:rFonts w:ascii="PP Telegraf" w:eastAsia="PP Telegraf" w:hAnsi="PP Telegraf" w:cs="PP Telegraf"/>
          <w:color w:val="1D1D1B"/>
          <w:kern w:val="0"/>
          <w:sz w:val="22"/>
          <w:szCs w:val="22"/>
          <w:lang w:eastAsia="en-GB"/>
          <w14:ligatures w14:val="none"/>
        </w:rPr>
        <w:t>:  </w:t>
      </w:r>
    </w:p>
    <w:p w14:paraId="5BA03EFD" w14:textId="77777777" w:rsidR="00C5141A" w:rsidRPr="0063356B" w:rsidRDefault="00C5141A" w:rsidP="00C5141A">
      <w:pPr>
        <w:pStyle w:val="Listenabsatz"/>
        <w:numPr>
          <w:ilvl w:val="0"/>
          <w:numId w:val="10"/>
        </w:numPr>
        <w:contextualSpacing w:val="0"/>
        <w:rPr>
          <w:rFonts w:ascii="PP Telegraf" w:eastAsia="PP Telegraf" w:hAnsi="PP Telegraf" w:cs="PP Telegraf"/>
          <w:color w:val="1D1D1B"/>
          <w:kern w:val="0"/>
          <w:sz w:val="22"/>
          <w:szCs w:val="22"/>
          <w:lang w:val="en-US" w:eastAsia="en-GB"/>
          <w14:ligatures w14:val="none"/>
        </w:rPr>
      </w:pPr>
      <w:r w:rsidRPr="468DEF39">
        <w:rPr>
          <w:rFonts w:ascii="PP Telegraf" w:eastAsia="PP Telegraf" w:hAnsi="PP Telegraf" w:cs="PP Telegraf"/>
          <w:color w:val="1D1D1B"/>
          <w:kern w:val="0"/>
          <w:sz w:val="22"/>
          <w:szCs w:val="22"/>
          <w:lang w:val="en-US" w:eastAsia="en-GB"/>
          <w14:ligatures w14:val="none"/>
        </w:rPr>
        <w:t xml:space="preserve">21 </w:t>
      </w:r>
      <w:proofErr w:type="spellStart"/>
      <w:r w:rsidRPr="468DEF39">
        <w:rPr>
          <w:rFonts w:ascii="PP Telegraf" w:eastAsia="PP Telegraf" w:hAnsi="PP Telegraf" w:cs="PP Telegraf"/>
          <w:color w:val="1D1D1B"/>
          <w:kern w:val="0"/>
          <w:sz w:val="22"/>
          <w:szCs w:val="22"/>
          <w:lang w:val="en-US" w:eastAsia="en-GB"/>
          <w14:ligatures w14:val="none"/>
        </w:rPr>
        <w:t>Millionen</w:t>
      </w:r>
      <w:proofErr w:type="spellEnd"/>
      <w:r w:rsidRPr="468DEF39">
        <w:rPr>
          <w:rFonts w:ascii="PP Telegraf" w:eastAsia="PP Telegraf" w:hAnsi="PP Telegraf" w:cs="PP Telegraf"/>
          <w:color w:val="1D1D1B"/>
          <w:kern w:val="0"/>
          <w:sz w:val="22"/>
          <w:szCs w:val="22"/>
          <w:lang w:val="en-US" w:eastAsia="en-GB"/>
          <w14:ligatures w14:val="none"/>
        </w:rPr>
        <w:t xml:space="preserve"> </w:t>
      </w:r>
      <w:proofErr w:type="spellStart"/>
      <w:r w:rsidRPr="468DEF39">
        <w:rPr>
          <w:rFonts w:ascii="PP Telegraf" w:eastAsia="PP Telegraf" w:hAnsi="PP Telegraf" w:cs="PP Telegraf"/>
          <w:color w:val="1D1D1B"/>
          <w:kern w:val="0"/>
          <w:sz w:val="22"/>
          <w:szCs w:val="22"/>
          <w:lang w:val="en-US" w:eastAsia="en-GB"/>
          <w14:ligatures w14:val="none"/>
        </w:rPr>
        <w:t>Forschungsarbeiten</w:t>
      </w:r>
      <w:proofErr w:type="spellEnd"/>
    </w:p>
    <w:p w14:paraId="2D9D458E" w14:textId="77777777" w:rsidR="00C5141A" w:rsidRPr="0063356B" w:rsidRDefault="00C5141A" w:rsidP="00C5141A">
      <w:pPr>
        <w:pStyle w:val="Listenabsatz"/>
        <w:numPr>
          <w:ilvl w:val="0"/>
          <w:numId w:val="10"/>
        </w:numPr>
        <w:contextualSpacing w:val="0"/>
        <w:rPr>
          <w:rFonts w:ascii="PP Telegraf" w:eastAsia="PP Telegraf" w:hAnsi="PP Telegraf" w:cs="PP Telegraf"/>
          <w:color w:val="1D1D1B"/>
          <w:kern w:val="0"/>
          <w:sz w:val="22"/>
          <w:szCs w:val="22"/>
          <w:lang w:val="en-US" w:eastAsia="en-GB"/>
          <w14:ligatures w14:val="none"/>
        </w:rPr>
      </w:pPr>
      <w:r w:rsidRPr="468DEF39">
        <w:rPr>
          <w:rFonts w:ascii="PP Telegraf" w:eastAsia="PP Telegraf" w:hAnsi="PP Telegraf" w:cs="PP Telegraf"/>
          <w:color w:val="1D1D1B"/>
          <w:kern w:val="0"/>
          <w:sz w:val="22"/>
          <w:szCs w:val="22"/>
          <w:lang w:val="en-US" w:eastAsia="en-GB"/>
          <w14:ligatures w14:val="none"/>
        </w:rPr>
        <w:t xml:space="preserve">222 </w:t>
      </w:r>
      <w:proofErr w:type="spellStart"/>
      <w:r w:rsidRPr="468DEF39">
        <w:rPr>
          <w:rFonts w:ascii="PP Telegraf" w:eastAsia="PP Telegraf" w:hAnsi="PP Telegraf" w:cs="PP Telegraf"/>
          <w:color w:val="1D1D1B"/>
          <w:kern w:val="0"/>
          <w:sz w:val="22"/>
          <w:szCs w:val="22"/>
          <w:lang w:val="en-US" w:eastAsia="en-GB"/>
          <w14:ligatures w14:val="none"/>
        </w:rPr>
        <w:t>Millionen</w:t>
      </w:r>
      <w:proofErr w:type="spellEnd"/>
      <w:r w:rsidRPr="468DEF39">
        <w:rPr>
          <w:rFonts w:ascii="PP Telegraf" w:eastAsia="PP Telegraf" w:hAnsi="PP Telegraf" w:cs="PP Telegraf"/>
          <w:color w:val="1D1D1B"/>
          <w:kern w:val="0"/>
          <w:sz w:val="22"/>
          <w:szCs w:val="22"/>
          <w:lang w:val="en-US" w:eastAsia="en-GB"/>
          <w14:ligatures w14:val="none"/>
        </w:rPr>
        <w:t xml:space="preserve"> </w:t>
      </w:r>
      <w:proofErr w:type="spellStart"/>
      <w:r w:rsidRPr="468DEF39">
        <w:rPr>
          <w:rFonts w:ascii="PP Telegraf" w:eastAsia="PP Telegraf" w:hAnsi="PP Telegraf" w:cs="PP Telegraf"/>
          <w:color w:val="1D1D1B"/>
          <w:kern w:val="0"/>
          <w:sz w:val="22"/>
          <w:szCs w:val="22"/>
          <w:lang w:val="en-US" w:eastAsia="en-GB"/>
          <w14:ligatures w14:val="none"/>
        </w:rPr>
        <w:t>Zitate</w:t>
      </w:r>
      <w:proofErr w:type="spellEnd"/>
    </w:p>
    <w:p w14:paraId="058223AB" w14:textId="77777777" w:rsidR="00C5141A" w:rsidRPr="0063356B" w:rsidRDefault="00C5141A" w:rsidP="00C5141A">
      <w:pPr>
        <w:pStyle w:val="Listenabsatz"/>
        <w:numPr>
          <w:ilvl w:val="0"/>
          <w:numId w:val="10"/>
        </w:numPr>
        <w:contextualSpacing w:val="0"/>
        <w:rPr>
          <w:rFonts w:ascii="PP Telegraf" w:eastAsia="PP Telegraf" w:hAnsi="PP Telegraf" w:cs="PP Telegraf"/>
          <w:color w:val="1D1D1B"/>
          <w:kern w:val="0"/>
          <w:sz w:val="22"/>
          <w:szCs w:val="22"/>
          <w:lang w:val="en-US" w:eastAsia="en-GB"/>
          <w14:ligatures w14:val="none"/>
        </w:rPr>
      </w:pPr>
      <w:r w:rsidRPr="468DEF39">
        <w:rPr>
          <w:rFonts w:ascii="PP Telegraf" w:eastAsia="PP Telegraf" w:hAnsi="PP Telegraf" w:cs="PP Telegraf"/>
          <w:color w:val="1D1D1B"/>
          <w:kern w:val="0"/>
          <w:sz w:val="22"/>
          <w:szCs w:val="22"/>
          <w:lang w:val="en-US" w:eastAsia="en-GB"/>
          <w14:ligatures w14:val="none"/>
        </w:rPr>
        <w:t xml:space="preserve">1,6 </w:t>
      </w:r>
      <w:proofErr w:type="spellStart"/>
      <w:r w:rsidRPr="468DEF39">
        <w:rPr>
          <w:rFonts w:ascii="PP Telegraf" w:eastAsia="PP Telegraf" w:hAnsi="PP Telegraf" w:cs="PP Telegraf"/>
          <w:color w:val="1D1D1B"/>
          <w:kern w:val="0"/>
          <w:sz w:val="22"/>
          <w:szCs w:val="22"/>
          <w:lang w:val="en-US" w:eastAsia="en-GB"/>
          <w14:ligatures w14:val="none"/>
        </w:rPr>
        <w:t>Millionen</w:t>
      </w:r>
      <w:proofErr w:type="spellEnd"/>
      <w:r w:rsidRPr="468DEF39">
        <w:rPr>
          <w:rFonts w:ascii="PP Telegraf" w:eastAsia="PP Telegraf" w:hAnsi="PP Telegraf" w:cs="PP Telegraf"/>
          <w:color w:val="1D1D1B"/>
          <w:kern w:val="0"/>
          <w:sz w:val="22"/>
          <w:szCs w:val="22"/>
          <w:lang w:val="en-US" w:eastAsia="en-GB"/>
          <w14:ligatures w14:val="none"/>
        </w:rPr>
        <w:t xml:space="preserve"> </w:t>
      </w:r>
      <w:proofErr w:type="spellStart"/>
      <w:r w:rsidRPr="468DEF39">
        <w:rPr>
          <w:rFonts w:ascii="PP Telegraf" w:eastAsia="PP Telegraf" w:hAnsi="PP Telegraf" w:cs="PP Telegraf"/>
          <w:color w:val="1D1D1B"/>
          <w:kern w:val="0"/>
          <w:sz w:val="22"/>
          <w:szCs w:val="22"/>
          <w:lang w:val="en-US" w:eastAsia="en-GB"/>
          <w14:ligatures w14:val="none"/>
        </w:rPr>
        <w:t>Antworten</w:t>
      </w:r>
      <w:proofErr w:type="spellEnd"/>
      <w:r w:rsidRPr="468DEF39">
        <w:rPr>
          <w:rFonts w:ascii="PP Telegraf" w:eastAsia="PP Telegraf" w:hAnsi="PP Telegraf" w:cs="PP Telegraf"/>
          <w:color w:val="1D1D1B"/>
          <w:kern w:val="0"/>
          <w:sz w:val="22"/>
          <w:szCs w:val="22"/>
          <w:lang w:val="en-US" w:eastAsia="en-GB"/>
          <w14:ligatures w14:val="none"/>
        </w:rPr>
        <w:t xml:space="preserve"> auf </w:t>
      </w:r>
      <w:proofErr w:type="spellStart"/>
      <w:r w:rsidRPr="468DEF39">
        <w:rPr>
          <w:rFonts w:ascii="PP Telegraf" w:eastAsia="PP Telegraf" w:hAnsi="PP Telegraf" w:cs="PP Telegraf"/>
          <w:color w:val="1D1D1B"/>
          <w:kern w:val="0"/>
          <w:sz w:val="22"/>
          <w:szCs w:val="22"/>
          <w:lang w:val="en-US" w:eastAsia="en-GB"/>
          <w14:ligatures w14:val="none"/>
        </w:rPr>
        <w:t>akademische</w:t>
      </w:r>
      <w:proofErr w:type="spellEnd"/>
      <w:r w:rsidRPr="468DEF39">
        <w:rPr>
          <w:rFonts w:ascii="PP Telegraf" w:eastAsia="PP Telegraf" w:hAnsi="PP Telegraf" w:cs="PP Telegraf"/>
          <w:color w:val="1D1D1B"/>
          <w:kern w:val="0"/>
          <w:sz w:val="22"/>
          <w:szCs w:val="22"/>
          <w:lang w:val="en-US" w:eastAsia="en-GB"/>
          <w14:ligatures w14:val="none"/>
        </w:rPr>
        <w:t xml:space="preserve"> </w:t>
      </w:r>
      <w:proofErr w:type="spellStart"/>
      <w:r w:rsidRPr="468DEF39">
        <w:rPr>
          <w:rFonts w:ascii="PP Telegraf" w:eastAsia="PP Telegraf" w:hAnsi="PP Telegraf" w:cs="PP Telegraf"/>
          <w:color w:val="1D1D1B"/>
          <w:kern w:val="0"/>
          <w:sz w:val="22"/>
          <w:szCs w:val="22"/>
          <w:lang w:val="en-US" w:eastAsia="en-GB"/>
          <w14:ligatures w14:val="none"/>
        </w:rPr>
        <w:t>Umfragen</w:t>
      </w:r>
      <w:proofErr w:type="spellEnd"/>
    </w:p>
    <w:p w14:paraId="6C9F0ABF" w14:textId="77777777" w:rsidR="00C5141A" w:rsidRPr="0063356B" w:rsidRDefault="00C5141A" w:rsidP="00C5141A">
      <w:pPr>
        <w:pStyle w:val="Listenabsatz"/>
        <w:numPr>
          <w:ilvl w:val="0"/>
          <w:numId w:val="10"/>
        </w:numPr>
        <w:contextualSpacing w:val="0"/>
        <w:rPr>
          <w:rFonts w:ascii="PP Telegraf" w:eastAsia="PP Telegraf" w:hAnsi="PP Telegraf" w:cs="PP Telegraf"/>
          <w:color w:val="1D1D1B"/>
          <w:kern w:val="0"/>
          <w:sz w:val="22"/>
          <w:szCs w:val="22"/>
          <w:lang w:val="en-US" w:eastAsia="en-GB"/>
          <w14:ligatures w14:val="none"/>
        </w:rPr>
      </w:pPr>
      <w:proofErr w:type="spellStart"/>
      <w:r w:rsidRPr="468DEF39">
        <w:rPr>
          <w:rFonts w:ascii="PP Telegraf" w:eastAsia="PP Telegraf" w:hAnsi="PP Telegraf" w:cs="PP Telegraf"/>
          <w:color w:val="1D1D1B"/>
          <w:kern w:val="0"/>
          <w:sz w:val="22"/>
          <w:szCs w:val="22"/>
          <w:lang w:val="en-US" w:eastAsia="en-GB"/>
          <w14:ligatures w14:val="none"/>
        </w:rPr>
        <w:t>Daten</w:t>
      </w:r>
      <w:proofErr w:type="spellEnd"/>
      <w:r w:rsidRPr="468DEF39">
        <w:rPr>
          <w:rFonts w:ascii="PP Telegraf" w:eastAsia="PP Telegraf" w:hAnsi="PP Telegraf" w:cs="PP Telegraf"/>
          <w:color w:val="1D1D1B"/>
          <w:kern w:val="0"/>
          <w:sz w:val="22"/>
          <w:szCs w:val="22"/>
          <w:lang w:val="en-US" w:eastAsia="en-GB"/>
          <w14:ligatures w14:val="none"/>
        </w:rPr>
        <w:t xml:space="preserve"> von 8.808 </w:t>
      </w:r>
      <w:proofErr w:type="spellStart"/>
      <w:r w:rsidRPr="468DEF39">
        <w:rPr>
          <w:rFonts w:ascii="PP Telegraf" w:eastAsia="PP Telegraf" w:hAnsi="PP Telegraf" w:cs="PP Telegraf"/>
          <w:color w:val="1D1D1B"/>
          <w:kern w:val="0"/>
          <w:sz w:val="22"/>
          <w:szCs w:val="22"/>
          <w:lang w:val="en-US" w:eastAsia="en-GB"/>
          <w14:ligatures w14:val="none"/>
        </w:rPr>
        <w:t>Einrichtungen</w:t>
      </w:r>
      <w:proofErr w:type="spellEnd"/>
    </w:p>
    <w:p w14:paraId="2C6C20FF" w14:textId="77777777" w:rsidR="00C5141A" w:rsidRPr="0063356B" w:rsidRDefault="00C5141A" w:rsidP="00C5141A">
      <w:pPr>
        <w:pStyle w:val="Listenabsatz"/>
        <w:numPr>
          <w:ilvl w:val="0"/>
          <w:numId w:val="10"/>
        </w:numPr>
        <w:contextualSpacing w:val="0"/>
        <w:rPr>
          <w:rFonts w:ascii="PP Telegraf" w:eastAsia="PP Telegraf" w:hAnsi="PP Telegraf" w:cs="PP Telegraf"/>
          <w:color w:val="1D1D1B"/>
          <w:kern w:val="0"/>
          <w:sz w:val="22"/>
          <w:szCs w:val="22"/>
          <w:lang w:eastAsia="en-GB"/>
          <w14:ligatures w14:val="none"/>
        </w:rPr>
      </w:pPr>
      <w:proofErr w:type="spellStart"/>
      <w:r w:rsidRPr="468DEF39">
        <w:rPr>
          <w:rFonts w:ascii="PP Telegraf" w:eastAsia="PP Telegraf" w:hAnsi="PP Telegraf" w:cs="PP Telegraf"/>
          <w:color w:val="1D1D1B"/>
          <w:kern w:val="0"/>
          <w:sz w:val="22"/>
          <w:szCs w:val="22"/>
          <w:lang w:val="en-US" w:eastAsia="en-GB"/>
          <w14:ligatures w14:val="none"/>
        </w:rPr>
        <w:t>Erkenntnisse</w:t>
      </w:r>
      <w:proofErr w:type="spellEnd"/>
      <w:r w:rsidRPr="468DEF39">
        <w:rPr>
          <w:rFonts w:ascii="PP Telegraf" w:eastAsia="PP Telegraf" w:hAnsi="PP Telegraf" w:cs="PP Telegraf"/>
          <w:color w:val="1D1D1B"/>
          <w:kern w:val="0"/>
          <w:sz w:val="22"/>
          <w:szCs w:val="22"/>
          <w:lang w:val="en-US" w:eastAsia="en-GB"/>
          <w14:ligatures w14:val="none"/>
        </w:rPr>
        <w:t xml:space="preserve"> von 121.024 </w:t>
      </w:r>
      <w:proofErr w:type="spellStart"/>
      <w:r w:rsidRPr="468DEF39">
        <w:rPr>
          <w:rFonts w:ascii="PP Telegraf" w:eastAsia="PP Telegraf" w:hAnsi="PP Telegraf" w:cs="PP Telegraf"/>
          <w:color w:val="1D1D1B"/>
          <w:kern w:val="0"/>
          <w:sz w:val="22"/>
          <w:szCs w:val="22"/>
          <w:lang w:val="en-US" w:eastAsia="en-GB"/>
          <w14:ligatures w14:val="none"/>
        </w:rPr>
        <w:t>Wissenschaftlern</w:t>
      </w:r>
      <w:proofErr w:type="spellEnd"/>
      <w:r w:rsidRPr="468DEF39">
        <w:rPr>
          <w:rFonts w:ascii="PP Telegraf" w:eastAsia="PP Telegraf" w:hAnsi="PP Telegraf" w:cs="PP Telegraf"/>
          <w:color w:val="1D1D1B"/>
          <w:kern w:val="0"/>
          <w:sz w:val="22"/>
          <w:szCs w:val="22"/>
          <w:lang w:val="en-US" w:eastAsia="en-GB"/>
          <w14:ligatures w14:val="none"/>
        </w:rPr>
        <w:t xml:space="preserve"> und 69.432 </w:t>
      </w:r>
      <w:proofErr w:type="spellStart"/>
      <w:r w:rsidRPr="468DEF39">
        <w:rPr>
          <w:rFonts w:ascii="PP Telegraf" w:eastAsia="PP Telegraf" w:hAnsi="PP Telegraf" w:cs="PP Telegraf"/>
          <w:color w:val="1D1D1B"/>
          <w:kern w:val="0"/>
          <w:sz w:val="22"/>
          <w:szCs w:val="22"/>
          <w:lang w:val="en-US" w:eastAsia="en-GB"/>
          <w14:ligatures w14:val="none"/>
        </w:rPr>
        <w:t>Arbeitgebern</w:t>
      </w:r>
      <w:proofErr w:type="spellEnd"/>
    </w:p>
    <w:p w14:paraId="4B3AA7C9" w14:textId="77777777" w:rsidR="00C5141A" w:rsidRPr="0063356B" w:rsidRDefault="00C5141A" w:rsidP="00C5141A">
      <w:pPr>
        <w:jc w:val="center"/>
        <w:rPr>
          <w:rFonts w:ascii="PP Telegraf" w:eastAsia="PP Telegraf" w:hAnsi="PP Telegraf" w:cs="PP Telegraf"/>
          <w:color w:val="1D1D1B"/>
          <w:kern w:val="0"/>
          <w:sz w:val="22"/>
          <w:szCs w:val="22"/>
          <w:lang w:eastAsia="en-GB"/>
          <w14:ligatures w14:val="none"/>
        </w:rPr>
      </w:pPr>
      <w:r w:rsidRPr="468DEF39">
        <w:rPr>
          <w:rFonts w:ascii="PP Telegraf" w:eastAsia="PP Telegraf" w:hAnsi="PP Telegraf" w:cs="PP Telegraf"/>
          <w:b/>
          <w:bCs/>
          <w:color w:val="1D1D1B"/>
          <w:kern w:val="0"/>
          <w:sz w:val="22"/>
          <w:szCs w:val="22"/>
          <w:u w:val="single"/>
          <w:lang w:eastAsia="en-GB"/>
          <w14:ligatures w14:val="none"/>
        </w:rPr>
        <w:t>-Ende-</w:t>
      </w:r>
    </w:p>
    <w:p w14:paraId="6F979257" w14:textId="3CCA2A71" w:rsidR="2CDB15EC" w:rsidRPr="00CA2A20"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de-DE"/>
        </w:rPr>
      </w:pPr>
      <w:r w:rsidRPr="00CA2A20">
        <w:rPr>
          <w:rFonts w:ascii="PP Telegraf" w:eastAsia="PP Telegraf" w:hAnsi="PP Telegraf" w:cs="PP Telegraf"/>
          <w:color w:val="000000" w:themeColor="text1"/>
          <w:sz w:val="22"/>
          <w:szCs w:val="22"/>
          <w:lang w:val="de-DE"/>
        </w:rPr>
        <w:t xml:space="preserve">Detaillierte methodische Informationen finden Sie </w:t>
      </w:r>
      <w:r w:rsidR="64F0BC4F" w:rsidRPr="00CA2A20">
        <w:rPr>
          <w:rFonts w:ascii="PP Telegraf" w:eastAsia="PP Telegraf" w:hAnsi="PP Telegraf" w:cs="PP Telegraf"/>
          <w:color w:val="000000" w:themeColor="text1"/>
          <w:sz w:val="22"/>
          <w:szCs w:val="22"/>
          <w:lang w:val="de-DE"/>
        </w:rPr>
        <w:t>hier:</w:t>
      </w:r>
      <w:hyperlink r:id="rId13">
        <w:r w:rsidR="64F0BC4F" w:rsidRPr="00CA2A20">
          <w:rPr>
            <w:rStyle w:val="Hyperlink"/>
            <w:rFonts w:ascii="PP Telegraf" w:eastAsia="PP Telegraf" w:hAnsi="PP Telegraf" w:cs="PP Telegraf"/>
            <w:sz w:val="22"/>
            <w:szCs w:val="22"/>
            <w:lang w:val="de-DE"/>
          </w:rPr>
          <w:t xml:space="preserve"> https://www.topuniversities.com/world-university-rankings/methodology</w:t>
        </w:r>
      </w:hyperlink>
      <w:r w:rsidR="64F0BC4F" w:rsidRPr="00CA2A20">
        <w:rPr>
          <w:rFonts w:ascii="PP Telegraf" w:eastAsia="PP Telegraf" w:hAnsi="PP Telegraf" w:cs="PP Telegraf"/>
          <w:color w:val="000000" w:themeColor="text1"/>
          <w:sz w:val="22"/>
          <w:szCs w:val="22"/>
          <w:u w:val="single"/>
          <w:lang w:val="de-DE"/>
        </w:rPr>
        <w:t>.           </w:t>
      </w:r>
    </w:p>
    <w:p w14:paraId="531AC53C" w14:textId="10C60512" w:rsidR="2CDB15EC" w:rsidRPr="00CA2A20" w:rsidRDefault="2CDB15EC"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de-DE"/>
        </w:rPr>
      </w:pPr>
    </w:p>
    <w:p w14:paraId="630E81E3" w14:textId="4CA34559" w:rsidR="2CDB15EC" w:rsidRPr="00CA2A20"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de-DE"/>
        </w:rPr>
      </w:pPr>
      <w:r w:rsidRPr="00CA2A20">
        <w:rPr>
          <w:rFonts w:ascii="PP Telegraf" w:eastAsia="PP Telegraf" w:hAnsi="PP Telegraf" w:cs="PP Telegraf"/>
          <w:color w:val="000000" w:themeColor="text1"/>
          <w:sz w:val="22"/>
          <w:szCs w:val="22"/>
          <w:lang w:val="de-DE"/>
        </w:rPr>
        <w:t xml:space="preserve">Das vollständige </w:t>
      </w:r>
      <w:r w:rsidRPr="00CA2A20">
        <w:rPr>
          <w:rFonts w:ascii="PP Telegraf" w:eastAsia="PP Telegraf" w:hAnsi="PP Telegraf" w:cs="PP Telegraf"/>
          <w:b/>
          <w:bCs/>
          <w:color w:val="000000" w:themeColor="text1"/>
          <w:sz w:val="22"/>
          <w:szCs w:val="22"/>
          <w:lang w:val="de-DE"/>
        </w:rPr>
        <w:t xml:space="preserve">QS World University Rankings </w:t>
      </w:r>
      <w:r w:rsidRPr="00CA2A20">
        <w:rPr>
          <w:rFonts w:ascii="PP Telegraf" w:eastAsia="PP Telegraf" w:hAnsi="PP Telegraf" w:cs="PP Telegraf"/>
          <w:color w:val="000000" w:themeColor="text1"/>
          <w:sz w:val="22"/>
          <w:szCs w:val="22"/>
          <w:lang w:val="de-DE"/>
        </w:rPr>
        <w:t>wird nach Aufhebung der Sperrfrist veröffentlicht und ist unter</w:t>
      </w:r>
      <w:hyperlink r:id="rId14">
        <w:r w:rsidRPr="00CA2A20">
          <w:rPr>
            <w:rStyle w:val="Hyperlink"/>
            <w:rFonts w:ascii="PP Telegraf" w:eastAsia="PP Telegraf" w:hAnsi="PP Telegraf" w:cs="PP Telegraf"/>
            <w:sz w:val="22"/>
            <w:szCs w:val="22"/>
            <w:lang w:val="de-DE"/>
          </w:rPr>
          <w:t xml:space="preserve"> https://www.topuniversities.com/world-university-rankings</w:t>
        </w:r>
      </w:hyperlink>
      <w:r w:rsidRPr="00CA2A20">
        <w:rPr>
          <w:rFonts w:ascii="PP Telegraf" w:eastAsia="PP Telegraf" w:hAnsi="PP Telegraf" w:cs="PP Telegraf"/>
          <w:color w:val="000000" w:themeColor="text1"/>
          <w:sz w:val="22"/>
          <w:szCs w:val="22"/>
          <w:lang w:val="de-DE"/>
        </w:rPr>
        <w:t xml:space="preserve"> verfügbar       </w:t>
      </w:r>
    </w:p>
    <w:p w14:paraId="59444DEA" w14:textId="223C1A26" w:rsidR="2CDB15EC" w:rsidRPr="00CA2A20"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de-DE"/>
        </w:rPr>
      </w:pPr>
      <w:r w:rsidRPr="00CA2A20">
        <w:rPr>
          <w:rFonts w:ascii="PP Telegraf" w:eastAsia="PP Telegraf" w:hAnsi="PP Telegraf" w:cs="PP Telegraf"/>
          <w:color w:val="000000" w:themeColor="text1"/>
          <w:sz w:val="22"/>
          <w:szCs w:val="22"/>
          <w:lang w:val="de-DE"/>
        </w:rPr>
        <w:t>Für weitere Informationen oder um Interviews mit QS-Analysten zu vereinbaren, wenden Sie sich bitte an:            </w:t>
      </w:r>
    </w:p>
    <w:p w14:paraId="7FBD4CDB" w14:textId="7BE45C1D" w:rsidR="2CDB15EC" w:rsidRDefault="3FBDA8F4" w:rsidP="23C77BED">
      <w:pPr>
        <w:pStyle w:val="paragraph"/>
        <w:jc w:val="both"/>
        <w:rPr>
          <w:rFonts w:ascii="PP Telegraf" w:eastAsia="PP Telegraf" w:hAnsi="PP Telegraf" w:cs="PP Telegraf"/>
          <w:color w:val="000000" w:themeColor="text1"/>
          <w:sz w:val="22"/>
          <w:szCs w:val="22"/>
        </w:rPr>
      </w:pPr>
      <w:r w:rsidRPr="23C77BED">
        <w:rPr>
          <w:rFonts w:ascii="PP Telegraf" w:eastAsia="PP Telegraf" w:hAnsi="PP Telegraf" w:cs="PP Telegraf"/>
          <w:b/>
          <w:bCs/>
          <w:color w:val="000000" w:themeColor="text1"/>
          <w:sz w:val="22"/>
          <w:szCs w:val="22"/>
          <w:lang w:val="en-US"/>
        </w:rPr>
        <w:t>Simona Bizzozero</w:t>
      </w:r>
      <w:r w:rsidRPr="23C77BED">
        <w:rPr>
          <w:rFonts w:ascii="PP Telegraf" w:eastAsia="PP Telegraf" w:hAnsi="PP Telegraf" w:cs="PP Telegraf"/>
          <w:color w:val="000000" w:themeColor="text1"/>
          <w:sz w:val="22"/>
          <w:szCs w:val="22"/>
        </w:rPr>
        <w:t>                </w:t>
      </w:r>
      <w:r w:rsidR="2CDB15EC">
        <w:br/>
      </w:r>
      <w:r w:rsidRPr="23C77BED">
        <w:rPr>
          <w:rFonts w:ascii="PP Telegraf" w:eastAsia="PP Telegraf" w:hAnsi="PP Telegraf" w:cs="PP Telegraf"/>
          <w:color w:val="000000" w:themeColor="text1"/>
          <w:sz w:val="22"/>
          <w:szCs w:val="22"/>
          <w:lang w:val="en-US"/>
        </w:rPr>
        <w:t xml:space="preserve"> Director of Communications, QS</w:t>
      </w:r>
      <w:r w:rsidRPr="23C77BED">
        <w:rPr>
          <w:rFonts w:ascii="PP Telegraf" w:eastAsia="PP Telegraf" w:hAnsi="PP Telegraf" w:cs="PP Telegraf"/>
          <w:color w:val="000000" w:themeColor="text1"/>
          <w:sz w:val="22"/>
          <w:szCs w:val="22"/>
        </w:rPr>
        <w:t>                </w:t>
      </w:r>
      <w:r w:rsidR="2CDB15EC">
        <w:br/>
      </w:r>
      <w:hyperlink r:id="rId15">
        <w:r w:rsidRPr="23C77BED">
          <w:rPr>
            <w:rStyle w:val="Hyperlink"/>
            <w:rFonts w:ascii="PP Telegraf" w:eastAsia="PP Telegraf" w:hAnsi="PP Telegraf" w:cs="PP Telegraf"/>
            <w:sz w:val="22"/>
            <w:szCs w:val="22"/>
            <w:lang w:val="en-US"/>
          </w:rPr>
          <w:t>simona@qs.com</w:t>
        </w:r>
      </w:hyperlink>
      <w:r w:rsidRPr="23C77BED">
        <w:rPr>
          <w:rFonts w:ascii="PP Telegraf" w:eastAsia="PP Telegraf" w:hAnsi="PP Telegraf" w:cs="PP Telegraf"/>
          <w:color w:val="000000" w:themeColor="text1"/>
          <w:sz w:val="22"/>
          <w:szCs w:val="22"/>
          <w:lang w:val="en-US"/>
        </w:rPr>
        <w:t xml:space="preserve"> | +44 (0) 7880 620856 | </w:t>
      </w:r>
      <w:hyperlink r:id="rId16">
        <w:r w:rsidRPr="23C77BED">
          <w:rPr>
            <w:rStyle w:val="Hyperlink"/>
            <w:rFonts w:ascii="PP Telegraf" w:eastAsia="PP Telegraf" w:hAnsi="PP Telegraf" w:cs="PP Telegraf"/>
            <w:sz w:val="22"/>
            <w:szCs w:val="22"/>
            <w:lang w:val="en-US"/>
          </w:rPr>
          <w:t>LinkedIn</w:t>
        </w:r>
      </w:hyperlink>
      <w:r w:rsidRPr="23C77BED">
        <w:rPr>
          <w:rFonts w:ascii="PP Telegraf" w:eastAsia="PP Telegraf" w:hAnsi="PP Telegraf" w:cs="PP Telegraf"/>
          <w:color w:val="000000" w:themeColor="text1"/>
          <w:sz w:val="22"/>
          <w:szCs w:val="22"/>
          <w:lang w:val="en-US"/>
        </w:rPr>
        <w:t>        </w:t>
      </w:r>
    </w:p>
    <w:p w14:paraId="4985F9C7" w14:textId="638C859E" w:rsidR="2CDB15EC" w:rsidRDefault="3FBDA8F4" w:rsidP="23C77BED">
      <w:pPr>
        <w:pStyle w:val="paragraph"/>
        <w:spacing w:before="0" w:beforeAutospacing="0" w:after="0" w:afterAutospacing="0"/>
        <w:jc w:val="both"/>
        <w:rPr>
          <w:rFonts w:ascii="PP Telegraf" w:eastAsia="PP Telegraf" w:hAnsi="PP Telegraf" w:cs="PP Telegraf"/>
          <w:color w:val="000000" w:themeColor="text1"/>
          <w:sz w:val="22"/>
          <w:szCs w:val="22"/>
        </w:rPr>
      </w:pPr>
      <w:r w:rsidRPr="23C77BED">
        <w:rPr>
          <w:rFonts w:ascii="PP Telegraf" w:eastAsia="PP Telegraf" w:hAnsi="PP Telegraf" w:cs="PP Telegraf"/>
          <w:b/>
          <w:bCs/>
          <w:color w:val="000000" w:themeColor="text1"/>
          <w:sz w:val="22"/>
          <w:szCs w:val="22"/>
        </w:rPr>
        <w:t>Will Barbieri          </w:t>
      </w:r>
    </w:p>
    <w:p w14:paraId="4C5FADE2" w14:textId="23511F1E" w:rsidR="2CDB15EC" w:rsidRDefault="3FBDA8F4" w:rsidP="23C77BED">
      <w:pPr>
        <w:pStyle w:val="paragraph"/>
        <w:spacing w:before="0" w:beforeAutospacing="0" w:after="0" w:afterAutospacing="0"/>
        <w:jc w:val="both"/>
        <w:rPr>
          <w:rFonts w:ascii="PP Telegraf" w:eastAsia="PP Telegraf" w:hAnsi="PP Telegraf" w:cs="PP Telegraf"/>
          <w:color w:val="000000" w:themeColor="text1"/>
          <w:sz w:val="22"/>
          <w:szCs w:val="22"/>
        </w:rPr>
      </w:pPr>
      <w:r w:rsidRPr="23C77BED">
        <w:rPr>
          <w:rFonts w:ascii="PP Telegraf" w:eastAsia="PP Telegraf" w:hAnsi="PP Telegraf" w:cs="PP Telegraf"/>
          <w:color w:val="000000" w:themeColor="text1"/>
          <w:sz w:val="22"/>
          <w:szCs w:val="22"/>
        </w:rPr>
        <w:t>Kommunikationsmanager          </w:t>
      </w:r>
    </w:p>
    <w:p w14:paraId="432742EA" w14:textId="139CC67A" w:rsidR="2CDB15EC" w:rsidRDefault="3FBDA8F4" w:rsidP="23C77BED">
      <w:pPr>
        <w:spacing w:after="0" w:line="240" w:lineRule="auto"/>
        <w:jc w:val="both"/>
        <w:rPr>
          <w:rFonts w:ascii="PP Telegraf" w:eastAsia="PP Telegraf" w:hAnsi="PP Telegraf" w:cs="PP Telegraf"/>
          <w:color w:val="000000" w:themeColor="text1"/>
          <w:sz w:val="22"/>
          <w:szCs w:val="22"/>
        </w:rPr>
      </w:pPr>
      <w:hyperlink r:id="rId17">
        <w:r w:rsidRPr="23C77BED">
          <w:rPr>
            <w:rStyle w:val="Hyperlink"/>
            <w:rFonts w:ascii="PP Telegraf" w:eastAsia="PP Telegraf" w:hAnsi="PP Telegraf" w:cs="PP Telegraf"/>
            <w:sz w:val="22"/>
            <w:szCs w:val="22"/>
          </w:rPr>
          <w:t>William.barbieri@qs.com</w:t>
        </w:r>
      </w:hyperlink>
    </w:p>
    <w:p w14:paraId="773C065A" w14:textId="777C0BA1" w:rsidR="0AD7D2CF" w:rsidRDefault="0AD7D2CF" w:rsidP="23C77BED">
      <w:pPr>
        <w:jc w:val="both"/>
        <w:rPr>
          <w:rFonts w:ascii="PP Telegraf" w:eastAsia="PP Telegraf" w:hAnsi="PP Telegraf" w:cs="PP Telegraf"/>
          <w:color w:val="000000" w:themeColor="text1"/>
          <w:sz w:val="22"/>
          <w:szCs w:val="22"/>
          <w:lang w:val="en-US"/>
        </w:rPr>
      </w:pPr>
    </w:p>
    <w:p w14:paraId="5B20F11D" w14:textId="2245F248" w:rsidR="2CDB15EC" w:rsidRPr="00CA2A20"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de-DE"/>
        </w:rPr>
      </w:pPr>
      <w:r w:rsidRPr="00CA2A20">
        <w:rPr>
          <w:rFonts w:ascii="PP Telegraf" w:eastAsia="PP Telegraf" w:hAnsi="PP Telegraf" w:cs="PP Telegraf"/>
          <w:b/>
          <w:bCs/>
          <w:color w:val="000000" w:themeColor="text1"/>
          <w:sz w:val="22"/>
          <w:szCs w:val="22"/>
          <w:u w:val="single"/>
          <w:lang w:val="de-DE"/>
        </w:rPr>
        <w:t>Hinweise für Redakteure        </w:t>
      </w:r>
    </w:p>
    <w:p w14:paraId="5207BD44" w14:textId="284F75D8" w:rsidR="2CDB15EC" w:rsidRPr="00CA2A20"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de-DE"/>
        </w:rPr>
      </w:pPr>
      <w:r w:rsidRPr="00CA2A20">
        <w:rPr>
          <w:rFonts w:ascii="PP Telegraf" w:eastAsia="PP Telegraf" w:hAnsi="PP Telegraf" w:cs="PP Telegraf"/>
          <w:b/>
          <w:bCs/>
          <w:color w:val="000000" w:themeColor="text1"/>
          <w:sz w:val="22"/>
          <w:szCs w:val="22"/>
          <w:lang w:val="de-DE"/>
        </w:rPr>
        <w:lastRenderedPageBreak/>
        <w:t xml:space="preserve">QS Quacquarelli Symonds </w:t>
      </w:r>
      <w:r w:rsidRPr="00CA2A20">
        <w:rPr>
          <w:rFonts w:ascii="PP Telegraf" w:eastAsia="PP Telegraf" w:hAnsi="PP Telegraf" w:cs="PP Telegraf"/>
          <w:color w:val="000000" w:themeColor="text1"/>
          <w:sz w:val="22"/>
          <w:szCs w:val="22"/>
          <w:lang w:val="de-DE"/>
        </w:rPr>
        <w:t>ist der weltweit führende Anbieter von Dienstleistungen, Analysen und Einblicken für den globalen Hochschulsektor. Das Unternehmen hat es sich zur Aufgabe gemacht, motivierte Menschen überall auf der Welt dabei zu unterstützen, ihr Potenzial durch Bildungserfolge, internationale Mobilität und berufliche Weiterentwicklung auszuschöpfen</w:t>
      </w:r>
      <w:r w:rsidRPr="00CA2A20">
        <w:rPr>
          <w:rFonts w:ascii="PP Telegraf" w:eastAsia="PP Telegraf" w:hAnsi="PP Telegraf" w:cs="PP Telegraf"/>
          <w:i/>
          <w:iCs/>
          <w:color w:val="000000" w:themeColor="text1"/>
          <w:sz w:val="22"/>
          <w:szCs w:val="22"/>
          <w:lang w:val="de-DE"/>
        </w:rPr>
        <w:t>.</w:t>
      </w:r>
    </w:p>
    <w:p w14:paraId="4BAA4E20" w14:textId="30BC984A" w:rsidR="2CDB15EC" w:rsidRPr="00CA2A20" w:rsidRDefault="3FBDA8F4" w:rsidP="23C77BED">
      <w:pPr>
        <w:pStyle w:val="paragraph"/>
        <w:spacing w:before="0" w:beforeAutospacing="0" w:after="160" w:afterAutospacing="0" w:line="360" w:lineRule="auto"/>
        <w:jc w:val="both"/>
        <w:rPr>
          <w:rFonts w:ascii="PP Telegraf" w:eastAsia="PP Telegraf" w:hAnsi="PP Telegraf" w:cs="PP Telegraf"/>
          <w:color w:val="000000" w:themeColor="text1"/>
          <w:sz w:val="22"/>
          <w:szCs w:val="22"/>
          <w:lang w:val="de-DE"/>
        </w:rPr>
      </w:pPr>
      <w:r w:rsidRPr="00CA2A20">
        <w:rPr>
          <w:rFonts w:ascii="PP Telegraf" w:eastAsia="PP Telegraf" w:hAnsi="PP Telegraf" w:cs="PP Telegraf"/>
          <w:color w:val="000000" w:themeColor="text1"/>
          <w:sz w:val="22"/>
          <w:szCs w:val="22"/>
          <w:lang w:val="de-DE"/>
        </w:rPr>
        <w:t>Das 2004 ins Leben gerufene Portfolio der QS World University Rankings ist die weltweit beliebteste Quelle für Vergleichsdaten zur Leistung von Hochschulen. Die Flaggschiff-Website</w:t>
      </w:r>
      <w:hyperlink r:id="rId18">
        <w:r w:rsidRPr="00CA2A20">
          <w:rPr>
            <w:rStyle w:val="Hyperlink"/>
            <w:rFonts w:ascii="PP Telegraf" w:eastAsia="PP Telegraf" w:hAnsi="PP Telegraf" w:cs="PP Telegraf"/>
            <w:sz w:val="22"/>
            <w:szCs w:val="22"/>
            <w:lang w:val="de-DE"/>
          </w:rPr>
          <w:t xml:space="preserve"> www.TopUniversities.com</w:t>
        </w:r>
      </w:hyperlink>
      <w:r w:rsidRPr="00CA2A20">
        <w:rPr>
          <w:rFonts w:ascii="PP Telegraf" w:eastAsia="PP Telegraf" w:hAnsi="PP Telegraf" w:cs="PP Telegraf"/>
          <w:color w:val="000000" w:themeColor="text1"/>
          <w:sz w:val="22"/>
          <w:szCs w:val="22"/>
          <w:lang w:val="de-DE"/>
        </w:rPr>
        <w:t xml:space="preserve"> – die Heimat der Rankings – wurde im Jahr 2024 mehr als 120 Millionen Mal aufgerufen, und im Jahr 2025 veröffentlichten Medien weltweit   über 135.000 Medienberichte, die sich auf QS   bezogen oder QS erwähnten.   </w:t>
      </w:r>
    </w:p>
    <w:sectPr w:rsidR="2CDB15EC" w:rsidRPr="00CA2A20" w:rsidSect="002670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P Telegraf">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B4C4D"/>
    <w:multiLevelType w:val="hybridMultilevel"/>
    <w:tmpl w:val="ED1E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F50EE"/>
    <w:multiLevelType w:val="hybridMultilevel"/>
    <w:tmpl w:val="6AFE32E6"/>
    <w:lvl w:ilvl="0" w:tplc="F910679A">
      <w:start w:val="1"/>
      <w:numFmt w:val="bullet"/>
      <w:lvlText w:val=""/>
      <w:lvlJc w:val="left"/>
      <w:pPr>
        <w:ind w:left="720" w:hanging="360"/>
      </w:pPr>
      <w:rPr>
        <w:rFonts w:ascii="Symbol" w:hAnsi="Symbol" w:hint="default"/>
      </w:rPr>
    </w:lvl>
    <w:lvl w:ilvl="1" w:tplc="0FB4E9D0">
      <w:start w:val="1"/>
      <w:numFmt w:val="bullet"/>
      <w:lvlText w:val="o"/>
      <w:lvlJc w:val="left"/>
      <w:pPr>
        <w:ind w:left="1440" w:hanging="360"/>
      </w:pPr>
      <w:rPr>
        <w:rFonts w:ascii="Courier New" w:hAnsi="Courier New" w:hint="default"/>
      </w:rPr>
    </w:lvl>
    <w:lvl w:ilvl="2" w:tplc="57E212E6">
      <w:start w:val="1"/>
      <w:numFmt w:val="bullet"/>
      <w:lvlText w:val=""/>
      <w:lvlJc w:val="left"/>
      <w:pPr>
        <w:ind w:left="2160" w:hanging="360"/>
      </w:pPr>
      <w:rPr>
        <w:rFonts w:ascii="Wingdings" w:hAnsi="Wingdings" w:hint="default"/>
      </w:rPr>
    </w:lvl>
    <w:lvl w:ilvl="3" w:tplc="44F01238">
      <w:start w:val="1"/>
      <w:numFmt w:val="bullet"/>
      <w:lvlText w:val=""/>
      <w:lvlJc w:val="left"/>
      <w:pPr>
        <w:ind w:left="2880" w:hanging="360"/>
      </w:pPr>
      <w:rPr>
        <w:rFonts w:ascii="Symbol" w:hAnsi="Symbol" w:hint="default"/>
      </w:rPr>
    </w:lvl>
    <w:lvl w:ilvl="4" w:tplc="59C43760">
      <w:start w:val="1"/>
      <w:numFmt w:val="bullet"/>
      <w:lvlText w:val="o"/>
      <w:lvlJc w:val="left"/>
      <w:pPr>
        <w:ind w:left="3600" w:hanging="360"/>
      </w:pPr>
      <w:rPr>
        <w:rFonts w:ascii="Courier New" w:hAnsi="Courier New" w:hint="default"/>
      </w:rPr>
    </w:lvl>
    <w:lvl w:ilvl="5" w:tplc="E74A8824">
      <w:start w:val="1"/>
      <w:numFmt w:val="bullet"/>
      <w:lvlText w:val=""/>
      <w:lvlJc w:val="left"/>
      <w:pPr>
        <w:ind w:left="4320" w:hanging="360"/>
      </w:pPr>
      <w:rPr>
        <w:rFonts w:ascii="Wingdings" w:hAnsi="Wingdings" w:hint="default"/>
      </w:rPr>
    </w:lvl>
    <w:lvl w:ilvl="6" w:tplc="36A0074C">
      <w:start w:val="1"/>
      <w:numFmt w:val="bullet"/>
      <w:lvlText w:val=""/>
      <w:lvlJc w:val="left"/>
      <w:pPr>
        <w:ind w:left="5040" w:hanging="360"/>
      </w:pPr>
      <w:rPr>
        <w:rFonts w:ascii="Symbol" w:hAnsi="Symbol" w:hint="default"/>
      </w:rPr>
    </w:lvl>
    <w:lvl w:ilvl="7" w:tplc="3034C41C">
      <w:start w:val="1"/>
      <w:numFmt w:val="bullet"/>
      <w:lvlText w:val="o"/>
      <w:lvlJc w:val="left"/>
      <w:pPr>
        <w:ind w:left="5760" w:hanging="360"/>
      </w:pPr>
      <w:rPr>
        <w:rFonts w:ascii="Courier New" w:hAnsi="Courier New" w:hint="default"/>
      </w:rPr>
    </w:lvl>
    <w:lvl w:ilvl="8" w:tplc="ED1E5878">
      <w:start w:val="1"/>
      <w:numFmt w:val="bullet"/>
      <w:lvlText w:val=""/>
      <w:lvlJc w:val="left"/>
      <w:pPr>
        <w:ind w:left="6480" w:hanging="360"/>
      </w:pPr>
      <w:rPr>
        <w:rFonts w:ascii="Wingdings" w:hAnsi="Wingdings" w:hint="default"/>
      </w:rPr>
    </w:lvl>
  </w:abstractNum>
  <w:abstractNum w:abstractNumId="2" w15:restartNumberingAfterBreak="0">
    <w:nsid w:val="2D4E87F6"/>
    <w:multiLevelType w:val="hybridMultilevel"/>
    <w:tmpl w:val="B1466422"/>
    <w:lvl w:ilvl="0" w:tplc="DCA65F90">
      <w:start w:val="1"/>
      <w:numFmt w:val="bullet"/>
      <w:lvlText w:val=""/>
      <w:lvlJc w:val="left"/>
      <w:pPr>
        <w:ind w:left="720" w:hanging="360"/>
      </w:pPr>
      <w:rPr>
        <w:rFonts w:ascii="Symbol" w:hAnsi="Symbol" w:hint="default"/>
      </w:rPr>
    </w:lvl>
    <w:lvl w:ilvl="1" w:tplc="B34CE7E0">
      <w:start w:val="1"/>
      <w:numFmt w:val="bullet"/>
      <w:lvlText w:val="o"/>
      <w:lvlJc w:val="left"/>
      <w:pPr>
        <w:ind w:left="1440" w:hanging="360"/>
      </w:pPr>
      <w:rPr>
        <w:rFonts w:ascii="Courier New" w:hAnsi="Courier New" w:hint="default"/>
      </w:rPr>
    </w:lvl>
    <w:lvl w:ilvl="2" w:tplc="3D1A6D0E">
      <w:start w:val="1"/>
      <w:numFmt w:val="bullet"/>
      <w:lvlText w:val=""/>
      <w:lvlJc w:val="left"/>
      <w:pPr>
        <w:ind w:left="2160" w:hanging="360"/>
      </w:pPr>
      <w:rPr>
        <w:rFonts w:ascii="Wingdings" w:hAnsi="Wingdings" w:hint="default"/>
      </w:rPr>
    </w:lvl>
    <w:lvl w:ilvl="3" w:tplc="2C8A09A0">
      <w:start w:val="1"/>
      <w:numFmt w:val="bullet"/>
      <w:lvlText w:val=""/>
      <w:lvlJc w:val="left"/>
      <w:pPr>
        <w:ind w:left="2880" w:hanging="360"/>
      </w:pPr>
      <w:rPr>
        <w:rFonts w:ascii="Symbol" w:hAnsi="Symbol" w:hint="default"/>
      </w:rPr>
    </w:lvl>
    <w:lvl w:ilvl="4" w:tplc="8E0E43A2">
      <w:start w:val="1"/>
      <w:numFmt w:val="bullet"/>
      <w:lvlText w:val="o"/>
      <w:lvlJc w:val="left"/>
      <w:pPr>
        <w:ind w:left="3600" w:hanging="360"/>
      </w:pPr>
      <w:rPr>
        <w:rFonts w:ascii="Courier New" w:hAnsi="Courier New" w:hint="default"/>
      </w:rPr>
    </w:lvl>
    <w:lvl w:ilvl="5" w:tplc="F2A42F94">
      <w:start w:val="1"/>
      <w:numFmt w:val="bullet"/>
      <w:lvlText w:val=""/>
      <w:lvlJc w:val="left"/>
      <w:pPr>
        <w:ind w:left="4320" w:hanging="360"/>
      </w:pPr>
      <w:rPr>
        <w:rFonts w:ascii="Wingdings" w:hAnsi="Wingdings" w:hint="default"/>
      </w:rPr>
    </w:lvl>
    <w:lvl w:ilvl="6" w:tplc="C2E441F8">
      <w:start w:val="1"/>
      <w:numFmt w:val="bullet"/>
      <w:lvlText w:val=""/>
      <w:lvlJc w:val="left"/>
      <w:pPr>
        <w:ind w:left="5040" w:hanging="360"/>
      </w:pPr>
      <w:rPr>
        <w:rFonts w:ascii="Symbol" w:hAnsi="Symbol" w:hint="default"/>
      </w:rPr>
    </w:lvl>
    <w:lvl w:ilvl="7" w:tplc="543A9B54">
      <w:start w:val="1"/>
      <w:numFmt w:val="bullet"/>
      <w:lvlText w:val="o"/>
      <w:lvlJc w:val="left"/>
      <w:pPr>
        <w:ind w:left="5760" w:hanging="360"/>
      </w:pPr>
      <w:rPr>
        <w:rFonts w:ascii="Courier New" w:hAnsi="Courier New" w:hint="default"/>
      </w:rPr>
    </w:lvl>
    <w:lvl w:ilvl="8" w:tplc="77080F20">
      <w:start w:val="1"/>
      <w:numFmt w:val="bullet"/>
      <w:lvlText w:val=""/>
      <w:lvlJc w:val="left"/>
      <w:pPr>
        <w:ind w:left="6480" w:hanging="360"/>
      </w:pPr>
      <w:rPr>
        <w:rFonts w:ascii="Wingdings" w:hAnsi="Wingdings" w:hint="default"/>
      </w:rPr>
    </w:lvl>
  </w:abstractNum>
  <w:abstractNum w:abstractNumId="3" w15:restartNumberingAfterBreak="0">
    <w:nsid w:val="3A1C7DC2"/>
    <w:multiLevelType w:val="hybridMultilevel"/>
    <w:tmpl w:val="A7FE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8B39"/>
    <w:multiLevelType w:val="hybridMultilevel"/>
    <w:tmpl w:val="BBFC5BB8"/>
    <w:lvl w:ilvl="0" w:tplc="3E7C6D9E">
      <w:start w:val="1"/>
      <w:numFmt w:val="bullet"/>
      <w:lvlText w:val=""/>
      <w:lvlJc w:val="left"/>
      <w:pPr>
        <w:ind w:left="720" w:hanging="360"/>
      </w:pPr>
      <w:rPr>
        <w:rFonts w:ascii="Symbol" w:hAnsi="Symbol" w:hint="default"/>
      </w:rPr>
    </w:lvl>
    <w:lvl w:ilvl="1" w:tplc="D566337A">
      <w:start w:val="1"/>
      <w:numFmt w:val="bullet"/>
      <w:lvlText w:val="o"/>
      <w:lvlJc w:val="left"/>
      <w:pPr>
        <w:ind w:left="1440" w:hanging="360"/>
      </w:pPr>
      <w:rPr>
        <w:rFonts w:ascii="Courier New" w:hAnsi="Courier New" w:hint="default"/>
      </w:rPr>
    </w:lvl>
    <w:lvl w:ilvl="2" w:tplc="1996D292">
      <w:start w:val="1"/>
      <w:numFmt w:val="bullet"/>
      <w:lvlText w:val=""/>
      <w:lvlJc w:val="left"/>
      <w:pPr>
        <w:ind w:left="2160" w:hanging="360"/>
      </w:pPr>
      <w:rPr>
        <w:rFonts w:ascii="Wingdings" w:hAnsi="Wingdings" w:hint="default"/>
      </w:rPr>
    </w:lvl>
    <w:lvl w:ilvl="3" w:tplc="A6569B5A">
      <w:start w:val="1"/>
      <w:numFmt w:val="bullet"/>
      <w:lvlText w:val=""/>
      <w:lvlJc w:val="left"/>
      <w:pPr>
        <w:ind w:left="2880" w:hanging="360"/>
      </w:pPr>
      <w:rPr>
        <w:rFonts w:ascii="Symbol" w:hAnsi="Symbol" w:hint="default"/>
      </w:rPr>
    </w:lvl>
    <w:lvl w:ilvl="4" w:tplc="6F4C0F24">
      <w:start w:val="1"/>
      <w:numFmt w:val="bullet"/>
      <w:lvlText w:val="o"/>
      <w:lvlJc w:val="left"/>
      <w:pPr>
        <w:ind w:left="3600" w:hanging="360"/>
      </w:pPr>
      <w:rPr>
        <w:rFonts w:ascii="Courier New" w:hAnsi="Courier New" w:hint="default"/>
      </w:rPr>
    </w:lvl>
    <w:lvl w:ilvl="5" w:tplc="1AAEFE12">
      <w:start w:val="1"/>
      <w:numFmt w:val="bullet"/>
      <w:lvlText w:val=""/>
      <w:lvlJc w:val="left"/>
      <w:pPr>
        <w:ind w:left="4320" w:hanging="360"/>
      </w:pPr>
      <w:rPr>
        <w:rFonts w:ascii="Wingdings" w:hAnsi="Wingdings" w:hint="default"/>
      </w:rPr>
    </w:lvl>
    <w:lvl w:ilvl="6" w:tplc="865E3482">
      <w:start w:val="1"/>
      <w:numFmt w:val="bullet"/>
      <w:lvlText w:val=""/>
      <w:lvlJc w:val="left"/>
      <w:pPr>
        <w:ind w:left="5040" w:hanging="360"/>
      </w:pPr>
      <w:rPr>
        <w:rFonts w:ascii="Symbol" w:hAnsi="Symbol" w:hint="default"/>
      </w:rPr>
    </w:lvl>
    <w:lvl w:ilvl="7" w:tplc="B9D4A69C">
      <w:start w:val="1"/>
      <w:numFmt w:val="bullet"/>
      <w:lvlText w:val="o"/>
      <w:lvlJc w:val="left"/>
      <w:pPr>
        <w:ind w:left="5760" w:hanging="360"/>
      </w:pPr>
      <w:rPr>
        <w:rFonts w:ascii="Courier New" w:hAnsi="Courier New" w:hint="default"/>
      </w:rPr>
    </w:lvl>
    <w:lvl w:ilvl="8" w:tplc="4288BE36">
      <w:start w:val="1"/>
      <w:numFmt w:val="bullet"/>
      <w:lvlText w:val=""/>
      <w:lvlJc w:val="left"/>
      <w:pPr>
        <w:ind w:left="6480" w:hanging="360"/>
      </w:pPr>
      <w:rPr>
        <w:rFonts w:ascii="Wingdings" w:hAnsi="Wingdings" w:hint="default"/>
      </w:rPr>
    </w:lvl>
  </w:abstractNum>
  <w:abstractNum w:abstractNumId="5" w15:restartNumberingAfterBreak="0">
    <w:nsid w:val="412E534B"/>
    <w:multiLevelType w:val="multilevel"/>
    <w:tmpl w:val="5F66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57E2F"/>
    <w:multiLevelType w:val="hybridMultilevel"/>
    <w:tmpl w:val="6204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04F274"/>
    <w:multiLevelType w:val="hybridMultilevel"/>
    <w:tmpl w:val="3C1A12DA"/>
    <w:lvl w:ilvl="0" w:tplc="7DD60770">
      <w:start w:val="1"/>
      <w:numFmt w:val="bullet"/>
      <w:lvlText w:val=""/>
      <w:lvlJc w:val="left"/>
      <w:pPr>
        <w:ind w:left="720" w:hanging="360"/>
      </w:pPr>
      <w:rPr>
        <w:rFonts w:ascii="Symbol" w:hAnsi="Symbol" w:hint="default"/>
      </w:rPr>
    </w:lvl>
    <w:lvl w:ilvl="1" w:tplc="939A1776">
      <w:start w:val="1"/>
      <w:numFmt w:val="bullet"/>
      <w:lvlText w:val="o"/>
      <w:lvlJc w:val="left"/>
      <w:pPr>
        <w:ind w:left="1440" w:hanging="360"/>
      </w:pPr>
      <w:rPr>
        <w:rFonts w:ascii="Courier New" w:hAnsi="Courier New" w:hint="default"/>
      </w:rPr>
    </w:lvl>
    <w:lvl w:ilvl="2" w:tplc="632AE1B8">
      <w:start w:val="1"/>
      <w:numFmt w:val="bullet"/>
      <w:lvlText w:val=""/>
      <w:lvlJc w:val="left"/>
      <w:pPr>
        <w:ind w:left="2160" w:hanging="360"/>
      </w:pPr>
      <w:rPr>
        <w:rFonts w:ascii="Wingdings" w:hAnsi="Wingdings" w:hint="default"/>
      </w:rPr>
    </w:lvl>
    <w:lvl w:ilvl="3" w:tplc="F0188AFC">
      <w:start w:val="1"/>
      <w:numFmt w:val="bullet"/>
      <w:lvlText w:val=""/>
      <w:lvlJc w:val="left"/>
      <w:pPr>
        <w:ind w:left="2880" w:hanging="360"/>
      </w:pPr>
      <w:rPr>
        <w:rFonts w:ascii="Symbol" w:hAnsi="Symbol" w:hint="default"/>
      </w:rPr>
    </w:lvl>
    <w:lvl w:ilvl="4" w:tplc="5DC014F4">
      <w:start w:val="1"/>
      <w:numFmt w:val="bullet"/>
      <w:lvlText w:val="o"/>
      <w:lvlJc w:val="left"/>
      <w:pPr>
        <w:ind w:left="3600" w:hanging="360"/>
      </w:pPr>
      <w:rPr>
        <w:rFonts w:ascii="Courier New" w:hAnsi="Courier New" w:hint="default"/>
      </w:rPr>
    </w:lvl>
    <w:lvl w:ilvl="5" w:tplc="3DB83BAC">
      <w:start w:val="1"/>
      <w:numFmt w:val="bullet"/>
      <w:lvlText w:val=""/>
      <w:lvlJc w:val="left"/>
      <w:pPr>
        <w:ind w:left="4320" w:hanging="360"/>
      </w:pPr>
      <w:rPr>
        <w:rFonts w:ascii="Wingdings" w:hAnsi="Wingdings" w:hint="default"/>
      </w:rPr>
    </w:lvl>
    <w:lvl w:ilvl="6" w:tplc="BECE862E">
      <w:start w:val="1"/>
      <w:numFmt w:val="bullet"/>
      <w:lvlText w:val=""/>
      <w:lvlJc w:val="left"/>
      <w:pPr>
        <w:ind w:left="5040" w:hanging="360"/>
      </w:pPr>
      <w:rPr>
        <w:rFonts w:ascii="Symbol" w:hAnsi="Symbol" w:hint="default"/>
      </w:rPr>
    </w:lvl>
    <w:lvl w:ilvl="7" w:tplc="0DB8CAD2">
      <w:start w:val="1"/>
      <w:numFmt w:val="bullet"/>
      <w:lvlText w:val="o"/>
      <w:lvlJc w:val="left"/>
      <w:pPr>
        <w:ind w:left="5760" w:hanging="360"/>
      </w:pPr>
      <w:rPr>
        <w:rFonts w:ascii="Courier New" w:hAnsi="Courier New" w:hint="default"/>
      </w:rPr>
    </w:lvl>
    <w:lvl w:ilvl="8" w:tplc="7F3829A4">
      <w:start w:val="1"/>
      <w:numFmt w:val="bullet"/>
      <w:lvlText w:val=""/>
      <w:lvlJc w:val="left"/>
      <w:pPr>
        <w:ind w:left="6480" w:hanging="360"/>
      </w:pPr>
      <w:rPr>
        <w:rFonts w:ascii="Wingdings" w:hAnsi="Wingdings" w:hint="default"/>
      </w:rPr>
    </w:lvl>
  </w:abstractNum>
  <w:abstractNum w:abstractNumId="8" w15:restartNumberingAfterBreak="0">
    <w:nsid w:val="52C81984"/>
    <w:multiLevelType w:val="multilevel"/>
    <w:tmpl w:val="FEE8D1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D1DF4"/>
    <w:multiLevelType w:val="hybridMultilevel"/>
    <w:tmpl w:val="0C9C0082"/>
    <w:lvl w:ilvl="0" w:tplc="B7024594">
      <w:start w:val="1"/>
      <w:numFmt w:val="bullet"/>
      <w:lvlText w:val=""/>
      <w:lvlJc w:val="left"/>
      <w:pPr>
        <w:ind w:left="720" w:hanging="360"/>
      </w:pPr>
      <w:rPr>
        <w:rFonts w:ascii="Symbol" w:hAnsi="Symbol" w:hint="default"/>
      </w:rPr>
    </w:lvl>
    <w:lvl w:ilvl="1" w:tplc="A0FE971E">
      <w:start w:val="1"/>
      <w:numFmt w:val="bullet"/>
      <w:lvlText w:val="o"/>
      <w:lvlJc w:val="left"/>
      <w:pPr>
        <w:ind w:left="1440" w:hanging="360"/>
      </w:pPr>
      <w:rPr>
        <w:rFonts w:ascii="Courier New" w:hAnsi="Courier New" w:hint="default"/>
      </w:rPr>
    </w:lvl>
    <w:lvl w:ilvl="2" w:tplc="ED9291CE">
      <w:start w:val="1"/>
      <w:numFmt w:val="bullet"/>
      <w:lvlText w:val=""/>
      <w:lvlJc w:val="left"/>
      <w:pPr>
        <w:ind w:left="2160" w:hanging="360"/>
      </w:pPr>
      <w:rPr>
        <w:rFonts w:ascii="Wingdings" w:hAnsi="Wingdings" w:hint="default"/>
      </w:rPr>
    </w:lvl>
    <w:lvl w:ilvl="3" w:tplc="121AB076">
      <w:start w:val="1"/>
      <w:numFmt w:val="bullet"/>
      <w:lvlText w:val=""/>
      <w:lvlJc w:val="left"/>
      <w:pPr>
        <w:ind w:left="2880" w:hanging="360"/>
      </w:pPr>
      <w:rPr>
        <w:rFonts w:ascii="Symbol" w:hAnsi="Symbol" w:hint="default"/>
      </w:rPr>
    </w:lvl>
    <w:lvl w:ilvl="4" w:tplc="429E2E7E">
      <w:start w:val="1"/>
      <w:numFmt w:val="bullet"/>
      <w:lvlText w:val="o"/>
      <w:lvlJc w:val="left"/>
      <w:pPr>
        <w:ind w:left="3600" w:hanging="360"/>
      </w:pPr>
      <w:rPr>
        <w:rFonts w:ascii="Courier New" w:hAnsi="Courier New" w:hint="default"/>
      </w:rPr>
    </w:lvl>
    <w:lvl w:ilvl="5" w:tplc="03508E9C">
      <w:start w:val="1"/>
      <w:numFmt w:val="bullet"/>
      <w:lvlText w:val=""/>
      <w:lvlJc w:val="left"/>
      <w:pPr>
        <w:ind w:left="4320" w:hanging="360"/>
      </w:pPr>
      <w:rPr>
        <w:rFonts w:ascii="Wingdings" w:hAnsi="Wingdings" w:hint="default"/>
      </w:rPr>
    </w:lvl>
    <w:lvl w:ilvl="6" w:tplc="8DD462E0">
      <w:start w:val="1"/>
      <w:numFmt w:val="bullet"/>
      <w:lvlText w:val=""/>
      <w:lvlJc w:val="left"/>
      <w:pPr>
        <w:ind w:left="5040" w:hanging="360"/>
      </w:pPr>
      <w:rPr>
        <w:rFonts w:ascii="Symbol" w:hAnsi="Symbol" w:hint="default"/>
      </w:rPr>
    </w:lvl>
    <w:lvl w:ilvl="7" w:tplc="C66CC72C">
      <w:start w:val="1"/>
      <w:numFmt w:val="bullet"/>
      <w:lvlText w:val="o"/>
      <w:lvlJc w:val="left"/>
      <w:pPr>
        <w:ind w:left="5760" w:hanging="360"/>
      </w:pPr>
      <w:rPr>
        <w:rFonts w:ascii="Courier New" w:hAnsi="Courier New" w:hint="default"/>
      </w:rPr>
    </w:lvl>
    <w:lvl w:ilvl="8" w:tplc="7C8C8CF6">
      <w:start w:val="1"/>
      <w:numFmt w:val="bullet"/>
      <w:lvlText w:val=""/>
      <w:lvlJc w:val="left"/>
      <w:pPr>
        <w:ind w:left="6480" w:hanging="360"/>
      </w:pPr>
      <w:rPr>
        <w:rFonts w:ascii="Wingdings" w:hAnsi="Wingdings" w:hint="default"/>
      </w:rPr>
    </w:lvl>
  </w:abstractNum>
  <w:abstractNum w:abstractNumId="10" w15:restartNumberingAfterBreak="0">
    <w:nsid w:val="6106EA8F"/>
    <w:multiLevelType w:val="hybridMultilevel"/>
    <w:tmpl w:val="DBCA5D54"/>
    <w:lvl w:ilvl="0" w:tplc="E0107760">
      <w:start w:val="1"/>
      <w:numFmt w:val="bullet"/>
      <w:lvlText w:val=""/>
      <w:lvlJc w:val="left"/>
      <w:pPr>
        <w:ind w:left="720" w:hanging="360"/>
      </w:pPr>
      <w:rPr>
        <w:rFonts w:ascii="Symbol" w:hAnsi="Symbol" w:hint="default"/>
      </w:rPr>
    </w:lvl>
    <w:lvl w:ilvl="1" w:tplc="135ADF82">
      <w:start w:val="1"/>
      <w:numFmt w:val="bullet"/>
      <w:lvlText w:val="o"/>
      <w:lvlJc w:val="left"/>
      <w:pPr>
        <w:ind w:left="1440" w:hanging="360"/>
      </w:pPr>
      <w:rPr>
        <w:rFonts w:ascii="Courier New" w:hAnsi="Courier New" w:hint="default"/>
      </w:rPr>
    </w:lvl>
    <w:lvl w:ilvl="2" w:tplc="15CEDB6E">
      <w:start w:val="1"/>
      <w:numFmt w:val="bullet"/>
      <w:lvlText w:val=""/>
      <w:lvlJc w:val="left"/>
      <w:pPr>
        <w:ind w:left="2160" w:hanging="360"/>
      </w:pPr>
      <w:rPr>
        <w:rFonts w:ascii="Wingdings" w:hAnsi="Wingdings" w:hint="default"/>
      </w:rPr>
    </w:lvl>
    <w:lvl w:ilvl="3" w:tplc="C95097C4">
      <w:start w:val="1"/>
      <w:numFmt w:val="bullet"/>
      <w:lvlText w:val=""/>
      <w:lvlJc w:val="left"/>
      <w:pPr>
        <w:ind w:left="2880" w:hanging="360"/>
      </w:pPr>
      <w:rPr>
        <w:rFonts w:ascii="Symbol" w:hAnsi="Symbol" w:hint="default"/>
      </w:rPr>
    </w:lvl>
    <w:lvl w:ilvl="4" w:tplc="E1C0303A">
      <w:start w:val="1"/>
      <w:numFmt w:val="bullet"/>
      <w:lvlText w:val="o"/>
      <w:lvlJc w:val="left"/>
      <w:pPr>
        <w:ind w:left="3600" w:hanging="360"/>
      </w:pPr>
      <w:rPr>
        <w:rFonts w:ascii="Courier New" w:hAnsi="Courier New" w:hint="default"/>
      </w:rPr>
    </w:lvl>
    <w:lvl w:ilvl="5" w:tplc="9A40173E">
      <w:start w:val="1"/>
      <w:numFmt w:val="bullet"/>
      <w:lvlText w:val=""/>
      <w:lvlJc w:val="left"/>
      <w:pPr>
        <w:ind w:left="4320" w:hanging="360"/>
      </w:pPr>
      <w:rPr>
        <w:rFonts w:ascii="Wingdings" w:hAnsi="Wingdings" w:hint="default"/>
      </w:rPr>
    </w:lvl>
    <w:lvl w:ilvl="6" w:tplc="27903542">
      <w:start w:val="1"/>
      <w:numFmt w:val="bullet"/>
      <w:lvlText w:val=""/>
      <w:lvlJc w:val="left"/>
      <w:pPr>
        <w:ind w:left="5040" w:hanging="360"/>
      </w:pPr>
      <w:rPr>
        <w:rFonts w:ascii="Symbol" w:hAnsi="Symbol" w:hint="default"/>
      </w:rPr>
    </w:lvl>
    <w:lvl w:ilvl="7" w:tplc="A7F4CBDC">
      <w:start w:val="1"/>
      <w:numFmt w:val="bullet"/>
      <w:lvlText w:val="o"/>
      <w:lvlJc w:val="left"/>
      <w:pPr>
        <w:ind w:left="5760" w:hanging="360"/>
      </w:pPr>
      <w:rPr>
        <w:rFonts w:ascii="Courier New" w:hAnsi="Courier New" w:hint="default"/>
      </w:rPr>
    </w:lvl>
    <w:lvl w:ilvl="8" w:tplc="3CF012EC">
      <w:start w:val="1"/>
      <w:numFmt w:val="bullet"/>
      <w:lvlText w:val=""/>
      <w:lvlJc w:val="left"/>
      <w:pPr>
        <w:ind w:left="6480" w:hanging="360"/>
      </w:pPr>
      <w:rPr>
        <w:rFonts w:ascii="Wingdings" w:hAnsi="Wingdings" w:hint="default"/>
      </w:rPr>
    </w:lvl>
  </w:abstractNum>
  <w:num w:numId="1" w16cid:durableId="567115150">
    <w:abstractNumId w:val="7"/>
  </w:num>
  <w:num w:numId="2" w16cid:durableId="1263302659">
    <w:abstractNumId w:val="2"/>
  </w:num>
  <w:num w:numId="3" w16cid:durableId="951135776">
    <w:abstractNumId w:val="10"/>
  </w:num>
  <w:num w:numId="4" w16cid:durableId="1351906019">
    <w:abstractNumId w:val="1"/>
  </w:num>
  <w:num w:numId="5" w16cid:durableId="310868269">
    <w:abstractNumId w:val="9"/>
  </w:num>
  <w:num w:numId="6" w16cid:durableId="789587778">
    <w:abstractNumId w:val="4"/>
  </w:num>
  <w:num w:numId="7" w16cid:durableId="1924532382">
    <w:abstractNumId w:val="3"/>
  </w:num>
  <w:num w:numId="8" w16cid:durableId="188447993">
    <w:abstractNumId w:val="5"/>
  </w:num>
  <w:num w:numId="9" w16cid:durableId="239366394">
    <w:abstractNumId w:val="8"/>
  </w:num>
  <w:num w:numId="10" w16cid:durableId="546140178">
    <w:abstractNumId w:val="6"/>
  </w:num>
  <w:num w:numId="11" w16cid:durableId="40823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45"/>
    <w:rsid w:val="00053BA5"/>
    <w:rsid w:val="001A4079"/>
    <w:rsid w:val="002670BF"/>
    <w:rsid w:val="00277203"/>
    <w:rsid w:val="002A7745"/>
    <w:rsid w:val="002F41F5"/>
    <w:rsid w:val="0046433F"/>
    <w:rsid w:val="005806DC"/>
    <w:rsid w:val="00597873"/>
    <w:rsid w:val="005F2101"/>
    <w:rsid w:val="00632BD4"/>
    <w:rsid w:val="0066331A"/>
    <w:rsid w:val="006D4E89"/>
    <w:rsid w:val="006D5309"/>
    <w:rsid w:val="007A5528"/>
    <w:rsid w:val="00856E2F"/>
    <w:rsid w:val="00A91CA8"/>
    <w:rsid w:val="00AD17FB"/>
    <w:rsid w:val="00AE7D23"/>
    <w:rsid w:val="00BC5654"/>
    <w:rsid w:val="00C42045"/>
    <w:rsid w:val="00C5141A"/>
    <w:rsid w:val="00C77A89"/>
    <w:rsid w:val="00CA0712"/>
    <w:rsid w:val="00CA2A20"/>
    <w:rsid w:val="00CB506D"/>
    <w:rsid w:val="00D77A0B"/>
    <w:rsid w:val="00DA0B5A"/>
    <w:rsid w:val="00ED7A38"/>
    <w:rsid w:val="00F122BF"/>
    <w:rsid w:val="00F23AF8"/>
    <w:rsid w:val="00F34EC3"/>
    <w:rsid w:val="00F82231"/>
    <w:rsid w:val="00FA7B26"/>
    <w:rsid w:val="00FD0EE1"/>
    <w:rsid w:val="01110EBF"/>
    <w:rsid w:val="01DA175A"/>
    <w:rsid w:val="035535CA"/>
    <w:rsid w:val="03753DB7"/>
    <w:rsid w:val="0489D4A6"/>
    <w:rsid w:val="052C5B96"/>
    <w:rsid w:val="05E3E48D"/>
    <w:rsid w:val="071C464B"/>
    <w:rsid w:val="07EE7A2C"/>
    <w:rsid w:val="08AC302E"/>
    <w:rsid w:val="090568D8"/>
    <w:rsid w:val="095AF4AC"/>
    <w:rsid w:val="09B98D0F"/>
    <w:rsid w:val="0A7EC1E4"/>
    <w:rsid w:val="0AD7D2CF"/>
    <w:rsid w:val="0BECA9AF"/>
    <w:rsid w:val="0D108CE1"/>
    <w:rsid w:val="0D380092"/>
    <w:rsid w:val="0E2898B6"/>
    <w:rsid w:val="0EC2EE0B"/>
    <w:rsid w:val="0ECB5C7A"/>
    <w:rsid w:val="0EDC9BB8"/>
    <w:rsid w:val="0EF83BF9"/>
    <w:rsid w:val="0FE8C0FA"/>
    <w:rsid w:val="12FC3ABB"/>
    <w:rsid w:val="1311C356"/>
    <w:rsid w:val="13313139"/>
    <w:rsid w:val="136CB627"/>
    <w:rsid w:val="14EE3C62"/>
    <w:rsid w:val="150B629F"/>
    <w:rsid w:val="16A1658D"/>
    <w:rsid w:val="16D3B7EE"/>
    <w:rsid w:val="17426A58"/>
    <w:rsid w:val="1769ECE3"/>
    <w:rsid w:val="19EB740E"/>
    <w:rsid w:val="19F8235F"/>
    <w:rsid w:val="1BD85741"/>
    <w:rsid w:val="1C75FC20"/>
    <w:rsid w:val="1C93322C"/>
    <w:rsid w:val="1DA54E9A"/>
    <w:rsid w:val="1DAD0852"/>
    <w:rsid w:val="1E300079"/>
    <w:rsid w:val="20BCDF7E"/>
    <w:rsid w:val="211E898C"/>
    <w:rsid w:val="22F25832"/>
    <w:rsid w:val="232F2BA2"/>
    <w:rsid w:val="23C77BED"/>
    <w:rsid w:val="246155C2"/>
    <w:rsid w:val="24C695C8"/>
    <w:rsid w:val="24E1F5B5"/>
    <w:rsid w:val="264F6647"/>
    <w:rsid w:val="279B87B1"/>
    <w:rsid w:val="29442E25"/>
    <w:rsid w:val="2A8F9030"/>
    <w:rsid w:val="2B21C392"/>
    <w:rsid w:val="2CDB15EC"/>
    <w:rsid w:val="2D4B2130"/>
    <w:rsid w:val="2EB46D64"/>
    <w:rsid w:val="2F87A2A7"/>
    <w:rsid w:val="31219191"/>
    <w:rsid w:val="328BE61A"/>
    <w:rsid w:val="34F111D8"/>
    <w:rsid w:val="35BDF837"/>
    <w:rsid w:val="371DA934"/>
    <w:rsid w:val="371E4A9B"/>
    <w:rsid w:val="382CED9D"/>
    <w:rsid w:val="3867ED78"/>
    <w:rsid w:val="3AB410B7"/>
    <w:rsid w:val="3AEB9241"/>
    <w:rsid w:val="3C3B1333"/>
    <w:rsid w:val="3CF822DB"/>
    <w:rsid w:val="3FBDA8F4"/>
    <w:rsid w:val="407BEB53"/>
    <w:rsid w:val="41180CA9"/>
    <w:rsid w:val="411D6159"/>
    <w:rsid w:val="418AF9C6"/>
    <w:rsid w:val="43346930"/>
    <w:rsid w:val="43755262"/>
    <w:rsid w:val="43BB30ED"/>
    <w:rsid w:val="43DC0B2D"/>
    <w:rsid w:val="43F9A644"/>
    <w:rsid w:val="44410494"/>
    <w:rsid w:val="45C0A6EA"/>
    <w:rsid w:val="477FBD4D"/>
    <w:rsid w:val="47C1F654"/>
    <w:rsid w:val="49216826"/>
    <w:rsid w:val="49239ED3"/>
    <w:rsid w:val="49A4FA62"/>
    <w:rsid w:val="49AAF08C"/>
    <w:rsid w:val="4A18DF2D"/>
    <w:rsid w:val="4ACC3F50"/>
    <w:rsid w:val="4AD1986A"/>
    <w:rsid w:val="4B50804B"/>
    <w:rsid w:val="4B6FD092"/>
    <w:rsid w:val="4C3915CB"/>
    <w:rsid w:val="4C795DAC"/>
    <w:rsid w:val="4CBE30D6"/>
    <w:rsid w:val="4D350757"/>
    <w:rsid w:val="4DF4A6B4"/>
    <w:rsid w:val="4EE92919"/>
    <w:rsid w:val="50FCEB78"/>
    <w:rsid w:val="5160BE51"/>
    <w:rsid w:val="51D7CC08"/>
    <w:rsid w:val="55291982"/>
    <w:rsid w:val="568446EA"/>
    <w:rsid w:val="56C33B0B"/>
    <w:rsid w:val="56EC3F1A"/>
    <w:rsid w:val="581BA30D"/>
    <w:rsid w:val="58515120"/>
    <w:rsid w:val="587657FF"/>
    <w:rsid w:val="592CDB2D"/>
    <w:rsid w:val="5BCD780A"/>
    <w:rsid w:val="5E7F7B8D"/>
    <w:rsid w:val="5F1FF333"/>
    <w:rsid w:val="60260D7C"/>
    <w:rsid w:val="610AD5D0"/>
    <w:rsid w:val="61E4775D"/>
    <w:rsid w:val="61F4FF3F"/>
    <w:rsid w:val="627AE244"/>
    <w:rsid w:val="63160060"/>
    <w:rsid w:val="63ED11B5"/>
    <w:rsid w:val="644197CF"/>
    <w:rsid w:val="64F0BC4F"/>
    <w:rsid w:val="65761E2D"/>
    <w:rsid w:val="65C5B339"/>
    <w:rsid w:val="677FDE55"/>
    <w:rsid w:val="67FB5418"/>
    <w:rsid w:val="682622F0"/>
    <w:rsid w:val="69E2B516"/>
    <w:rsid w:val="6A6B3E8C"/>
    <w:rsid w:val="6A6FD138"/>
    <w:rsid w:val="6CE204C5"/>
    <w:rsid w:val="6E2992A2"/>
    <w:rsid w:val="6FD7B382"/>
    <w:rsid w:val="71022207"/>
    <w:rsid w:val="73455767"/>
    <w:rsid w:val="7445EFC0"/>
    <w:rsid w:val="74B35B2D"/>
    <w:rsid w:val="75386670"/>
    <w:rsid w:val="76B756DC"/>
    <w:rsid w:val="79E962E8"/>
    <w:rsid w:val="7AD86240"/>
    <w:rsid w:val="7AECC746"/>
    <w:rsid w:val="7B64EB1A"/>
    <w:rsid w:val="7B8C8061"/>
    <w:rsid w:val="7C58CEAA"/>
    <w:rsid w:val="7C77036F"/>
    <w:rsid w:val="7CD58E4E"/>
    <w:rsid w:val="7CEC9F3F"/>
    <w:rsid w:val="7D6EABDD"/>
    <w:rsid w:val="7D797730"/>
    <w:rsid w:val="7DFFB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6BF2"/>
  <w15:chartTrackingRefBased/>
  <w15:docId w15:val="{47ED1ABA-51F5-4C0E-B44A-E47EC6F6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A7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A7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A774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A774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A774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A774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A774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A774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A774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774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A774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A774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A774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A774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A774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A774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A774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A7745"/>
    <w:rPr>
      <w:rFonts w:eastAsiaTheme="majorEastAsia" w:cstheme="majorBidi"/>
      <w:color w:val="272727" w:themeColor="text1" w:themeTint="D8"/>
    </w:rPr>
  </w:style>
  <w:style w:type="paragraph" w:styleId="Titel">
    <w:name w:val="Title"/>
    <w:basedOn w:val="Standard"/>
    <w:next w:val="Standard"/>
    <w:link w:val="TitelZchn"/>
    <w:uiPriority w:val="10"/>
    <w:qFormat/>
    <w:rsid w:val="002A7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A774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A774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A774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A774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A7745"/>
    <w:rPr>
      <w:i/>
      <w:iCs/>
      <w:color w:val="404040" w:themeColor="text1" w:themeTint="BF"/>
    </w:rPr>
  </w:style>
  <w:style w:type="paragraph" w:styleId="Listenabsatz">
    <w:name w:val="List Paragraph"/>
    <w:basedOn w:val="Standard"/>
    <w:uiPriority w:val="34"/>
    <w:qFormat/>
    <w:rsid w:val="002A7745"/>
    <w:pPr>
      <w:ind w:left="720"/>
      <w:contextualSpacing/>
    </w:pPr>
  </w:style>
  <w:style w:type="character" w:styleId="IntensiveHervorhebung">
    <w:name w:val="Intense Emphasis"/>
    <w:basedOn w:val="Absatz-Standardschriftart"/>
    <w:uiPriority w:val="21"/>
    <w:qFormat/>
    <w:rsid w:val="002A7745"/>
    <w:rPr>
      <w:i/>
      <w:iCs/>
      <w:color w:val="0F4761" w:themeColor="accent1" w:themeShade="BF"/>
    </w:rPr>
  </w:style>
  <w:style w:type="paragraph" w:styleId="IntensivesZitat">
    <w:name w:val="Intense Quote"/>
    <w:basedOn w:val="Standard"/>
    <w:next w:val="Standard"/>
    <w:link w:val="IntensivesZitatZchn"/>
    <w:uiPriority w:val="30"/>
    <w:qFormat/>
    <w:rsid w:val="002A7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A7745"/>
    <w:rPr>
      <w:i/>
      <w:iCs/>
      <w:color w:val="0F4761" w:themeColor="accent1" w:themeShade="BF"/>
    </w:rPr>
  </w:style>
  <w:style w:type="character" w:styleId="IntensiverVerweis">
    <w:name w:val="Intense Reference"/>
    <w:basedOn w:val="Absatz-Standardschriftart"/>
    <w:uiPriority w:val="32"/>
    <w:qFormat/>
    <w:rsid w:val="002A7745"/>
    <w:rPr>
      <w:b/>
      <w:bCs/>
      <w:smallCaps/>
      <w:color w:val="0F4761" w:themeColor="accent1" w:themeShade="BF"/>
      <w:spacing w:val="5"/>
    </w:rPr>
  </w:style>
  <w:style w:type="paragraph" w:customStyle="1" w:styleId="paragraph">
    <w:name w:val="paragraph"/>
    <w:basedOn w:val="Standard"/>
    <w:rsid w:val="002A77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Absatz-Standardschriftart"/>
    <w:rsid w:val="002A7745"/>
  </w:style>
  <w:style w:type="character" w:customStyle="1" w:styleId="eop">
    <w:name w:val="eop"/>
    <w:basedOn w:val="Absatz-Standardschriftart"/>
    <w:rsid w:val="002A7745"/>
  </w:style>
  <w:style w:type="character" w:customStyle="1" w:styleId="scxw195948516">
    <w:name w:val="scxw195948516"/>
    <w:basedOn w:val="Absatz-Standardschriftart"/>
    <w:rsid w:val="002A7745"/>
  </w:style>
  <w:style w:type="character" w:styleId="Kommentarzeichen">
    <w:name w:val="annotation reference"/>
    <w:basedOn w:val="Absatz-Standardschriftart"/>
    <w:uiPriority w:val="99"/>
    <w:semiHidden/>
    <w:unhideWhenUsed/>
    <w:rsid w:val="002A7745"/>
    <w:rPr>
      <w:sz w:val="16"/>
      <w:szCs w:val="16"/>
    </w:rPr>
  </w:style>
  <w:style w:type="paragraph" w:styleId="Kommentartext">
    <w:name w:val="annotation text"/>
    <w:basedOn w:val="Standard"/>
    <w:link w:val="KommentartextZchn"/>
    <w:uiPriority w:val="99"/>
    <w:unhideWhenUsed/>
    <w:rsid w:val="002A7745"/>
    <w:pPr>
      <w:spacing w:line="240" w:lineRule="auto"/>
    </w:pPr>
    <w:rPr>
      <w:sz w:val="20"/>
      <w:szCs w:val="20"/>
    </w:rPr>
  </w:style>
  <w:style w:type="character" w:customStyle="1" w:styleId="KommentartextZchn">
    <w:name w:val="Kommentartext Zchn"/>
    <w:basedOn w:val="Absatz-Standardschriftart"/>
    <w:link w:val="Kommentartext"/>
    <w:uiPriority w:val="99"/>
    <w:rsid w:val="002A7745"/>
    <w:rPr>
      <w:sz w:val="20"/>
      <w:szCs w:val="20"/>
    </w:rPr>
  </w:style>
  <w:style w:type="paragraph" w:styleId="Kommentarthema">
    <w:name w:val="annotation subject"/>
    <w:basedOn w:val="Kommentartext"/>
    <w:next w:val="Kommentartext"/>
    <w:link w:val="KommentarthemaZchn"/>
    <w:uiPriority w:val="99"/>
    <w:semiHidden/>
    <w:unhideWhenUsed/>
    <w:rsid w:val="002A7745"/>
    <w:rPr>
      <w:b/>
      <w:bCs/>
    </w:rPr>
  </w:style>
  <w:style w:type="character" w:customStyle="1" w:styleId="KommentarthemaZchn">
    <w:name w:val="Kommentarthema Zchn"/>
    <w:basedOn w:val="KommentartextZchn"/>
    <w:link w:val="Kommentarthema"/>
    <w:uiPriority w:val="99"/>
    <w:semiHidden/>
    <w:rsid w:val="002A7745"/>
    <w:rPr>
      <w:b/>
      <w:bCs/>
      <w:sz w:val="20"/>
      <w:szCs w:val="20"/>
    </w:rPr>
  </w:style>
  <w:style w:type="character" w:styleId="Hyperlink">
    <w:name w:val="Hyperlink"/>
    <w:basedOn w:val="Absatz-Standardschriftart"/>
    <w:uiPriority w:val="99"/>
    <w:unhideWhenUsed/>
    <w:rsid w:val="00AE7D23"/>
    <w:rPr>
      <w:color w:val="467886" w:themeColor="hyperlink"/>
      <w:u w:val="single"/>
    </w:rPr>
  </w:style>
  <w:style w:type="character" w:styleId="NichtaufgelsteErwhnung">
    <w:name w:val="Unresolved Mention"/>
    <w:basedOn w:val="Absatz-Standardschriftart"/>
    <w:uiPriority w:val="99"/>
    <w:semiHidden/>
    <w:unhideWhenUsed/>
    <w:rsid w:val="00AE7D23"/>
    <w:rPr>
      <w:color w:val="605E5C"/>
      <w:shd w:val="clear" w:color="auto" w:fill="E1DFDD"/>
    </w:rPr>
  </w:style>
  <w:style w:type="character" w:customStyle="1" w:styleId="scxw130114408">
    <w:name w:val="scxw130114408"/>
    <w:basedOn w:val="Absatz-Standardschriftart"/>
    <w:rsid w:val="00C77A89"/>
  </w:style>
  <w:style w:type="paragraph" w:styleId="StandardWeb">
    <w:name w:val="Normal (Web)"/>
    <w:basedOn w:val="Standard"/>
    <w:uiPriority w:val="99"/>
    <w:semiHidden/>
    <w:unhideWhenUsed/>
    <w:rsid w:val="00C77A89"/>
    <w:rPr>
      <w:rFonts w:ascii="Times New Roman" w:hAnsi="Times New Roman" w:cs="Times New Roman"/>
    </w:rPr>
  </w:style>
  <w:style w:type="character" w:styleId="BesuchterLink">
    <w:name w:val="FollowedHyperlink"/>
    <w:basedOn w:val="Absatz-Standardschriftart"/>
    <w:uiPriority w:val="99"/>
    <w:semiHidden/>
    <w:unhideWhenUsed/>
    <w:rsid w:val="00FA7B26"/>
    <w:rPr>
      <w:color w:val="96607D" w:themeColor="followedHyperlink"/>
      <w:u w:val="single"/>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opuniversities.com/world-university-rankings/methodology" TargetMode="External"/><Relationship Id="rId18" Type="http://schemas.openxmlformats.org/officeDocument/2006/relationships/hyperlink" Target="http://www.topuniversiti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thz.ch/staffnet/en/news-and-events/internal-news/archive/2025/01/horizon-europe-und-die-erc-grants-was-fuer-eth-forschende-jetzt-gilt.html" TargetMode="External"/><Relationship Id="rId17" Type="http://schemas.openxmlformats.org/officeDocument/2006/relationships/hyperlink" Target="mailto:William.barbieri@qs.com" TargetMode="External"/><Relationship Id="rId2" Type="http://schemas.openxmlformats.org/officeDocument/2006/relationships/customXml" Target="../customXml/item2.xml"/><Relationship Id="rId16" Type="http://schemas.openxmlformats.org/officeDocument/2006/relationships/hyperlink" Target="https://www.linkedin.com/in/simona-bizzoze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bfi.admin.ch/en/eri-policy-2025-2028" TargetMode="External"/><Relationship Id="rId5" Type="http://schemas.openxmlformats.org/officeDocument/2006/relationships/styles" Target="styles.xml"/><Relationship Id="rId15" Type="http://schemas.openxmlformats.org/officeDocument/2006/relationships/hyperlink" Target="mailto:simona@qs.com" TargetMode="External"/><Relationship Id="rId10" Type="http://schemas.openxmlformats.org/officeDocument/2006/relationships/hyperlink" Target="https://www.sbfi.admin.ch/en/eri-policy-2025-202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opuniversities.com/world-university-rankings" TargetMode="External"/><Relationship Id="rId14" Type="http://schemas.openxmlformats.org/officeDocument/2006/relationships/hyperlink" Target="https://www.topuniversities.com/world-university-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75B71-1E0C-43A7-B983-551C78EB5B02}">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customXml/itemProps2.xml><?xml version="1.0" encoding="utf-8"?>
<ds:datastoreItem xmlns:ds="http://schemas.openxmlformats.org/officeDocument/2006/customXml" ds:itemID="{E9510A74-ABC2-4F70-A19A-D3201DEFB9EB}">
  <ds:schemaRefs>
    <ds:schemaRef ds:uri="http://schemas.microsoft.com/sharepoint/v3/contenttype/forms"/>
  </ds:schemaRefs>
</ds:datastoreItem>
</file>

<file path=customXml/itemProps3.xml><?xml version="1.0" encoding="utf-8"?>
<ds:datastoreItem xmlns:ds="http://schemas.openxmlformats.org/officeDocument/2006/customXml" ds:itemID="{77C54009-64F3-4855-8329-2BF241F8C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2293</Words>
  <Characters>14451</Characters>
  <Application>Microsoft Office Word</Application>
  <DocSecurity>0</DocSecurity>
  <Lines>120</Lines>
  <Paragraphs>33</Paragraphs>
  <ScaleCrop>false</ScaleCrop>
  <Company>Quacquarelli-Symonds</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Barbieri</dc:creator>
  <cp:keywords>, docId:532FEB19BB65CCDD9F1216BDF7120994</cp:keywords>
  <dc:description/>
  <cp:lastModifiedBy>Björn Schlesinger</cp:lastModifiedBy>
  <cp:revision>19</cp:revision>
  <dcterms:created xsi:type="dcterms:W3CDTF">2026-05-14T12:17:00Z</dcterms:created>
  <dcterms:modified xsi:type="dcterms:W3CDTF">2026-06-10T10:04:00Z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