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79D9" w14:textId="6EECE8DF" w:rsidR="002C281E" w:rsidRPr="000B7905" w:rsidRDefault="002C281E" w:rsidP="007232E7">
      <w:pPr>
        <w:spacing w:line="360" w:lineRule="auto"/>
        <w:jc w:val="center"/>
        <w:rPr>
          <w:rFonts w:ascii="Calibri" w:hAnsi="Calibri" w:cs="Calibri"/>
          <w:color w:val="FF0000"/>
          <w:lang w:val="es-ES"/>
        </w:rPr>
      </w:pPr>
      <w:r w:rsidRPr="000B7905">
        <w:rPr>
          <w:rFonts w:ascii="Calibri" w:hAnsi="Calibri" w:cs="Calibri"/>
          <w:b/>
          <w:bCs/>
          <w:color w:val="FF0000"/>
          <w:lang w:val="es-ES"/>
        </w:rPr>
        <w:t xml:space="preserve">BAJO EMBARGO ESTRICTO HASTA </w:t>
      </w:r>
      <w:r w:rsidR="007232E7" w:rsidRPr="000B7905">
        <w:rPr>
          <w:rFonts w:ascii="Calibri" w:hAnsi="Calibri" w:cs="Calibri"/>
          <w:b/>
          <w:bCs/>
          <w:color w:val="FF0000"/>
          <w:lang w:val="es-ES"/>
        </w:rPr>
        <w:t xml:space="preserve">EL MIÉRCOLES 18 </w:t>
      </w:r>
      <w:r w:rsidRPr="000B7905">
        <w:rPr>
          <w:rFonts w:ascii="Calibri" w:hAnsi="Calibri" w:cs="Calibri"/>
          <w:b/>
          <w:bCs/>
          <w:color w:val="FF0000"/>
          <w:lang w:val="es-ES"/>
        </w:rPr>
        <w:t xml:space="preserve">DE JUNIO A </w:t>
      </w:r>
      <w:r w:rsidR="007232E7" w:rsidRPr="000B7905">
        <w:rPr>
          <w:rFonts w:ascii="Calibri" w:hAnsi="Calibri" w:cs="Calibri"/>
          <w:b/>
          <w:bCs/>
          <w:color w:val="FF0000"/>
          <w:lang w:val="es-ES"/>
        </w:rPr>
        <w:t>LAS 20:01 ARTE</w:t>
      </w:r>
    </w:p>
    <w:p w14:paraId="207350E7" w14:textId="448F43EE" w:rsidR="002C281E" w:rsidRPr="000B7905" w:rsidRDefault="002C281E" w:rsidP="007232E7">
      <w:pPr>
        <w:spacing w:line="360" w:lineRule="auto"/>
        <w:jc w:val="center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b/>
          <w:bCs/>
          <w:lang w:val="es-ES"/>
        </w:rPr>
        <w:t>Clasificación mundial de universidades QS 2026</w:t>
      </w:r>
    </w:p>
    <w:p w14:paraId="040A0341" w14:textId="11AEAF9F" w:rsidR="002C281E" w:rsidRPr="000B7905" w:rsidRDefault="002C281E" w:rsidP="007232E7">
      <w:pPr>
        <w:spacing w:line="360" w:lineRule="auto"/>
        <w:jc w:val="center"/>
        <w:rPr>
          <w:rFonts w:ascii="Calibri" w:hAnsi="Calibri" w:cs="Calibri"/>
          <w:b/>
          <w:bCs/>
          <w:lang w:val="es-ES"/>
        </w:rPr>
      </w:pPr>
      <w:r w:rsidRPr="000B7905">
        <w:rPr>
          <w:rFonts w:ascii="Calibri" w:hAnsi="Calibri" w:cs="Calibri"/>
          <w:b/>
          <w:bCs/>
          <w:lang w:val="es-ES"/>
        </w:rPr>
        <w:t>La UBA, única universidad latinoamericana entre las 100 mejores del mundo</w:t>
      </w:r>
    </w:p>
    <w:p w14:paraId="16F1A510" w14:textId="476F67DB" w:rsidR="005157EF" w:rsidRPr="000B7905" w:rsidRDefault="005157EF" w:rsidP="1E47B5F0">
      <w:pPr>
        <w:spacing w:line="360" w:lineRule="auto"/>
        <w:rPr>
          <w:rFonts w:ascii="Calibri" w:hAnsi="Calibri" w:cs="Calibri"/>
          <w:color w:val="FF0000"/>
          <w:sz w:val="22"/>
          <w:szCs w:val="22"/>
          <w:lang w:val="es-ES"/>
        </w:rPr>
      </w:pPr>
      <w:r w:rsidRPr="000B7905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 xml:space="preserve">Londres, </w:t>
      </w:r>
      <w:r w:rsidR="000B7905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 xml:space="preserve">a </w:t>
      </w:r>
      <w:r w:rsidRPr="000B7905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19</w:t>
      </w:r>
      <w:r w:rsidR="000B7905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 xml:space="preserve"> de </w:t>
      </w:r>
      <w:r w:rsidRPr="000B7905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 xml:space="preserve">junio de 2025: </w:t>
      </w:r>
      <w:r w:rsidRPr="000B7905">
        <w:rPr>
          <w:rFonts w:ascii="Calibri" w:hAnsi="Calibri" w:cs="Calibri"/>
          <w:sz w:val="22"/>
          <w:szCs w:val="22"/>
          <w:lang w:val="es-ES"/>
        </w:rPr>
        <w:t>Los expertos internacionales en educación superior QS Quacquarelli Symonds han publicado hoy la 22</w:t>
      </w:r>
      <w:r w:rsidRPr="000B7905">
        <w:rPr>
          <w:rFonts w:ascii="Calibri" w:hAnsi="Calibri" w:cs="Calibri"/>
          <w:sz w:val="22"/>
          <w:szCs w:val="22"/>
          <w:vertAlign w:val="superscript"/>
          <w:lang w:val="es-ES"/>
        </w:rPr>
        <w:t>ª</w:t>
      </w:r>
      <w:r w:rsidR="000B7905">
        <w:rPr>
          <w:rFonts w:ascii="Calibri" w:hAnsi="Calibri" w:cs="Calibri"/>
          <w:sz w:val="22"/>
          <w:szCs w:val="22"/>
          <w:vertAlign w:val="superscript"/>
          <w:lang w:val="es-ES"/>
        </w:rPr>
        <w:t xml:space="preserve"> 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edición anual del </w:t>
      </w:r>
      <w:hyperlink r:id="rId8">
        <w:r w:rsidRPr="000B7905">
          <w:rPr>
            <w:rStyle w:val="Hyperlink"/>
            <w:rFonts w:ascii="Calibri" w:hAnsi="Calibri" w:cs="Calibri"/>
            <w:sz w:val="22"/>
            <w:szCs w:val="22"/>
            <w:lang w:val="es-ES"/>
          </w:rPr>
          <w:t xml:space="preserve">QS World University </w:t>
        </w:r>
      </w:hyperlink>
      <w:r w:rsidRPr="000B7905">
        <w:rPr>
          <w:rFonts w:ascii="Calibri" w:hAnsi="Calibri" w:cs="Calibri"/>
          <w:color w:val="FF0000"/>
          <w:sz w:val="22"/>
          <w:szCs w:val="22"/>
          <w:lang w:val="es-ES"/>
        </w:rPr>
        <w:t>Rankings*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. </w:t>
      </w:r>
      <w:r w:rsidRPr="000B7905">
        <w:rPr>
          <w:rFonts w:ascii="Calibri" w:hAnsi="Calibri" w:cs="Calibri"/>
          <w:color w:val="FF0000"/>
          <w:sz w:val="16"/>
          <w:szCs w:val="16"/>
          <w:lang w:val="es-ES"/>
        </w:rPr>
        <w:t>*El enlace se actualizará con los últimos resultados cuando se levante el embargo.</w:t>
      </w:r>
    </w:p>
    <w:p w14:paraId="1E5661F0" w14:textId="418BDB23" w:rsidR="005157EF" w:rsidRPr="000B7905" w:rsidRDefault="00285304" w:rsidP="1E47B5F0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>La Universidad de Buenos Aires (UBA</w:t>
      </w:r>
      <w:r w:rsidRPr="000B7905">
        <w:rPr>
          <w:rFonts w:ascii="Calibri" w:hAnsi="Calibri" w:cs="Calibri"/>
          <w:sz w:val="22"/>
          <w:szCs w:val="22"/>
          <w:lang w:val="es-ES"/>
        </w:rPr>
        <w:t>), en Argentina, es ahora la única universidad de América Latina que figura entre las 100 mejores, después de que tres de las principales instituciones de la región -la Universidade de São Paulo (USP), la Pontificia Universidad Católica de Chile y la Universidad Nacional Autónoma de México (UNAM)- hayan abandonado la lista.</w:t>
      </w:r>
    </w:p>
    <w:p w14:paraId="3ABD728A" w14:textId="17F02264" w:rsidR="00285304" w:rsidRPr="000B7905" w:rsidRDefault="00285304" w:rsidP="1E47B5F0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La UBA </w:t>
      </w:r>
      <w:r w:rsidRPr="000B7905">
        <w:rPr>
          <w:rFonts w:ascii="Calibri" w:hAnsi="Calibri" w:cs="Calibri"/>
          <w:sz w:val="22"/>
          <w:szCs w:val="22"/>
          <w:lang w:val="es-ES"/>
        </w:rPr>
        <w:t>ocupa el puesto 84</w:t>
      </w:r>
      <w:r w:rsidRPr="000B7905">
        <w:rPr>
          <w:rFonts w:ascii="Calibri" w:hAnsi="Calibri" w:cs="Calibri"/>
          <w:sz w:val="22"/>
          <w:szCs w:val="22"/>
          <w:vertAlign w:val="superscript"/>
          <w:lang w:val="es-ES"/>
        </w:rPr>
        <w:t>º</w:t>
      </w:r>
      <w:r w:rsidR="000B7905">
        <w:rPr>
          <w:rFonts w:ascii="Calibri" w:hAnsi="Calibri" w:cs="Calibri"/>
          <w:sz w:val="22"/>
          <w:szCs w:val="22"/>
          <w:vertAlign w:val="superscript"/>
          <w:lang w:val="es-ES"/>
        </w:rPr>
        <w:t xml:space="preserve"> </w:t>
      </w:r>
      <w:r w:rsidRPr="000B7905">
        <w:rPr>
          <w:rFonts w:ascii="Calibri" w:hAnsi="Calibri" w:cs="Calibri"/>
          <w:sz w:val="22"/>
          <w:szCs w:val="22"/>
          <w:lang w:val="es-ES"/>
        </w:rPr>
        <w:t>en esta edición</w:t>
      </w:r>
      <w:r w:rsidR="00067D63" w:rsidRPr="000B7905">
        <w:rPr>
          <w:rFonts w:ascii="Calibri" w:hAnsi="Calibri" w:cs="Calibri"/>
          <w:sz w:val="22"/>
          <w:szCs w:val="22"/>
          <w:lang w:val="es-ES"/>
        </w:rPr>
        <w:t xml:space="preserve">, lo que supone </w:t>
      </w:r>
      <w:r w:rsidRPr="000B7905">
        <w:rPr>
          <w:rFonts w:ascii="Calibri" w:hAnsi="Calibri" w:cs="Calibri"/>
          <w:sz w:val="22"/>
          <w:szCs w:val="22"/>
          <w:lang w:val="es-ES"/>
        </w:rPr>
        <w:t>un descenso de 13 posiciones con respecto al año anterior. Sin embargo, la siguiente mejor universidad argentina, la Universidad Nacional de La Plata, queda fuera de los 400 primeros puestos</w:t>
      </w:r>
      <w:r w:rsidR="00067D63" w:rsidRPr="000B7905">
        <w:rPr>
          <w:rFonts w:ascii="Calibri" w:hAnsi="Calibri" w:cs="Calibri"/>
          <w:sz w:val="22"/>
          <w:szCs w:val="22"/>
          <w:lang w:val="es-ES"/>
        </w:rPr>
        <w:t>.</w:t>
      </w: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4536"/>
      </w:tblGrid>
      <w:tr w:rsidR="00067D63" w:rsidRPr="00067D63" w14:paraId="519BCF27" w14:textId="77777777" w:rsidTr="22A4DA8B">
        <w:trPr>
          <w:trHeight w:val="300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F159" w14:textId="01FB9F78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Tabla 1: QS World University Rankings 2026: </w:t>
            </w:r>
            <w:r w:rsidR="000B790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 w:rsidRPr="00067D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niversidades </w:t>
            </w:r>
            <w:r w:rsidR="61226BC0" w:rsidRPr="00864BD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argentinas </w:t>
            </w:r>
            <w:r w:rsidRPr="00067D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clasificadas</w:t>
            </w:r>
          </w:p>
        </w:tc>
      </w:tr>
      <w:tr w:rsidR="00067D63" w:rsidRPr="00067D63" w14:paraId="7F2CAC61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F3B1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Rango 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B60D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2025 Rango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E804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Institución</w:t>
            </w:r>
          </w:p>
        </w:tc>
      </w:tr>
      <w:tr w:rsidR="00067D63" w:rsidRPr="00067D63" w14:paraId="51564342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F7A7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A998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3AA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Buenos Aires</w:t>
            </w:r>
          </w:p>
        </w:tc>
      </w:tr>
      <w:tr w:rsidR="00067D63" w:rsidRPr="000B7905" w14:paraId="2C8B37E3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2526" w14:textId="7565C85E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B67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5E23" w14:textId="77777777" w:rsidR="00067D63" w:rsidRPr="000B7905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0B7905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Nacional de La Plata</w:t>
            </w:r>
          </w:p>
        </w:tc>
      </w:tr>
      <w:tr w:rsidR="00067D63" w:rsidRPr="000B7905" w14:paraId="1F02A2CA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CAC4" w14:textId="5CC4C2D8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B019" w14:textId="2B12796B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8255" w14:textId="77777777" w:rsidR="00067D63" w:rsidRPr="000B7905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0B7905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Pontificia Universidad Católica Argentina Santa María de los Buenos Aires - UCA</w:t>
            </w:r>
          </w:p>
        </w:tc>
      </w:tr>
      <w:tr w:rsidR="00067D63" w:rsidRPr="00067D63" w14:paraId="677707B8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E3CB" w14:textId="0373CCB0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B65F" w14:textId="0C8024DA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02E5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Austral - Argentina</w:t>
            </w:r>
          </w:p>
        </w:tc>
      </w:tr>
      <w:tr w:rsidR="00067D63" w:rsidRPr="00067D63" w14:paraId="50710613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9B3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771-780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CB88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621-630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02A3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Palermo</w:t>
            </w:r>
          </w:p>
        </w:tc>
      </w:tr>
      <w:tr w:rsidR="00067D63" w:rsidRPr="00067D63" w14:paraId="78DB2AD9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DF18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851-900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D8A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901-950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2E76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Nacional de Córdoba</w:t>
            </w:r>
          </w:p>
        </w:tc>
      </w:tr>
      <w:tr w:rsidR="00067D63" w:rsidRPr="00067D63" w14:paraId="3C74CC93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B9B3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951-1000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CD09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781-790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746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Belgrano</w:t>
            </w:r>
          </w:p>
        </w:tc>
      </w:tr>
      <w:tr w:rsidR="00067D63" w:rsidRPr="00067D63" w14:paraId="67ADCBFC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FC91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951-1000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65D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951-1000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6F89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Torcuato Di Tella</w:t>
            </w:r>
          </w:p>
        </w:tc>
      </w:tr>
      <w:tr w:rsidR="00067D63" w:rsidRPr="000B7905" w14:paraId="3E56012F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6DFF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53F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61E9" w14:textId="77777777" w:rsidR="00067D63" w:rsidRPr="000B7905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0B7905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Argentina de la Empresa -UADE</w:t>
            </w:r>
          </w:p>
        </w:tc>
      </w:tr>
      <w:tr w:rsidR="00067D63" w:rsidRPr="00067D63" w14:paraId="12210B76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443D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9BAC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951-1000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E236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San Andrés</w:t>
            </w:r>
          </w:p>
        </w:tc>
      </w:tr>
      <w:tr w:rsidR="00067D63" w:rsidRPr="00067D63" w14:paraId="5A0ABC37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592E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CBD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951-1000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DCE2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Nacional de Rosario</w:t>
            </w:r>
          </w:p>
        </w:tc>
      </w:tr>
      <w:tr w:rsidR="00067D63" w:rsidRPr="00067D63" w14:paraId="60770148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7C65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1201-1400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168A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A2E4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Nacional de Cuyo</w:t>
            </w:r>
          </w:p>
        </w:tc>
      </w:tr>
      <w:tr w:rsidR="00067D63" w:rsidRPr="000B7905" w14:paraId="6167E1FB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C1E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1201-1400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997E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483" w14:textId="77777777" w:rsidR="00067D63" w:rsidRPr="000B7905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0B7905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Nacional de San Luis</w:t>
            </w:r>
          </w:p>
        </w:tc>
      </w:tr>
      <w:tr w:rsidR="00067D63" w:rsidRPr="000B7905" w14:paraId="45D6797D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4375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1201-1400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137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0910" w14:textId="77777777" w:rsidR="00067D63" w:rsidRPr="000B7905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0B7905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Nacional del Centro de la Provincia de Buenos Aires</w:t>
            </w:r>
          </w:p>
        </w:tc>
      </w:tr>
      <w:tr w:rsidR="00067D63" w:rsidRPr="00067D63" w14:paraId="2898720F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7F9C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1201-1400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5D4A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1201-1400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9CA7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Nacional del Litoral</w:t>
            </w:r>
          </w:p>
        </w:tc>
      </w:tr>
      <w:tr w:rsidR="00067D63" w:rsidRPr="00067D63" w14:paraId="02DE5994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768C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1201-1400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D58B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1001-1200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F290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Tecnológica Nacional (UTN)</w:t>
            </w:r>
          </w:p>
        </w:tc>
      </w:tr>
      <w:tr w:rsidR="00067D63" w:rsidRPr="000B7905" w14:paraId="2F146BFF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F62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1401+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A6B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1201-1400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7737" w14:textId="77777777" w:rsidR="00067D63" w:rsidRPr="000B7905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0B7905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Nacional de San Martín (UNSAM)</w:t>
            </w:r>
          </w:p>
        </w:tc>
      </w:tr>
      <w:tr w:rsidR="00067D63" w:rsidRPr="00067D63" w14:paraId="63991620" w14:textId="77777777" w:rsidTr="22A4DA8B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E882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1401+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9904" w14:textId="77777777" w:rsidR="00067D63" w:rsidRPr="00067D63" w:rsidRDefault="00067D63" w:rsidP="00067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1201-1400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DD6" w14:textId="77777777" w:rsidR="00067D63" w:rsidRPr="00067D63" w:rsidRDefault="00067D63" w:rsidP="00067D6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7D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Nacional del Sur</w:t>
            </w:r>
          </w:p>
        </w:tc>
      </w:tr>
    </w:tbl>
    <w:p w14:paraId="0B2C8722" w14:textId="77777777" w:rsidR="00067D63" w:rsidRPr="00864BD8" w:rsidRDefault="00067D63">
      <w:pPr>
        <w:rPr>
          <w:rFonts w:ascii="Calibri" w:hAnsi="Calibri" w:cs="Calibri"/>
        </w:rPr>
      </w:pPr>
    </w:p>
    <w:p w14:paraId="4E9B4676" w14:textId="2A148219" w:rsidR="00067D63" w:rsidRPr="000B7905" w:rsidRDefault="00067D63" w:rsidP="754ADD83">
      <w:pPr>
        <w:spacing w:line="360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0B7905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El vicepresidente senior de QS, Ben Sowter, </w:t>
      </w:r>
      <w:r w:rsidR="000B7905">
        <w:rPr>
          <w:rFonts w:ascii="Calibri" w:eastAsia="Calibri" w:hAnsi="Calibri" w:cs="Calibri"/>
          <w:b/>
          <w:bCs/>
          <w:sz w:val="22"/>
          <w:szCs w:val="22"/>
          <w:lang w:val="es-ES"/>
        </w:rPr>
        <w:t>comenta</w:t>
      </w:r>
      <w:r w:rsidRPr="000B7905">
        <w:rPr>
          <w:rFonts w:ascii="Calibri" w:eastAsia="Calibri" w:hAnsi="Calibri" w:cs="Calibri"/>
          <w:sz w:val="22"/>
          <w:szCs w:val="22"/>
          <w:lang w:val="es-ES"/>
        </w:rPr>
        <w:t>: "</w:t>
      </w:r>
      <w:r w:rsidR="7324B841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La Universidad de Buenos Aires (UBA), en Argentina, se ha convertido en la única representante de América Latina entre las 100 mejores </w:t>
      </w:r>
      <w:r w:rsidR="7324B841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lastRenderedPageBreak/>
        <w:t xml:space="preserve">universidades del mundo, un </w:t>
      </w:r>
      <w:r w:rsidR="6564C3A0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logro significativo </w:t>
      </w:r>
      <w:r w:rsidR="7324B841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tras la salida de sus homólogas regionales, como </w:t>
      </w:r>
      <w:r w:rsidR="50662B0C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>la USP</w:t>
      </w:r>
      <w:r w:rsidR="7324B841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>, la UNAM y la Pontificia Universidad Católica de Chile. Esto subraya la duradera reputación de la UBA como la principal institución del país, altamente valorada tanto por los empleadores internacionales como por los académicos</w:t>
      </w:r>
      <w:r w:rsidR="77E7A016" w:rsidRPr="000B7905">
        <w:rPr>
          <w:rFonts w:ascii="Calibri" w:eastAsia="Calibri" w:hAnsi="Calibri" w:cs="Calibri"/>
          <w:sz w:val="22"/>
          <w:szCs w:val="22"/>
          <w:lang w:val="es-ES"/>
        </w:rPr>
        <w:t>"</w:t>
      </w:r>
      <w:r w:rsidR="7324B841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>.</w:t>
      </w:r>
    </w:p>
    <w:p w14:paraId="0DDDFF74" w14:textId="66741946" w:rsidR="3B90950B" w:rsidRPr="000B7905" w:rsidRDefault="7324B841" w:rsidP="754ADD83">
      <w:pPr>
        <w:spacing w:line="360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"Sin embargo, los desafíos persisten. </w:t>
      </w:r>
      <w:r w:rsidR="43C7372E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Las universidades públicas argentinas se enfrentan a crecientes presiones </w:t>
      </w:r>
      <w:r w:rsidR="323EB2F9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>en materia de financiación</w:t>
      </w:r>
      <w:r w:rsidR="754DE9F8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, </w:t>
      </w:r>
      <w:r w:rsidR="43C7372E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cambios en las necesidades de la sociedad </w:t>
      </w:r>
      <w:r w:rsidR="42895E48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>y resultados desiguales de los estudiantes</w:t>
      </w:r>
      <w:r w:rsidR="3A648E27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, lo que </w:t>
      </w:r>
      <w:r w:rsidR="3AB62857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suscita </w:t>
      </w:r>
      <w:r w:rsidR="43C7372E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un debate sobre el futuro de su </w:t>
      </w:r>
      <w:r w:rsidR="3636AEF2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>sistema de enseñanza superior</w:t>
      </w:r>
      <w:r w:rsidR="563A35A0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. La resistencia de la UBA en las clasificaciones mundiales demuestra la capacidad de Argentina para competir al más alto nivel, pero </w:t>
      </w:r>
      <w:r w:rsidR="14F13422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para </w:t>
      </w:r>
      <w:r w:rsidR="0AC87527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que </w:t>
      </w:r>
      <w:r w:rsidR="54AABCBA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el sector de la </w:t>
      </w:r>
      <w:r w:rsidR="53A74F2D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enseñanza </w:t>
      </w:r>
      <w:r w:rsidR="54AABCBA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superior </w:t>
      </w:r>
      <w:r w:rsidR="53A74F2D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 xml:space="preserve">revierta su tendencia a la baja </w:t>
      </w:r>
      <w:r w:rsidR="563A35A0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>será necesario abordar las deficiencias estructurales</w:t>
      </w:r>
      <w:r w:rsidR="53A74F2D" w:rsidRPr="000B7905">
        <w:rPr>
          <w:rFonts w:ascii="Calibri" w:eastAsia="Calibri" w:hAnsi="Calibri" w:cs="Calibri"/>
          <w:i/>
          <w:iCs/>
          <w:sz w:val="22"/>
          <w:szCs w:val="22"/>
          <w:lang w:val="es-ES"/>
        </w:rPr>
        <w:t>.</w:t>
      </w:r>
      <w:r w:rsidR="6DA879B3" w:rsidRPr="000B7905">
        <w:rPr>
          <w:rFonts w:ascii="Calibri" w:eastAsia="Calibri" w:hAnsi="Calibri" w:cs="Calibri"/>
          <w:sz w:val="22"/>
          <w:szCs w:val="22"/>
          <w:lang w:val="es-ES"/>
        </w:rPr>
        <w:t>"</w:t>
      </w:r>
    </w:p>
    <w:p w14:paraId="043C5E24" w14:textId="4C86F908" w:rsidR="00285304" w:rsidRPr="000B7905" w:rsidRDefault="00067D63" w:rsidP="007232E7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  <w:lang w:val="es-ES"/>
        </w:rPr>
      </w:pPr>
      <w:r w:rsidRPr="000B7905">
        <w:rPr>
          <w:rFonts w:ascii="Calibri" w:hAnsi="Calibri" w:cs="Calibri"/>
          <w:b/>
          <w:bCs/>
          <w:sz w:val="22"/>
          <w:szCs w:val="22"/>
          <w:u w:val="single"/>
          <w:lang w:val="es-ES"/>
        </w:rPr>
        <w:t>Argentina en el punto de mira</w:t>
      </w:r>
    </w:p>
    <w:p w14:paraId="09DFB6C9" w14:textId="5EB8CD1F" w:rsidR="00067D63" w:rsidRPr="000B7905" w:rsidRDefault="00067D63" w:rsidP="007232E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 xml:space="preserve">QS clasifica a 18 universidades argentinas en la edición de 2026. </w:t>
      </w:r>
      <w:r w:rsidR="0045235D" w:rsidRPr="000B7905">
        <w:rPr>
          <w:rFonts w:ascii="Calibri" w:hAnsi="Calibri" w:cs="Calibri"/>
          <w:sz w:val="22"/>
          <w:szCs w:val="22"/>
          <w:lang w:val="es-ES"/>
        </w:rPr>
        <w:t xml:space="preserve">De ellas, tres suben, </w:t>
      </w:r>
      <w:r w:rsidR="000B7905">
        <w:rPr>
          <w:rFonts w:ascii="Calibri" w:hAnsi="Calibri" w:cs="Calibri"/>
          <w:sz w:val="22"/>
          <w:szCs w:val="22"/>
          <w:lang w:val="es-ES"/>
        </w:rPr>
        <w:t>doce</w:t>
      </w:r>
      <w:r w:rsidR="0045235D" w:rsidRPr="000B7905">
        <w:rPr>
          <w:rFonts w:ascii="Calibri" w:hAnsi="Calibri" w:cs="Calibri"/>
          <w:sz w:val="22"/>
          <w:szCs w:val="22"/>
          <w:lang w:val="es-ES"/>
        </w:rPr>
        <w:t xml:space="preserve"> bajan y dos se mantienen estables en sus rangos o franjas, mientras que </w:t>
      </w:r>
      <w:r w:rsidR="0045235D"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la Universidad Argentina de la Empresa -UADE </w:t>
      </w:r>
      <w:r w:rsidR="0045235D" w:rsidRPr="000B7905">
        <w:rPr>
          <w:rFonts w:ascii="Calibri" w:hAnsi="Calibri" w:cs="Calibri"/>
          <w:sz w:val="22"/>
          <w:szCs w:val="22"/>
          <w:lang w:val="es-ES"/>
        </w:rPr>
        <w:t>figura por primera vez (1001-1200).</w:t>
      </w:r>
    </w:p>
    <w:tbl>
      <w:tblPr>
        <w:tblW w:w="9016" w:type="dxa"/>
        <w:jc w:val="center"/>
        <w:tblLook w:val="04A0" w:firstRow="1" w:lastRow="0" w:firstColumn="1" w:lastColumn="0" w:noHBand="0" w:noVBand="1"/>
      </w:tblPr>
      <w:tblGrid>
        <w:gridCol w:w="1546"/>
        <w:gridCol w:w="1422"/>
        <w:gridCol w:w="811"/>
        <w:gridCol w:w="790"/>
        <w:gridCol w:w="753"/>
        <w:gridCol w:w="758"/>
        <w:gridCol w:w="718"/>
        <w:gridCol w:w="747"/>
        <w:gridCol w:w="762"/>
        <w:gridCol w:w="709"/>
      </w:tblGrid>
      <w:tr w:rsidR="0045235D" w:rsidRPr="0045235D" w14:paraId="529A0DCB" w14:textId="77777777" w:rsidTr="000B7905">
        <w:trPr>
          <w:trHeight w:val="300"/>
          <w:jc w:val="center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203F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Tabla 2: Panorama de América Latina (primeros países por número de universidades clasificadas)</w:t>
            </w:r>
          </w:p>
        </w:tc>
      </w:tr>
      <w:tr w:rsidR="00311D98" w:rsidRPr="00864BD8" w14:paraId="7CC67B73" w14:textId="77777777" w:rsidTr="000B7905">
        <w:trPr>
          <w:trHeight w:val="30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6B7" w14:textId="759DE828" w:rsidR="0045235D" w:rsidRPr="0045235D" w:rsidRDefault="7088EEC4" w:rsidP="004523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País/Territorio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FBF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Clasificación total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C033" w14:textId="0791F71C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Arriba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F1C" w14:textId="70BB4C49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Mismo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954D" w14:textId="58709EE8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Abajo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CE5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Nuevo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CC33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Top 100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6F82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Top 200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A3CB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Top 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8D39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Top 1000</w:t>
            </w:r>
          </w:p>
        </w:tc>
      </w:tr>
      <w:tr w:rsidR="00311D98" w:rsidRPr="00864BD8" w14:paraId="408381DC" w14:textId="77777777" w:rsidTr="000B7905">
        <w:trPr>
          <w:trHeight w:val="30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F05F" w14:textId="77777777" w:rsidR="0045235D" w:rsidRPr="0045235D" w:rsidRDefault="0045235D" w:rsidP="00452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Brasil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679F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02F1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13%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E2FF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50%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576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38%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BE0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A2AC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BD0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7A04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C42B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</w:tr>
      <w:tr w:rsidR="00311D98" w:rsidRPr="00864BD8" w14:paraId="1CB8CB8F" w14:textId="77777777" w:rsidTr="000B7905">
        <w:trPr>
          <w:trHeight w:val="30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9F67" w14:textId="77777777" w:rsidR="0045235D" w:rsidRPr="0045235D" w:rsidRDefault="0045235D" w:rsidP="00452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México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FB06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EF64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C3D8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41%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A41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59%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5FB5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A9A0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372B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3082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46F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</w:tr>
      <w:tr w:rsidR="00311D98" w:rsidRPr="00864BD8" w14:paraId="12175F75" w14:textId="77777777" w:rsidTr="000B7905">
        <w:trPr>
          <w:trHeight w:val="30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007E" w14:textId="77777777" w:rsidR="0045235D" w:rsidRPr="0045235D" w:rsidRDefault="0045235D" w:rsidP="00452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Chile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FEA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44D0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9C54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45%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2844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AC2B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C3EF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B19D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D5BC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752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</w:tr>
      <w:tr w:rsidR="00311D98" w:rsidRPr="00864BD8" w14:paraId="527181FB" w14:textId="77777777" w:rsidTr="000B7905">
        <w:trPr>
          <w:trHeight w:val="30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B6BD" w14:textId="77777777" w:rsidR="0045235D" w:rsidRPr="0045235D" w:rsidRDefault="0045235D" w:rsidP="00452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Argentina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4315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4EFA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18%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9833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12%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AC07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71%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57AB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0DC4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FF74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EA85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C103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8</w:t>
            </w:r>
          </w:p>
        </w:tc>
      </w:tr>
      <w:tr w:rsidR="00311D98" w:rsidRPr="00864BD8" w14:paraId="2B6C2398" w14:textId="77777777" w:rsidTr="000B7905">
        <w:trPr>
          <w:trHeight w:val="30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79E" w14:textId="77777777" w:rsidR="0045235D" w:rsidRPr="0045235D" w:rsidRDefault="0045235D" w:rsidP="00452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Colombia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35A5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CE57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9973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31%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B34F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54%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B211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243F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5835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27F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26E" w14:textId="77777777" w:rsidR="0045235D" w:rsidRPr="0045235D" w:rsidRDefault="0045235D" w:rsidP="00452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235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</w:tr>
    </w:tbl>
    <w:p w14:paraId="0DB3E79E" w14:textId="77777777" w:rsidR="00311D98" w:rsidRPr="00864BD8" w:rsidRDefault="00311D98">
      <w:pPr>
        <w:rPr>
          <w:rFonts w:ascii="Calibri" w:hAnsi="Calibri" w:cs="Calibri"/>
        </w:rPr>
      </w:pPr>
    </w:p>
    <w:p w14:paraId="7E066DB5" w14:textId="5421DB3D" w:rsidR="00206043" w:rsidRPr="000B7905" w:rsidRDefault="00311D98" w:rsidP="007232E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La UBA </w:t>
      </w:r>
      <w:r w:rsidRPr="000B7905">
        <w:rPr>
          <w:rFonts w:ascii="Calibri" w:hAnsi="Calibri" w:cs="Calibri"/>
          <w:sz w:val="22"/>
          <w:szCs w:val="22"/>
          <w:lang w:val="es-ES"/>
        </w:rPr>
        <w:t>es líder nacional en seis de los indicadores de QS</w:t>
      </w:r>
      <w:r w:rsidR="00206043" w:rsidRPr="000B7905">
        <w:rPr>
          <w:rFonts w:ascii="Calibri" w:hAnsi="Calibri" w:cs="Calibri"/>
          <w:sz w:val="22"/>
          <w:szCs w:val="22"/>
          <w:lang w:val="es-ES"/>
        </w:rPr>
        <w:t xml:space="preserve">. Sigue siendo la universidad </w:t>
      </w:r>
      <w:r w:rsidR="520564D2" w:rsidRPr="000B7905">
        <w:rPr>
          <w:rFonts w:ascii="Calibri" w:hAnsi="Calibri" w:cs="Calibri"/>
          <w:sz w:val="22"/>
          <w:szCs w:val="22"/>
          <w:lang w:val="es-ES"/>
        </w:rPr>
        <w:t>mejor considerada</w:t>
      </w:r>
      <w:r w:rsidR="00206043" w:rsidRPr="000B7905">
        <w:rPr>
          <w:rFonts w:ascii="Calibri" w:hAnsi="Calibri" w:cs="Calibri"/>
          <w:sz w:val="22"/>
          <w:szCs w:val="22"/>
          <w:lang w:val="es-ES"/>
        </w:rPr>
        <w:t xml:space="preserve"> del país entre empleadores y académicos internacionales. </w:t>
      </w:r>
    </w:p>
    <w:p w14:paraId="07452403" w14:textId="238553EC" w:rsidR="00311D98" w:rsidRPr="000B7905" w:rsidRDefault="00206043" w:rsidP="007232E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>Presume de unos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 xml:space="preserve"> </w:t>
      </w:r>
      <w:r w:rsidR="000B7905">
        <w:rPr>
          <w:rFonts w:ascii="Calibri" w:hAnsi="Calibri" w:cs="Calibri"/>
          <w:i/>
          <w:iCs/>
          <w:sz w:val="22"/>
          <w:szCs w:val="22"/>
          <w:lang w:val="es-ES"/>
        </w:rPr>
        <w:t>R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 xml:space="preserve">esultados de </w:t>
      </w:r>
      <w:r w:rsidR="000B7905">
        <w:rPr>
          <w:rFonts w:ascii="Calibri" w:hAnsi="Calibri" w:cs="Calibri"/>
          <w:i/>
          <w:iCs/>
          <w:sz w:val="22"/>
          <w:szCs w:val="22"/>
          <w:lang w:val="es-ES"/>
        </w:rPr>
        <w:t>E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 xml:space="preserve">mpleo </w:t>
      </w:r>
      <w:r w:rsidR="00311D98" w:rsidRPr="000B7905">
        <w:rPr>
          <w:rFonts w:ascii="Calibri" w:hAnsi="Calibri" w:cs="Calibri"/>
          <w:sz w:val="22"/>
          <w:szCs w:val="22"/>
          <w:lang w:val="es-ES"/>
        </w:rPr>
        <w:t>especialmente excepcionales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, en los que ocupa el </w:t>
      </w:r>
      <w:r w:rsidR="000B7905">
        <w:rPr>
          <w:rFonts w:ascii="Calibri" w:hAnsi="Calibri" w:cs="Calibri"/>
          <w:sz w:val="22"/>
          <w:szCs w:val="22"/>
          <w:lang w:val="es-ES"/>
        </w:rPr>
        <w:t xml:space="preserve">doceavo puesto </w:t>
      </w:r>
      <w:r w:rsidRPr="000B7905">
        <w:rPr>
          <w:rFonts w:ascii="Calibri" w:hAnsi="Calibri" w:cs="Calibri"/>
          <w:sz w:val="22"/>
          <w:szCs w:val="22"/>
          <w:lang w:val="es-ES"/>
        </w:rPr>
        <w:t>mundial, lo que sugiere que produce titulados altamente cualificados y preparados para el trabajo.</w:t>
      </w:r>
    </w:p>
    <w:p w14:paraId="1B30D78C" w14:textId="25D552C2" w:rsidR="00206043" w:rsidRPr="000B7905" w:rsidRDefault="00153DAE" w:rsidP="007232E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La Pontificia Universidad Católica Argentina Santa María de los Buenos Aires - UCA </w:t>
      </w:r>
      <w:r w:rsidRPr="000B7905">
        <w:rPr>
          <w:rFonts w:ascii="Calibri" w:hAnsi="Calibri" w:cs="Calibri"/>
          <w:sz w:val="22"/>
          <w:szCs w:val="22"/>
          <w:lang w:val="es-ES"/>
        </w:rPr>
        <w:t>obtiene excelentes resultados en la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 xml:space="preserve"> </w:t>
      </w:r>
      <w:r w:rsidR="000B7905">
        <w:rPr>
          <w:rFonts w:ascii="Calibri" w:hAnsi="Calibri" w:cs="Calibri"/>
          <w:i/>
          <w:iCs/>
          <w:sz w:val="22"/>
          <w:szCs w:val="22"/>
          <w:lang w:val="es-ES"/>
        </w:rPr>
        <w:t>R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 xml:space="preserve">atio </w:t>
      </w:r>
      <w:r w:rsidR="000B7905">
        <w:rPr>
          <w:rFonts w:ascii="Calibri" w:hAnsi="Calibri" w:cs="Calibri"/>
          <w:i/>
          <w:iCs/>
          <w:sz w:val="22"/>
          <w:szCs w:val="22"/>
          <w:lang w:val="es-ES"/>
        </w:rPr>
        <w:t>P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>rofesorado/</w:t>
      </w:r>
      <w:r w:rsidR="000B7905">
        <w:rPr>
          <w:rFonts w:ascii="Calibri" w:hAnsi="Calibri" w:cs="Calibri"/>
          <w:i/>
          <w:iCs/>
          <w:sz w:val="22"/>
          <w:szCs w:val="22"/>
          <w:lang w:val="es-ES"/>
        </w:rPr>
        <w:t>A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>lumno</w:t>
      </w:r>
      <w:r w:rsidRPr="000B7905">
        <w:rPr>
          <w:rFonts w:ascii="Calibri" w:hAnsi="Calibri" w:cs="Calibri"/>
          <w:sz w:val="22"/>
          <w:szCs w:val="22"/>
          <w:lang w:val="es-ES"/>
        </w:rPr>
        <w:t>, lo que indica que ofrece una experiencia de aprendizaje de calidad y disfruta de altos niveles de recursos docentes.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62"/>
        <w:gridCol w:w="4253"/>
        <w:gridCol w:w="1002"/>
      </w:tblGrid>
      <w:tr w:rsidR="00153DAE" w:rsidRPr="00864BD8" w14:paraId="04B818A2" w14:textId="77777777" w:rsidTr="00153DAE">
        <w:trPr>
          <w:trHeight w:val="300"/>
          <w:jc w:val="center"/>
        </w:trPr>
        <w:tc>
          <w:tcPr>
            <w:tcW w:w="8642" w:type="dxa"/>
            <w:gridSpan w:val="4"/>
            <w:shd w:val="clear" w:color="auto" w:fill="auto"/>
            <w:noWrap/>
            <w:vAlign w:val="bottom"/>
            <w:hideMark/>
          </w:tcPr>
          <w:p w14:paraId="65E45C5C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Cuadro 3: Líder nacional por indicador</w:t>
            </w:r>
          </w:p>
        </w:tc>
      </w:tr>
      <w:tr w:rsidR="00153DAE" w:rsidRPr="00864BD8" w14:paraId="2372D536" w14:textId="77777777" w:rsidTr="00153DAE">
        <w:trPr>
          <w:trHeight w:val="300"/>
          <w:jc w:val="center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25959ED9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Lente de rendimiento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7FBB3CF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Peso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E2E0942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Líder nacional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25E299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Indicador Rango</w:t>
            </w:r>
          </w:p>
        </w:tc>
      </w:tr>
      <w:tr w:rsidR="00153DAE" w:rsidRPr="00864BD8" w14:paraId="168D5C3E" w14:textId="77777777" w:rsidTr="00153DAE">
        <w:trPr>
          <w:trHeight w:val="300"/>
          <w:jc w:val="center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076A32FD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Reputación académica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032DA7F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30%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9F4F1AA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Buenos Aires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E7AABA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</w:tr>
      <w:tr w:rsidR="00153DAE" w:rsidRPr="00864BD8" w14:paraId="09299823" w14:textId="77777777" w:rsidTr="00153DAE">
        <w:trPr>
          <w:trHeight w:val="300"/>
          <w:jc w:val="center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4818729E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Reputación del empleador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CF1E4CC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6E3584E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Buenos Aires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BF54EB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</w:tr>
      <w:tr w:rsidR="00153DAE" w:rsidRPr="00864BD8" w14:paraId="0AB6F15A" w14:textId="77777777" w:rsidTr="00153DAE">
        <w:trPr>
          <w:trHeight w:val="300"/>
          <w:jc w:val="center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1BBE253F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profesor-alumno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68A7B402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10%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4B18D91" w14:textId="77777777" w:rsidR="00153DAE" w:rsidRPr="000B7905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0B7905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Pontificia Universidad Católica Argentina Santa María de los Buenos Aires - UCA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90A92D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</w:tr>
      <w:tr w:rsidR="00153DAE" w:rsidRPr="00864BD8" w14:paraId="42364F3A" w14:textId="77777777" w:rsidTr="00153DAE">
        <w:trPr>
          <w:trHeight w:val="300"/>
          <w:jc w:val="center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2755C08B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Citaciones por profesor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FC86CD7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20%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7042D80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San Andrés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526696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1242</w:t>
            </w:r>
          </w:p>
        </w:tc>
      </w:tr>
      <w:tr w:rsidR="00153DAE" w:rsidRPr="00864BD8" w14:paraId="66D4C48D" w14:textId="77777777" w:rsidTr="00153DAE">
        <w:trPr>
          <w:trHeight w:val="300"/>
          <w:jc w:val="center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388A2988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profesorado internacional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2768087F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D1AAB8E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Buenos Aires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3441FF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328</w:t>
            </w:r>
          </w:p>
        </w:tc>
      </w:tr>
      <w:tr w:rsidR="00153DAE" w:rsidRPr="00864BD8" w14:paraId="3D9AA622" w14:textId="77777777" w:rsidTr="00153DAE">
        <w:trPr>
          <w:trHeight w:val="300"/>
          <w:jc w:val="center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0B854B2A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estudiantes internacionales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3A139FD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B3A6D70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Palermo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8522F2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</w:tr>
      <w:tr w:rsidR="00153DAE" w:rsidRPr="00864BD8" w14:paraId="348EE3C0" w14:textId="77777777" w:rsidTr="00153DAE">
        <w:trPr>
          <w:trHeight w:val="300"/>
          <w:jc w:val="center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70E448E1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Red Internacional de Investigación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0CCDA7A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DE61BD0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Buenos Aires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C5DBD3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423</w:t>
            </w:r>
          </w:p>
        </w:tc>
      </w:tr>
      <w:tr w:rsidR="00153DAE" w:rsidRPr="00864BD8" w14:paraId="3E5FC248" w14:textId="77777777" w:rsidTr="00153DAE">
        <w:trPr>
          <w:trHeight w:val="300"/>
          <w:jc w:val="center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68C41C22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Resultados del empleo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467826F5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A7B6058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Buenos Aires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2BD38E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  <w:tr w:rsidR="00153DAE" w:rsidRPr="00864BD8" w14:paraId="17D3897B" w14:textId="77777777" w:rsidTr="00153DAE">
        <w:trPr>
          <w:trHeight w:val="300"/>
          <w:jc w:val="center"/>
        </w:trPr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7AAD19DF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Sostenibilidad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5DC6786C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2069D2E" w14:textId="77777777" w:rsidR="00153DAE" w:rsidRPr="00153DAE" w:rsidRDefault="00153DAE" w:rsidP="00153D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Buenos Aires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C8AE4C" w14:textId="77777777" w:rsidR="00153DAE" w:rsidRPr="00153DAE" w:rsidRDefault="00153DAE" w:rsidP="0015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53D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376</w:t>
            </w:r>
          </w:p>
        </w:tc>
      </w:tr>
    </w:tbl>
    <w:p w14:paraId="7D4FCDD8" w14:textId="77777777" w:rsidR="00153DAE" w:rsidRPr="00864BD8" w:rsidRDefault="00153DAE">
      <w:pPr>
        <w:rPr>
          <w:rFonts w:ascii="Calibri" w:hAnsi="Calibri" w:cs="Calibri"/>
        </w:rPr>
      </w:pPr>
    </w:p>
    <w:p w14:paraId="7F06D53D" w14:textId="144BD573" w:rsidR="00660B22" w:rsidRPr="000B7905" w:rsidRDefault="00153DAE" w:rsidP="007232E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 xml:space="preserve">Argentina ha registrado </w:t>
      </w:r>
      <w:r w:rsidR="004917AA" w:rsidRPr="000B7905">
        <w:rPr>
          <w:rFonts w:ascii="Calibri" w:hAnsi="Calibri" w:cs="Calibri"/>
          <w:sz w:val="22"/>
          <w:szCs w:val="22"/>
          <w:lang w:val="es-ES"/>
        </w:rPr>
        <w:t xml:space="preserve">una 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mejora global en </w:t>
      </w:r>
      <w:r w:rsidR="009D10E5" w:rsidRPr="000B7905">
        <w:rPr>
          <w:rFonts w:ascii="Calibri" w:hAnsi="Calibri" w:cs="Calibri"/>
          <w:i/>
          <w:iCs/>
          <w:sz w:val="22"/>
          <w:szCs w:val="22"/>
          <w:lang w:val="es-ES"/>
        </w:rPr>
        <w:t>Reputación Académica</w:t>
      </w:r>
      <w:r w:rsidR="00660B22" w:rsidRPr="000B7905">
        <w:rPr>
          <w:rFonts w:ascii="Calibri" w:hAnsi="Calibri" w:cs="Calibri"/>
          <w:sz w:val="22"/>
          <w:szCs w:val="22"/>
          <w:lang w:val="es-ES"/>
        </w:rPr>
        <w:t xml:space="preserve">, con un 59% de sus universidades anteriormente clasificadas subiendo puestos en este indicador. </w:t>
      </w:r>
    </w:p>
    <w:p w14:paraId="02217C99" w14:textId="3C48689B" w:rsidR="00153DAE" w:rsidRPr="000B7905" w:rsidRDefault="00660B22" w:rsidP="007232E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 xml:space="preserve">Ha registrado el descenso más acusado en 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 xml:space="preserve">Citas por artículo </w:t>
      </w:r>
      <w:r w:rsidR="004917AA" w:rsidRPr="000B7905">
        <w:rPr>
          <w:rFonts w:ascii="Calibri" w:hAnsi="Calibri" w:cs="Calibri"/>
          <w:sz w:val="22"/>
          <w:szCs w:val="22"/>
          <w:lang w:val="es-ES"/>
        </w:rPr>
        <w:t xml:space="preserve">y </w:t>
      </w:r>
      <w:r w:rsidR="004917AA" w:rsidRPr="000B7905">
        <w:rPr>
          <w:rFonts w:ascii="Calibri" w:hAnsi="Calibri" w:cs="Calibri"/>
          <w:i/>
          <w:iCs/>
          <w:sz w:val="22"/>
          <w:szCs w:val="22"/>
          <w:lang w:val="es-ES"/>
        </w:rPr>
        <w:t>Ratio internacional de profesorado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, en los que han </w:t>
      </w:r>
      <w:r w:rsidR="004917AA" w:rsidRPr="000B7905">
        <w:rPr>
          <w:rFonts w:ascii="Calibri" w:hAnsi="Calibri" w:cs="Calibri"/>
          <w:sz w:val="22"/>
          <w:szCs w:val="22"/>
          <w:lang w:val="es-ES"/>
        </w:rPr>
        <w:t xml:space="preserve">caído </w:t>
      </w:r>
      <w:r w:rsidRPr="000B7905">
        <w:rPr>
          <w:rFonts w:ascii="Calibri" w:hAnsi="Calibri" w:cs="Calibri"/>
          <w:sz w:val="22"/>
          <w:szCs w:val="22"/>
          <w:lang w:val="es-ES"/>
        </w:rPr>
        <w:t>todas sus instituciones.</w:t>
      </w:r>
    </w:p>
    <w:p w14:paraId="7EB82DC6" w14:textId="3B661D0B" w:rsidR="001D019B" w:rsidRPr="000B7905" w:rsidRDefault="001D019B" w:rsidP="007232E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 xml:space="preserve">Argentina se sitúa por debajo de la media mundial en todos los indicadores excepto en uno, la </w:t>
      </w:r>
      <w:r w:rsidR="000B7905">
        <w:rPr>
          <w:rFonts w:ascii="Calibri" w:hAnsi="Calibri" w:cs="Calibri"/>
          <w:i/>
          <w:iCs/>
          <w:sz w:val="22"/>
          <w:szCs w:val="22"/>
          <w:lang w:val="es-ES"/>
        </w:rPr>
        <w:t>Ratio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 xml:space="preserve"> </w:t>
      </w:r>
      <w:r w:rsidR="000B7905">
        <w:rPr>
          <w:rFonts w:ascii="Calibri" w:hAnsi="Calibri" w:cs="Calibri"/>
          <w:i/>
          <w:iCs/>
          <w:sz w:val="22"/>
          <w:szCs w:val="22"/>
          <w:lang w:val="es-ES"/>
        </w:rPr>
        <w:t>P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 xml:space="preserve">rofesores por </w:t>
      </w:r>
      <w:r w:rsidR="000B7905">
        <w:rPr>
          <w:rFonts w:ascii="Calibri" w:hAnsi="Calibri" w:cs="Calibri"/>
          <w:i/>
          <w:iCs/>
          <w:sz w:val="22"/>
          <w:szCs w:val="22"/>
          <w:lang w:val="es-ES"/>
        </w:rPr>
        <w:t>E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>studiante</w:t>
      </w:r>
      <w:r w:rsidRPr="000B7905">
        <w:rPr>
          <w:rFonts w:ascii="Calibri" w:hAnsi="Calibri" w:cs="Calibri"/>
          <w:sz w:val="22"/>
          <w:szCs w:val="22"/>
          <w:lang w:val="es-ES"/>
        </w:rPr>
        <w:t>, un indicador indirecto de la experiencia de aprendizaje. Su indicador más débil por puntuación media es el de</w:t>
      </w:r>
      <w:r w:rsidR="000B7905">
        <w:rPr>
          <w:rFonts w:ascii="Calibri" w:hAnsi="Calibri" w:cs="Calibri"/>
          <w:sz w:val="22"/>
          <w:szCs w:val="22"/>
          <w:lang w:val="es-ES"/>
        </w:rPr>
        <w:t xml:space="preserve"> C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 xml:space="preserve">itas por </w:t>
      </w:r>
      <w:r w:rsidR="000B7905">
        <w:rPr>
          <w:rFonts w:ascii="Calibri" w:hAnsi="Calibri" w:cs="Calibri"/>
          <w:i/>
          <w:iCs/>
          <w:sz w:val="22"/>
          <w:szCs w:val="22"/>
          <w:lang w:val="es-ES"/>
        </w:rPr>
        <w:t>A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>rtículo</w:t>
      </w:r>
      <w:r w:rsidRPr="000B7905">
        <w:rPr>
          <w:rFonts w:ascii="Calibri" w:hAnsi="Calibri" w:cs="Calibri"/>
          <w:sz w:val="22"/>
          <w:szCs w:val="22"/>
          <w:lang w:val="es-ES"/>
        </w:rPr>
        <w:t>.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2624"/>
        <w:gridCol w:w="1360"/>
        <w:gridCol w:w="1007"/>
        <w:gridCol w:w="1117"/>
        <w:gridCol w:w="1015"/>
        <w:gridCol w:w="1196"/>
        <w:gridCol w:w="1201"/>
      </w:tblGrid>
      <w:tr w:rsidR="001D019B" w:rsidRPr="00864BD8" w14:paraId="37DD6652" w14:textId="77777777" w:rsidTr="001D019B">
        <w:trPr>
          <w:trHeight w:val="30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3783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Cuadro 4: Resumen de resultados por indicador</w:t>
            </w:r>
          </w:p>
        </w:tc>
      </w:tr>
      <w:tr w:rsidR="001D019B" w:rsidRPr="00864BD8" w14:paraId="50D66A4E" w14:textId="77777777" w:rsidTr="001D019B">
        <w:trPr>
          <w:trHeight w:val="52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32E7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Indicador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9CF7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Peso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96D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Arriba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F32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Abajo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769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Mismo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9477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 mundial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399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 nacional</w:t>
            </w:r>
          </w:p>
        </w:tc>
      </w:tr>
      <w:tr w:rsidR="001D019B" w:rsidRPr="00864BD8" w14:paraId="130A7A89" w14:textId="77777777" w:rsidTr="001D019B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153E" w14:textId="77777777" w:rsidR="001D019B" w:rsidRPr="001D019B" w:rsidRDefault="001D019B" w:rsidP="001D01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Reputación académica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BC5E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61FA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59%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892B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41%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E5D4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BA21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25.8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BBC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23.3</w:t>
            </w:r>
          </w:p>
        </w:tc>
      </w:tr>
      <w:tr w:rsidR="001D019B" w:rsidRPr="00864BD8" w14:paraId="0E0BE916" w14:textId="77777777" w:rsidTr="001D019B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8814" w14:textId="77777777" w:rsidR="001D019B" w:rsidRPr="001D019B" w:rsidRDefault="001D019B" w:rsidP="001D01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Reputación del empleador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247C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6BE1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29%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97D7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71%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BC0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D3A7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26.9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2A1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23.4</w:t>
            </w:r>
          </w:p>
        </w:tc>
      </w:tr>
      <w:tr w:rsidR="001D019B" w:rsidRPr="00864BD8" w14:paraId="2FC8306F" w14:textId="77777777" w:rsidTr="001D019B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85C" w14:textId="77777777" w:rsidR="001D019B" w:rsidRPr="001D019B" w:rsidRDefault="001D019B" w:rsidP="001D01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profesor-alumno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A8A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98E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29%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3C4E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71%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4F81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F988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33.9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9EF1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54.5</w:t>
            </w:r>
          </w:p>
        </w:tc>
      </w:tr>
      <w:tr w:rsidR="001D019B" w:rsidRPr="00864BD8" w14:paraId="6072FD45" w14:textId="77777777" w:rsidTr="001D019B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E499" w14:textId="77777777" w:rsidR="001D019B" w:rsidRPr="001D019B" w:rsidRDefault="001D019B" w:rsidP="001D01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Citaciones por profesor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85FD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34E5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03F0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AB7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0A7C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30.4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890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2.3</w:t>
            </w:r>
          </w:p>
        </w:tc>
      </w:tr>
      <w:tr w:rsidR="001D019B" w:rsidRPr="00864BD8" w14:paraId="73A96226" w14:textId="77777777" w:rsidTr="001D019B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B8E" w14:textId="77777777" w:rsidR="001D019B" w:rsidRPr="001D019B" w:rsidRDefault="001D019B" w:rsidP="001D01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profesorado internacional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E81C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459F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E198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4F60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D079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36.3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6715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15.5</w:t>
            </w:r>
          </w:p>
        </w:tc>
      </w:tr>
      <w:tr w:rsidR="001D019B" w:rsidRPr="00864BD8" w14:paraId="13F1167E" w14:textId="77777777" w:rsidTr="001D019B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3D9F" w14:textId="77777777" w:rsidR="001D019B" w:rsidRPr="001D019B" w:rsidRDefault="001D019B" w:rsidP="001D01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estudiantes internacionales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D34E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94E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29%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8A9A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71%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3B0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7431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33.3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39B1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23.5</w:t>
            </w:r>
          </w:p>
        </w:tc>
      </w:tr>
      <w:tr w:rsidR="001D019B" w:rsidRPr="00864BD8" w14:paraId="4E8E784C" w14:textId="77777777" w:rsidTr="001D019B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956D" w14:textId="77777777" w:rsidR="001D019B" w:rsidRPr="001D019B" w:rsidRDefault="001D019B" w:rsidP="001D01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Red Internacional de Investigación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2C2C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68F3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6%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31BA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94%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BA5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B8A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53.4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E0C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22.7</w:t>
            </w:r>
          </w:p>
        </w:tc>
      </w:tr>
      <w:tr w:rsidR="001D019B" w:rsidRPr="00864BD8" w14:paraId="7AED97E5" w14:textId="77777777" w:rsidTr="001D019B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D1DA" w14:textId="77777777" w:rsidR="001D019B" w:rsidRPr="001D019B" w:rsidRDefault="001D019B" w:rsidP="001D01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Resultados del empleo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74A7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306B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18%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3531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82%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54BE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E2DA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9943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29.5</w:t>
            </w:r>
          </w:p>
        </w:tc>
      </w:tr>
      <w:tr w:rsidR="001D019B" w:rsidRPr="00864BD8" w14:paraId="57FE3CF9" w14:textId="77777777" w:rsidTr="001D019B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3670" w14:textId="77777777" w:rsidR="001D019B" w:rsidRPr="001D019B" w:rsidRDefault="001D019B" w:rsidP="001D01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Sostenibilidad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1F1C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4666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8%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66A3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92%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BCF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2E58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51.3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E03" w14:textId="77777777" w:rsidR="001D019B" w:rsidRPr="001D019B" w:rsidRDefault="001D019B" w:rsidP="001D0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D019B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31.1</w:t>
            </w:r>
          </w:p>
        </w:tc>
      </w:tr>
    </w:tbl>
    <w:p w14:paraId="32BEFB60" w14:textId="77777777" w:rsidR="004917AA" w:rsidRPr="00864BD8" w:rsidRDefault="004917AA">
      <w:pPr>
        <w:rPr>
          <w:rFonts w:ascii="Calibri" w:hAnsi="Calibri" w:cs="Calibri"/>
        </w:rPr>
      </w:pPr>
    </w:p>
    <w:p w14:paraId="138FD561" w14:textId="4FED463A" w:rsidR="00C55C93" w:rsidRPr="000B7905" w:rsidRDefault="00C55C93" w:rsidP="007232E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 xml:space="preserve">En 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>Ratio Profesorado por Alumno</w:t>
      </w:r>
      <w:r w:rsidRPr="000B7905">
        <w:rPr>
          <w:rFonts w:ascii="Calibri" w:hAnsi="Calibri" w:cs="Calibri"/>
          <w:sz w:val="22"/>
          <w:szCs w:val="22"/>
          <w:lang w:val="es-ES"/>
        </w:rPr>
        <w:t>, tres universidades argentinas se encuentran entre las 100 primeras del mundo.</w:t>
      </w:r>
      <w:r w:rsidR="00864BD8" w:rsidRPr="000B7905">
        <w:rPr>
          <w:rFonts w:ascii="Calibri" w:hAnsi="Calibri" w:cs="Calibri"/>
          <w:sz w:val="22"/>
          <w:szCs w:val="22"/>
          <w:lang w:val="es-ES"/>
        </w:rPr>
        <w:t xml:space="preserve"> Es el único indicador en el que más de una universidad argentina se encuentra entre las 100 primeras.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4957"/>
        <w:gridCol w:w="1161"/>
        <w:gridCol w:w="992"/>
        <w:gridCol w:w="992"/>
      </w:tblGrid>
      <w:tr w:rsidR="00C55C93" w:rsidRPr="000B7905" w14:paraId="102013AE" w14:textId="77777777" w:rsidTr="00C55C93">
        <w:trPr>
          <w:trHeight w:val="30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AB58" w14:textId="77777777" w:rsidR="00C55C93" w:rsidRPr="000B7905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0B7905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val="es-ES" w:eastAsia="en-GB"/>
                <w14:ligatures w14:val="none"/>
              </w:rPr>
              <w:t>Tabla 5: Argentina - Profesorado por alumno top 100</w:t>
            </w:r>
          </w:p>
        </w:tc>
      </w:tr>
      <w:tr w:rsidR="00C55C93" w:rsidRPr="00864BD8" w14:paraId="74260D19" w14:textId="77777777" w:rsidTr="00C55C93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C357" w14:textId="77777777" w:rsidR="00C55C93" w:rsidRPr="00C55C93" w:rsidRDefault="00C55C93" w:rsidP="00C55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Institución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53C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Puntuación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6676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Rango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AAA3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Cambia</w:t>
            </w:r>
          </w:p>
        </w:tc>
      </w:tr>
      <w:tr w:rsidR="00C55C93" w:rsidRPr="00864BD8" w14:paraId="3C9525CE" w14:textId="77777777" w:rsidTr="00C55C93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8C5" w14:textId="77777777" w:rsidR="00C55C93" w:rsidRPr="000B7905" w:rsidRDefault="00C55C93" w:rsidP="00C55C93">
            <w:pPr>
              <w:spacing w:after="0" w:line="240" w:lineRule="auto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0B7905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s-ES" w:eastAsia="en-GB"/>
                <w14:ligatures w14:val="none"/>
              </w:rPr>
              <w:t>Pontificia Universidad Católica Argentina Santa María de los Buenos Aires - UCA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54F6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3E6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A2ED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-3</w:t>
            </w:r>
          </w:p>
        </w:tc>
      </w:tr>
      <w:tr w:rsidR="00C55C93" w:rsidRPr="00864BD8" w14:paraId="0D09BED6" w14:textId="77777777" w:rsidTr="00C55C93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2328" w14:textId="77777777" w:rsidR="00C55C93" w:rsidRPr="000B7905" w:rsidRDefault="00C55C93" w:rsidP="00C55C93">
            <w:pPr>
              <w:spacing w:after="0" w:line="240" w:lineRule="auto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0B7905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s-ES" w:eastAsia="en-GB"/>
                <w14:ligatures w14:val="none"/>
              </w:rPr>
              <w:t>Universidad Argentina de la Empresa -UADE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8EC5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98.1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0238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256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C55C93" w:rsidRPr="00864BD8" w14:paraId="11E5E8CA" w14:textId="77777777" w:rsidTr="00C55C93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D94E" w14:textId="77777777" w:rsidR="00C55C93" w:rsidRPr="00C55C93" w:rsidRDefault="00C55C93" w:rsidP="00C55C93">
            <w:pPr>
              <w:spacing w:after="0" w:line="240" w:lineRule="auto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Universidad de Palermo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CB4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3749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D9D0" w14:textId="77777777" w:rsidR="00C55C93" w:rsidRPr="00C55C93" w:rsidRDefault="00C55C93" w:rsidP="00C55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55C93">
              <w:rPr>
                <w:rFonts w:ascii="Calibri" w:eastAsia="Times New Roman" w:hAnsi="Calibri" w:cs="Calibri"/>
                <w:color w:val="008000"/>
                <w:kern w:val="0"/>
                <w:sz w:val="20"/>
                <w:szCs w:val="20"/>
                <w:lang w:eastAsia="en-GB"/>
                <w14:ligatures w14:val="none"/>
              </w:rPr>
              <w:t>+6</w:t>
            </w:r>
          </w:p>
        </w:tc>
      </w:tr>
    </w:tbl>
    <w:p w14:paraId="356BB7C8" w14:textId="77777777" w:rsidR="00C55C93" w:rsidRPr="00864BD8" w:rsidRDefault="00C55C93">
      <w:pPr>
        <w:rPr>
          <w:rFonts w:ascii="Calibri" w:hAnsi="Calibri" w:cs="Calibri"/>
        </w:rPr>
      </w:pPr>
    </w:p>
    <w:p w14:paraId="32D9C99C" w14:textId="2C2F50B0" w:rsidR="00864BD8" w:rsidRPr="000B7905" w:rsidRDefault="00864BD8" w:rsidP="007232E7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B7905">
        <w:rPr>
          <w:rFonts w:ascii="Calibri" w:hAnsi="Calibri" w:cs="Calibri"/>
          <w:b/>
          <w:bCs/>
          <w:sz w:val="22"/>
          <w:szCs w:val="22"/>
        </w:rPr>
        <w:t xml:space="preserve">Panorama general </w:t>
      </w:r>
    </w:p>
    <w:p w14:paraId="681843DB" w14:textId="77777777" w:rsidR="00864BD8" w:rsidRPr="000B7905" w:rsidRDefault="00864BD8" w:rsidP="007232E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 xml:space="preserve">La clasificación de este año es la mayor de la historia, con más de 1500 universidades de 106 países y territorios. Estados Unidos es el sistema de enseñanza superior más representado, con 192 universidades clasificadas, seguido del Reino Unido, con 90, y China continental, con 72. </w:t>
      </w:r>
    </w:p>
    <w:p w14:paraId="05F00EC4" w14:textId="77777777" w:rsidR="00864BD8" w:rsidRPr="000B7905" w:rsidRDefault="00864BD8" w:rsidP="007232E7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 xml:space="preserve">Por decimocuarto año consecutivo, </w:t>
      </w: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el Instituto Tecnológico de Massachusetts (MIT) 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mantiene su reinado en lo más alto. </w:t>
      </w: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El Imperial College de Londres 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se mantiene en segundo lugar tras ocupar el prestigioso puesto el año pasado, mientras que </w:t>
      </w: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la Universidad de Stanford 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sube tres posiciones y se sitúa tercera. </w:t>
      </w: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La Universidad de Oxford 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y la </w:t>
      </w: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de Harvard 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bajan un puesto y se sitúan cuarta y quinta respectivamente.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4350"/>
        <w:gridCol w:w="2430"/>
      </w:tblGrid>
      <w:tr w:rsidR="00864BD8" w:rsidRPr="00864BD8" w14:paraId="0C87FCEC" w14:textId="77777777" w:rsidTr="00864BD8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731F63" w14:textId="060783B8" w:rsidR="00864BD8" w:rsidRPr="00864BD8" w:rsidRDefault="00864BD8" w:rsidP="007232E7">
            <w:pPr>
              <w:spacing w:after="0" w:line="240" w:lineRule="auto"/>
              <w:jc w:val="center"/>
              <w:divId w:val="1977637565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b/>
                <w:bCs/>
                <w:sz w:val="20"/>
                <w:szCs w:val="20"/>
              </w:rPr>
              <w:t>QS World University Rankings 2026: Top 10</w:t>
            </w:r>
          </w:p>
        </w:tc>
      </w:tr>
      <w:tr w:rsidR="00864BD8" w:rsidRPr="00864BD8" w14:paraId="51784E16" w14:textId="77777777" w:rsidTr="00864BD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EA90C" w14:textId="6954E8C8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Rango</w:t>
            </w:r>
            <w:r w:rsidRPr="00864B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81DDB" w14:textId="797330AC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2025 </w:t>
            </w:r>
            <w:r w:rsidRPr="00864BD8">
              <w:rPr>
                <w:rFonts w:ascii="Calibri" w:hAnsi="Calibri" w:cs="Calibri"/>
                <w:sz w:val="20"/>
                <w:szCs w:val="20"/>
              </w:rPr>
              <w:t xml:space="preserve">Rango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E34FF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b/>
                <w:bCs/>
                <w:sz w:val="20"/>
                <w:szCs w:val="20"/>
              </w:rPr>
              <w:t>Institución</w:t>
            </w:r>
            <w:r w:rsidRPr="00864BD8">
              <w:rPr>
                <w:rFonts w:ascii="Calibri" w:hAnsi="Calibri" w:cs="Calibri"/>
                <w:sz w:val="20"/>
                <w:szCs w:val="20"/>
              </w:rPr>
              <w:t> 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3FDB2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b/>
                <w:bCs/>
                <w:sz w:val="20"/>
                <w:szCs w:val="20"/>
              </w:rPr>
              <w:t>Ubicación</w:t>
            </w:r>
            <w:r w:rsidRPr="00864BD8">
              <w:rPr>
                <w:rFonts w:ascii="Calibri" w:hAnsi="Calibri" w:cs="Calibri"/>
                <w:sz w:val="20"/>
                <w:szCs w:val="20"/>
              </w:rPr>
              <w:t>  </w:t>
            </w:r>
          </w:p>
        </w:tc>
      </w:tr>
      <w:tr w:rsidR="00864BD8" w:rsidRPr="00864BD8" w14:paraId="24435B29" w14:textId="77777777" w:rsidTr="00864BD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87338" w14:textId="531F2587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8DAEC" w14:textId="6CEF8D5F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376B0" w14:textId="77777777" w:rsidR="00864BD8" w:rsidRPr="000B7905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t-PT"/>
              </w:rPr>
            </w:pPr>
            <w:r w:rsidRPr="000B7905">
              <w:rPr>
                <w:rFonts w:ascii="Calibri" w:hAnsi="Calibri" w:cs="Calibri"/>
                <w:sz w:val="20"/>
                <w:szCs w:val="20"/>
                <w:lang w:val="pt-PT"/>
              </w:rPr>
              <w:t>Instituto Tecnológico de Massachusetts (MIT) 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D0771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Estados Unidos de América  </w:t>
            </w:r>
          </w:p>
        </w:tc>
      </w:tr>
      <w:tr w:rsidR="00864BD8" w:rsidRPr="00864BD8" w14:paraId="39036902" w14:textId="77777777" w:rsidTr="00864BD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CF6F5" w14:textId="3D0F73D7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ADE48" w14:textId="14DBE28A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E62B9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Imperial College de Londres 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E22A2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Reino Unido  </w:t>
            </w:r>
          </w:p>
        </w:tc>
      </w:tr>
      <w:tr w:rsidR="00864BD8" w:rsidRPr="00864BD8" w14:paraId="4AB6E473" w14:textId="77777777" w:rsidTr="00864BD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0487E" w14:textId="528E7D08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9F0A7" w14:textId="3F5F7EE3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1F935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Universidad de Stanford 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2251F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Estados Unidos de América  </w:t>
            </w:r>
          </w:p>
        </w:tc>
      </w:tr>
      <w:tr w:rsidR="00864BD8" w:rsidRPr="00864BD8" w14:paraId="2F494571" w14:textId="77777777" w:rsidTr="00864BD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6EB30" w14:textId="4D93A248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9815B" w14:textId="33C57980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44FA2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Universidad de Oxford 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FCFF1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Reino Unido  </w:t>
            </w:r>
          </w:p>
        </w:tc>
      </w:tr>
      <w:tr w:rsidR="00864BD8" w:rsidRPr="00864BD8" w14:paraId="2B65FCCF" w14:textId="77777777" w:rsidTr="00864BD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9C151" w14:textId="39D2F912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9FBEC" w14:textId="6DA9EBA5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248C1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Universidad de Harvard 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6DDA8B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Estados Unidos de América  </w:t>
            </w:r>
          </w:p>
        </w:tc>
      </w:tr>
      <w:tr w:rsidR="00864BD8" w:rsidRPr="00864BD8" w14:paraId="271D955E" w14:textId="77777777" w:rsidTr="00864BD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063C6" w14:textId="2AC21D6B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05CD9" w14:textId="73EF4ABD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6DA56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Universidad de Cambridge 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2D622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Reino Unido  </w:t>
            </w:r>
          </w:p>
        </w:tc>
      </w:tr>
      <w:tr w:rsidR="00864BD8" w:rsidRPr="00864BD8" w14:paraId="54887DDC" w14:textId="77777777" w:rsidTr="00864BD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807C6" w14:textId="3E132FB1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EFB7E" w14:textId="01197D09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2CBF8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ETH Zúrich (Escuela Politécnica Federal de Suiza) 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7AF99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Suiza  </w:t>
            </w:r>
          </w:p>
        </w:tc>
      </w:tr>
      <w:tr w:rsidR="00864BD8" w:rsidRPr="00864BD8" w14:paraId="685899BC" w14:textId="77777777" w:rsidTr="00864BD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155BD" w14:textId="49DE6CAE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52EDF5" w14:textId="74FC21B5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F8F9F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Universidad Nacional de Singapur (NUS) 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58267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Singapur  </w:t>
            </w:r>
          </w:p>
        </w:tc>
      </w:tr>
      <w:tr w:rsidR="00864BD8" w:rsidRPr="00864BD8" w14:paraId="4864590A" w14:textId="77777777" w:rsidTr="00864BD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EA5DA" w14:textId="07A60189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D6CE5" w14:textId="0695A416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758B9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UCL (University College London) 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36847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Reino Unido  </w:t>
            </w:r>
          </w:p>
        </w:tc>
      </w:tr>
      <w:tr w:rsidR="00864BD8" w:rsidRPr="00864BD8" w14:paraId="4826C37D" w14:textId="77777777" w:rsidTr="00864BD8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8A82D" w14:textId="35C4A620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8B47E" w14:textId="5425F410" w:rsidR="00864BD8" w:rsidRPr="00864BD8" w:rsidRDefault="00864BD8" w:rsidP="007232E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12010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Instituto Tecnológico de California (Caltech) 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7DAEF" w14:textId="77777777" w:rsidR="00864BD8" w:rsidRPr="00864BD8" w:rsidRDefault="00864BD8" w:rsidP="007232E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BD8">
              <w:rPr>
                <w:rFonts w:ascii="Calibri" w:hAnsi="Calibri" w:cs="Calibri"/>
                <w:sz w:val="20"/>
                <w:szCs w:val="20"/>
              </w:rPr>
              <w:t>Estados Unidos de América  </w:t>
            </w:r>
          </w:p>
        </w:tc>
      </w:tr>
    </w:tbl>
    <w:p w14:paraId="122662E3" w14:textId="77777777" w:rsidR="00864BD8" w:rsidRPr="00864BD8" w:rsidRDefault="00864BD8" w:rsidP="00864BD8">
      <w:pPr>
        <w:rPr>
          <w:rFonts w:ascii="Calibri" w:hAnsi="Calibri" w:cs="Calibri"/>
        </w:rPr>
      </w:pPr>
      <w:r w:rsidRPr="00864BD8">
        <w:rPr>
          <w:rFonts w:ascii="Calibri" w:hAnsi="Calibri" w:cs="Calibri"/>
        </w:rPr>
        <w:t xml:space="preserve"> </w:t>
      </w:r>
    </w:p>
    <w:p w14:paraId="65AC6C17" w14:textId="26E83ED4" w:rsidR="00864BD8" w:rsidRPr="000B7905" w:rsidRDefault="00864BD8" w:rsidP="2E237B31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 xml:space="preserve">La Universidad de Stanford asciende al tercer puesto gracias a sus notables avances en sostenibilidad y profesorado internacional. Por su parte, la Universidad de Chicago es la única que se cuela entre las 20 primeras. </w:t>
      </w:r>
      <w:r w:rsidR="73E14913" w:rsidRPr="000B790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Es la primera vez en siete años que en </w:t>
      </w:r>
      <w:r w:rsidR="73E14913" w:rsidRPr="000B790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 xml:space="preserve">Estados Unidos </w:t>
      </w:r>
      <w:r w:rsidR="73E14913" w:rsidRPr="000B790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suben más universidades de las que bajan.</w:t>
      </w:r>
    </w:p>
    <w:p w14:paraId="22BB8F17" w14:textId="051BE27D" w:rsidR="00864BD8" w:rsidRPr="000B7905" w:rsidRDefault="00864BD8" w:rsidP="2E237B31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Reino Unido 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está empatado con Estados Unidos en cuanto a universidades de élite, con cuatro cada uno entre las diez primeras. El mejor indicador global del Reino Unido es la </w:t>
      </w:r>
      <w:r w:rsidR="000B7905">
        <w:rPr>
          <w:rFonts w:ascii="Calibri" w:hAnsi="Calibri" w:cs="Calibri"/>
          <w:sz w:val="22"/>
          <w:szCs w:val="22"/>
          <w:lang w:val="es-ES"/>
        </w:rPr>
        <w:t>P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 xml:space="preserve">roporción de </w:t>
      </w:r>
      <w:r w:rsidR="000B7905">
        <w:rPr>
          <w:rFonts w:ascii="Calibri" w:hAnsi="Calibri" w:cs="Calibri"/>
          <w:i/>
          <w:iCs/>
          <w:sz w:val="22"/>
          <w:szCs w:val="22"/>
          <w:lang w:val="es-ES"/>
        </w:rPr>
        <w:t>E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 xml:space="preserve">studiantes </w:t>
      </w:r>
      <w:r w:rsidR="000B7905">
        <w:rPr>
          <w:rFonts w:ascii="Calibri" w:hAnsi="Calibri" w:cs="Calibri"/>
          <w:i/>
          <w:iCs/>
          <w:sz w:val="22"/>
          <w:szCs w:val="22"/>
          <w:lang w:val="es-ES"/>
        </w:rPr>
        <w:t>I</w:t>
      </w:r>
      <w:r w:rsidRPr="000B7905">
        <w:rPr>
          <w:rFonts w:ascii="Calibri" w:hAnsi="Calibri" w:cs="Calibri"/>
          <w:i/>
          <w:iCs/>
          <w:sz w:val="22"/>
          <w:szCs w:val="22"/>
          <w:lang w:val="es-ES"/>
        </w:rPr>
        <w:t>nternacionales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, en la que obtiene la segunda puntuación media </w:t>
      </w:r>
      <w:r w:rsidRPr="000B7905">
        <w:rPr>
          <w:rFonts w:ascii="Calibri" w:hAnsi="Calibri" w:cs="Calibri"/>
          <w:sz w:val="22"/>
          <w:szCs w:val="22"/>
          <w:lang w:val="es-ES"/>
        </w:rPr>
        <w:lastRenderedPageBreak/>
        <w:t xml:space="preserve">más alta del mundo entre los países con diez o más universidades clasificadas, sólo por detrás de </w:t>
      </w: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>Emiratos Árabes Unidos</w:t>
      </w:r>
      <w:r w:rsidRPr="000B7905">
        <w:rPr>
          <w:rFonts w:ascii="Calibri" w:hAnsi="Calibri" w:cs="Calibri"/>
          <w:sz w:val="22"/>
          <w:szCs w:val="22"/>
          <w:lang w:val="es-ES"/>
        </w:rPr>
        <w:t>.   </w:t>
      </w:r>
    </w:p>
    <w:p w14:paraId="106D2BF1" w14:textId="4DD0886A" w:rsidR="00864BD8" w:rsidRPr="000B7905" w:rsidRDefault="00864BD8" w:rsidP="2E237B31">
      <w:pPr>
        <w:numPr>
          <w:ilvl w:val="0"/>
          <w:numId w:val="3"/>
        </w:num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 xml:space="preserve">La Universidad McGill ocupa el primer puesto en </w:t>
      </w: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>Canadá</w:t>
      </w:r>
      <w:r w:rsidRPr="000B7905">
        <w:rPr>
          <w:rFonts w:ascii="Calibri" w:hAnsi="Calibri" w:cs="Calibri"/>
          <w:sz w:val="22"/>
          <w:szCs w:val="22"/>
          <w:lang w:val="es-ES"/>
        </w:rPr>
        <w:t>, situándose en el puesto 27</w:t>
      </w:r>
      <w:r w:rsidR="00CE074B">
        <w:rPr>
          <w:rFonts w:ascii="Calibri" w:hAnsi="Calibri" w:cs="Calibri"/>
          <w:sz w:val="22"/>
          <w:szCs w:val="22"/>
          <w:lang w:val="es-ES"/>
        </w:rPr>
        <w:t xml:space="preserve"> a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 escala mundial y superando a la Universidad de Toronto. Las universidades canadienses obtienen unos resultados excepcionales en el indicador </w:t>
      </w:r>
      <w:r w:rsidRPr="00CE074B">
        <w:rPr>
          <w:rFonts w:ascii="Calibri" w:hAnsi="Calibri" w:cs="Calibri"/>
          <w:i/>
          <w:iCs/>
          <w:sz w:val="22"/>
          <w:szCs w:val="22"/>
          <w:lang w:val="es-ES"/>
        </w:rPr>
        <w:t>Sostenibilidad</w:t>
      </w:r>
      <w:r w:rsidRPr="000B7905">
        <w:rPr>
          <w:rFonts w:ascii="Calibri" w:hAnsi="Calibri" w:cs="Calibri"/>
          <w:sz w:val="22"/>
          <w:szCs w:val="22"/>
          <w:lang w:val="es-ES"/>
        </w:rPr>
        <w:t>, en el que la Universidad de Toronto y la Universidad de Columbia Británica ocupan el primer y el quinto lugar.   </w:t>
      </w:r>
    </w:p>
    <w:p w14:paraId="473B7413" w14:textId="30AF16BE" w:rsidR="00864BD8" w:rsidRPr="000B7905" w:rsidRDefault="00864BD8" w:rsidP="2E237B31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 xml:space="preserve">Dos universidades </w:t>
      </w: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australianas </w:t>
      </w:r>
      <w:r w:rsidRPr="000B7905">
        <w:rPr>
          <w:rFonts w:ascii="Calibri" w:hAnsi="Calibri" w:cs="Calibri"/>
          <w:sz w:val="22"/>
          <w:szCs w:val="22"/>
          <w:lang w:val="es-ES"/>
        </w:rPr>
        <w:t>se encuentran entre las 20 mejores del mundo, y la Universidad de Sídney cae de</w:t>
      </w:r>
      <w:r w:rsidR="00CE074B">
        <w:rPr>
          <w:rFonts w:ascii="Calibri" w:hAnsi="Calibri" w:cs="Calibri"/>
          <w:sz w:val="22"/>
          <w:szCs w:val="22"/>
          <w:lang w:val="es-ES"/>
        </w:rPr>
        <w:t>l puesto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 18 al 25. Del total de universidades australianas clasificadas, el 69% desciende en la tabla.   </w:t>
      </w:r>
    </w:p>
    <w:p w14:paraId="4EE0C73B" w14:textId="669BE9CF" w:rsidR="00864BD8" w:rsidRPr="000B7905" w:rsidRDefault="00864BD8" w:rsidP="2E237B31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>El ascenso de China continúa: el 44% de sus universidades ascienden en la tabla y el 35% descienden. De las tres universidades mejor clasificadas, dos han subido: la Universidad de Tsinghua,</w:t>
      </w:r>
      <w:r w:rsidR="00CE074B">
        <w:rPr>
          <w:rFonts w:ascii="Calibri" w:hAnsi="Calibri" w:cs="Calibri"/>
          <w:sz w:val="22"/>
          <w:szCs w:val="22"/>
          <w:lang w:val="es-ES"/>
        </w:rPr>
        <w:t xml:space="preserve"> puesto 17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, y la Universidad de Fudan, </w:t>
      </w:r>
      <w:r w:rsidR="00CE074B">
        <w:rPr>
          <w:rFonts w:ascii="Calibri" w:hAnsi="Calibri" w:cs="Calibri"/>
          <w:sz w:val="22"/>
          <w:szCs w:val="22"/>
          <w:lang w:val="es-ES"/>
        </w:rPr>
        <w:t>puesto 30</w:t>
      </w:r>
      <w:r w:rsidRPr="000B7905">
        <w:rPr>
          <w:rFonts w:ascii="Calibri" w:hAnsi="Calibri" w:cs="Calibri"/>
          <w:sz w:val="22"/>
          <w:szCs w:val="22"/>
          <w:lang w:val="es-ES"/>
        </w:rPr>
        <w:t>, tras ascender nueve puestos.  </w:t>
      </w:r>
    </w:p>
    <w:p w14:paraId="20480378" w14:textId="18E42142" w:rsidR="00864BD8" w:rsidRPr="000B7905" w:rsidRDefault="00864BD8" w:rsidP="2E237B31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sz w:val="22"/>
          <w:szCs w:val="22"/>
          <w:lang w:val="es-ES"/>
        </w:rPr>
        <w:t>El Instituto Indio de Tecnología de Delhi (IITD) asciende 27 impresionantes puestos para situarse en el 123</w:t>
      </w:r>
      <w:r w:rsidR="00CE074B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y ocupar la primera posición en </w:t>
      </w: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>India</w:t>
      </w:r>
      <w:r w:rsidRPr="000B7905">
        <w:rPr>
          <w:rFonts w:ascii="Calibri" w:hAnsi="Calibri" w:cs="Calibri"/>
          <w:sz w:val="22"/>
          <w:szCs w:val="22"/>
          <w:lang w:val="es-ES"/>
        </w:rPr>
        <w:t>, usurpando al líder del año pasado, el Instituto Indio de Tecnología de Bombay (IITB), que baja al 129. India sigue mejorando: el 41% de sus universidades asciende y el 20% desciende.  </w:t>
      </w:r>
    </w:p>
    <w:p w14:paraId="05B9CEB1" w14:textId="26ABAA49" w:rsidR="00864BD8" w:rsidRPr="000B7905" w:rsidRDefault="00864BD8" w:rsidP="2E237B31">
      <w:pPr>
        <w:numPr>
          <w:ilvl w:val="0"/>
          <w:numId w:val="7"/>
        </w:numPr>
        <w:spacing w:line="360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0B7905">
        <w:rPr>
          <w:rFonts w:ascii="Calibri" w:hAnsi="Calibri" w:cs="Calibri"/>
          <w:b/>
          <w:bCs/>
          <w:sz w:val="22"/>
          <w:szCs w:val="22"/>
          <w:lang w:val="es-ES"/>
        </w:rPr>
        <w:t xml:space="preserve">Italia 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entra por primera vez en la lista de las 100 mejores con el Politécnico de Milán en el </w:t>
      </w:r>
      <w:r w:rsidR="00CE074B">
        <w:rPr>
          <w:rFonts w:ascii="Calibri" w:hAnsi="Calibri" w:cs="Calibri"/>
          <w:sz w:val="22"/>
          <w:szCs w:val="22"/>
          <w:lang w:val="es-ES"/>
        </w:rPr>
        <w:t>puesto 98</w:t>
      </w:r>
      <w:r w:rsidRPr="000B7905">
        <w:rPr>
          <w:rFonts w:ascii="Calibri" w:hAnsi="Calibri" w:cs="Calibri"/>
          <w:sz w:val="22"/>
          <w:szCs w:val="22"/>
          <w:lang w:val="es-ES"/>
        </w:rPr>
        <w:t xml:space="preserve">, 13 más que hace un año. </w:t>
      </w:r>
      <w:r w:rsidR="03CB1048" w:rsidRPr="000B790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Mientras tanto, </w:t>
      </w:r>
      <w:r w:rsidR="03CB1048" w:rsidRPr="000B7905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ES"/>
        </w:rPr>
        <w:t>en Alemania</w:t>
      </w:r>
      <w:r w:rsidR="03CB1048" w:rsidRPr="000B790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, por segunda vez en más de diez </w:t>
      </w:r>
      <w:r w:rsidR="7CB8900F" w:rsidRPr="000B790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años</w:t>
      </w:r>
      <w:r w:rsidR="03CB1048" w:rsidRPr="000B790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, ascienden más universidades que descienden.</w:t>
      </w:r>
    </w:p>
    <w:p w14:paraId="443B0357" w14:textId="77777777" w:rsidR="00864BD8" w:rsidRPr="000B7905" w:rsidRDefault="00864BD8" w:rsidP="007232E7">
      <w:pPr>
        <w:spacing w:line="36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b/>
          <w:bCs/>
          <w:lang w:val="es-ES"/>
        </w:rPr>
        <w:t>Metodología</w:t>
      </w:r>
      <w:r w:rsidRPr="000B7905">
        <w:rPr>
          <w:rFonts w:ascii="Calibri" w:hAnsi="Calibri" w:cs="Calibri"/>
          <w:lang w:val="es-ES"/>
        </w:rPr>
        <w:t>         </w:t>
      </w:r>
    </w:p>
    <w:p w14:paraId="3D334100" w14:textId="07BCFFCE" w:rsidR="00864BD8" w:rsidRPr="000B7905" w:rsidRDefault="7EBD93BC" w:rsidP="13B8BF51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</w:pPr>
      <w:r w:rsidRPr="000B790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La Clasificación Mundial de Universidades QS 2026 se basa en un índice ponderado de los indicadores que se enumeran a continuación. </w:t>
      </w:r>
      <w:r w:rsidR="00864BD8" w:rsidRPr="000B7905">
        <w:rPr>
          <w:lang w:val="es-ES"/>
        </w:rPr>
        <w:br/>
      </w:r>
      <w:r w:rsidRPr="000B790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 xml:space="preserve">Para más detalles, visite la </w:t>
      </w:r>
      <w:hyperlink r:id="rId9">
        <w:r w:rsidRPr="000B7905">
          <w:rPr>
            <w:rStyle w:val="Hyperlink"/>
            <w:rFonts w:ascii="Calibri" w:eastAsia="Calibri" w:hAnsi="Calibri" w:cs="Calibri"/>
            <w:sz w:val="22"/>
            <w:szCs w:val="22"/>
            <w:lang w:val="es-ES"/>
          </w:rPr>
          <w:t>página de metodología de QS</w:t>
        </w:r>
      </w:hyperlink>
      <w:r w:rsidRPr="000B7905"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  <w:t>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95"/>
        <w:gridCol w:w="1380"/>
        <w:gridCol w:w="3645"/>
        <w:gridCol w:w="1245"/>
      </w:tblGrid>
      <w:tr w:rsidR="13B8BF51" w14:paraId="5912B7DA" w14:textId="77777777" w:rsidTr="13B8BF51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</w:tcBorders>
            <w:shd w:val="clear" w:color="auto" w:fill="FECC01"/>
            <w:tcMar>
              <w:left w:w="90" w:type="dxa"/>
              <w:right w:w="90" w:type="dxa"/>
            </w:tcMar>
            <w:vAlign w:val="center"/>
          </w:tcPr>
          <w:p w14:paraId="0936D804" w14:textId="247EDFBC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Lente</w:t>
            </w:r>
          </w:p>
        </w:tc>
        <w:tc>
          <w:tcPr>
            <w:tcW w:w="1380" w:type="dxa"/>
            <w:tcBorders>
              <w:top w:val="single" w:sz="6" w:space="0" w:color="auto"/>
            </w:tcBorders>
            <w:shd w:val="clear" w:color="auto" w:fill="FECC01"/>
            <w:tcMar>
              <w:left w:w="90" w:type="dxa"/>
              <w:right w:w="90" w:type="dxa"/>
            </w:tcMar>
            <w:vAlign w:val="center"/>
          </w:tcPr>
          <w:p w14:paraId="113B483A" w14:textId="24711ED8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Ponderación</w:t>
            </w:r>
          </w:p>
        </w:tc>
        <w:tc>
          <w:tcPr>
            <w:tcW w:w="3645" w:type="dxa"/>
            <w:tcBorders>
              <w:top w:val="single" w:sz="6" w:space="0" w:color="auto"/>
            </w:tcBorders>
            <w:shd w:val="clear" w:color="auto" w:fill="FECC01"/>
            <w:tcMar>
              <w:left w:w="90" w:type="dxa"/>
              <w:right w:w="90" w:type="dxa"/>
            </w:tcMar>
            <w:vAlign w:val="center"/>
          </w:tcPr>
          <w:p w14:paraId="0C8BE4E8" w14:textId="415FF8C4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Indicador</w:t>
            </w:r>
          </w:p>
        </w:tc>
        <w:tc>
          <w:tcPr>
            <w:tcW w:w="1245" w:type="dxa"/>
            <w:tcBorders>
              <w:top w:val="single" w:sz="6" w:space="0" w:color="auto"/>
              <w:right w:val="single" w:sz="6" w:space="0" w:color="auto"/>
            </w:tcBorders>
            <w:shd w:val="clear" w:color="auto" w:fill="FECC01"/>
            <w:tcMar>
              <w:left w:w="90" w:type="dxa"/>
              <w:right w:w="90" w:type="dxa"/>
            </w:tcMar>
            <w:vAlign w:val="center"/>
          </w:tcPr>
          <w:p w14:paraId="4037FC76" w14:textId="6F8E4379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Ponderación</w:t>
            </w:r>
          </w:p>
        </w:tc>
      </w:tr>
      <w:tr w:rsidR="13B8BF51" w14:paraId="1D1C6388" w14:textId="77777777" w:rsidTr="13B8BF51">
        <w:trPr>
          <w:trHeight w:val="300"/>
        </w:trPr>
        <w:tc>
          <w:tcPr>
            <w:tcW w:w="3495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6A18DCE" w14:textId="7672AFA2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0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Investigación y descubrimiento</w:t>
              </w:r>
            </w:hyperlink>
          </w:p>
        </w:tc>
        <w:tc>
          <w:tcPr>
            <w:tcW w:w="1380" w:type="dxa"/>
            <w:vMerge w:val="restart"/>
            <w:tcMar>
              <w:left w:w="90" w:type="dxa"/>
              <w:right w:w="90" w:type="dxa"/>
            </w:tcMar>
            <w:vAlign w:val="center"/>
          </w:tcPr>
          <w:p w14:paraId="65EE15A7" w14:textId="7185B692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50%</w:t>
            </w:r>
          </w:p>
        </w:tc>
        <w:tc>
          <w:tcPr>
            <w:tcW w:w="3645" w:type="dxa"/>
            <w:tcMar>
              <w:left w:w="90" w:type="dxa"/>
              <w:right w:w="90" w:type="dxa"/>
            </w:tcMar>
            <w:vAlign w:val="center"/>
          </w:tcPr>
          <w:p w14:paraId="6AA26965" w14:textId="27068E6C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1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Reputación académica</w:t>
              </w:r>
            </w:hyperlink>
          </w:p>
        </w:tc>
        <w:tc>
          <w:tcPr>
            <w:tcW w:w="12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1B2D572" w14:textId="4B77C84E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30%</w:t>
            </w:r>
          </w:p>
        </w:tc>
      </w:tr>
      <w:tr w:rsidR="13B8BF51" w14:paraId="2BA19AE0" w14:textId="77777777" w:rsidTr="13B8BF51">
        <w:trPr>
          <w:trHeight w:val="300"/>
        </w:trPr>
        <w:tc>
          <w:tcPr>
            <w:tcW w:w="3495" w:type="dxa"/>
            <w:vMerge/>
            <w:tcBorders>
              <w:left w:val="single" w:sz="0" w:space="0" w:color="auto"/>
            </w:tcBorders>
            <w:vAlign w:val="center"/>
          </w:tcPr>
          <w:p w14:paraId="3388FF0C" w14:textId="77777777" w:rsidR="00461579" w:rsidRDefault="00461579"/>
        </w:tc>
        <w:tc>
          <w:tcPr>
            <w:tcW w:w="1380" w:type="dxa"/>
            <w:vMerge/>
            <w:vAlign w:val="center"/>
          </w:tcPr>
          <w:p w14:paraId="67586411" w14:textId="77777777" w:rsidR="00461579" w:rsidRDefault="00461579"/>
        </w:tc>
        <w:tc>
          <w:tcPr>
            <w:tcW w:w="3645" w:type="dxa"/>
            <w:tcMar>
              <w:left w:w="90" w:type="dxa"/>
              <w:right w:w="90" w:type="dxa"/>
            </w:tcMar>
            <w:vAlign w:val="center"/>
          </w:tcPr>
          <w:p w14:paraId="31350D2C" w14:textId="6CA1A32B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2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Citaciones por profesor</w:t>
              </w:r>
            </w:hyperlink>
          </w:p>
        </w:tc>
        <w:tc>
          <w:tcPr>
            <w:tcW w:w="12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B99F5A7" w14:textId="2A10828D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20%</w:t>
            </w:r>
          </w:p>
        </w:tc>
      </w:tr>
      <w:tr w:rsidR="13B8BF51" w14:paraId="30B43A0C" w14:textId="77777777" w:rsidTr="13B8BF51">
        <w:trPr>
          <w:trHeight w:val="300"/>
        </w:trPr>
        <w:tc>
          <w:tcPr>
            <w:tcW w:w="3495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6F35688" w14:textId="70046FB4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3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Empleabilidad y resultados</w:t>
              </w:r>
            </w:hyperlink>
          </w:p>
        </w:tc>
        <w:tc>
          <w:tcPr>
            <w:tcW w:w="1380" w:type="dxa"/>
            <w:vMerge w:val="restart"/>
            <w:tcMar>
              <w:left w:w="90" w:type="dxa"/>
              <w:right w:w="90" w:type="dxa"/>
            </w:tcMar>
            <w:vAlign w:val="center"/>
          </w:tcPr>
          <w:p w14:paraId="72A892B0" w14:textId="5F69CEE8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20%</w:t>
            </w:r>
          </w:p>
        </w:tc>
        <w:tc>
          <w:tcPr>
            <w:tcW w:w="3645" w:type="dxa"/>
            <w:tcMar>
              <w:left w:w="90" w:type="dxa"/>
              <w:right w:w="90" w:type="dxa"/>
            </w:tcMar>
            <w:vAlign w:val="center"/>
          </w:tcPr>
          <w:p w14:paraId="72422C78" w14:textId="027A2D53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4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Reputación del empleador</w:t>
              </w:r>
            </w:hyperlink>
          </w:p>
        </w:tc>
        <w:tc>
          <w:tcPr>
            <w:tcW w:w="12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EF63E91" w14:textId="0E342A9C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15%</w:t>
            </w:r>
          </w:p>
        </w:tc>
      </w:tr>
      <w:tr w:rsidR="13B8BF51" w14:paraId="66E18BFC" w14:textId="77777777" w:rsidTr="13B8BF51">
        <w:trPr>
          <w:trHeight w:val="300"/>
        </w:trPr>
        <w:tc>
          <w:tcPr>
            <w:tcW w:w="3495" w:type="dxa"/>
            <w:vMerge/>
            <w:tcBorders>
              <w:left w:val="single" w:sz="0" w:space="0" w:color="auto"/>
            </w:tcBorders>
            <w:vAlign w:val="center"/>
          </w:tcPr>
          <w:p w14:paraId="648D083E" w14:textId="77777777" w:rsidR="00461579" w:rsidRDefault="00461579"/>
        </w:tc>
        <w:tc>
          <w:tcPr>
            <w:tcW w:w="1380" w:type="dxa"/>
            <w:vMerge/>
            <w:vAlign w:val="center"/>
          </w:tcPr>
          <w:p w14:paraId="604D0607" w14:textId="77777777" w:rsidR="00461579" w:rsidRDefault="00461579"/>
        </w:tc>
        <w:tc>
          <w:tcPr>
            <w:tcW w:w="3645" w:type="dxa"/>
            <w:tcMar>
              <w:left w:w="90" w:type="dxa"/>
              <w:right w:w="90" w:type="dxa"/>
            </w:tcMar>
            <w:vAlign w:val="center"/>
          </w:tcPr>
          <w:p w14:paraId="6A40D6F5" w14:textId="5F57CD90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5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Resultados del empleo</w:t>
              </w:r>
            </w:hyperlink>
          </w:p>
        </w:tc>
        <w:tc>
          <w:tcPr>
            <w:tcW w:w="12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AA486B" w14:textId="03186D88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5%</w:t>
            </w:r>
          </w:p>
        </w:tc>
      </w:tr>
      <w:tr w:rsidR="13B8BF51" w14:paraId="4D448436" w14:textId="77777777" w:rsidTr="13B8BF51">
        <w:trPr>
          <w:trHeight w:val="300"/>
        </w:trPr>
        <w:tc>
          <w:tcPr>
            <w:tcW w:w="3495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BEB9C6" w14:textId="32C5D510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6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Compromiso mundial</w:t>
              </w:r>
            </w:hyperlink>
          </w:p>
        </w:tc>
        <w:tc>
          <w:tcPr>
            <w:tcW w:w="1380" w:type="dxa"/>
            <w:vMerge w:val="restart"/>
            <w:tcMar>
              <w:left w:w="90" w:type="dxa"/>
              <w:right w:w="90" w:type="dxa"/>
            </w:tcMar>
            <w:vAlign w:val="center"/>
          </w:tcPr>
          <w:p w14:paraId="4617E83C" w14:textId="6D7E3F65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15%</w:t>
            </w:r>
          </w:p>
        </w:tc>
        <w:tc>
          <w:tcPr>
            <w:tcW w:w="3645" w:type="dxa"/>
            <w:tcMar>
              <w:left w:w="90" w:type="dxa"/>
              <w:right w:w="90" w:type="dxa"/>
            </w:tcMar>
            <w:vAlign w:val="center"/>
          </w:tcPr>
          <w:p w14:paraId="11E4AD2A" w14:textId="4F13AF37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7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Ratio de profesorado internacional</w:t>
              </w:r>
            </w:hyperlink>
          </w:p>
        </w:tc>
        <w:tc>
          <w:tcPr>
            <w:tcW w:w="12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29170FE" w14:textId="7344AA29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5%</w:t>
            </w:r>
          </w:p>
        </w:tc>
      </w:tr>
      <w:tr w:rsidR="13B8BF51" w14:paraId="427FD1D4" w14:textId="77777777" w:rsidTr="13B8BF51">
        <w:trPr>
          <w:trHeight w:val="300"/>
        </w:trPr>
        <w:tc>
          <w:tcPr>
            <w:tcW w:w="3495" w:type="dxa"/>
            <w:vMerge/>
            <w:tcBorders>
              <w:left w:val="single" w:sz="0" w:space="0" w:color="auto"/>
            </w:tcBorders>
            <w:vAlign w:val="center"/>
          </w:tcPr>
          <w:p w14:paraId="25DF0580" w14:textId="77777777" w:rsidR="00461579" w:rsidRDefault="00461579"/>
        </w:tc>
        <w:tc>
          <w:tcPr>
            <w:tcW w:w="1380" w:type="dxa"/>
            <w:vMerge/>
            <w:vAlign w:val="center"/>
          </w:tcPr>
          <w:p w14:paraId="45583DA7" w14:textId="77777777" w:rsidR="00461579" w:rsidRDefault="00461579"/>
        </w:tc>
        <w:tc>
          <w:tcPr>
            <w:tcW w:w="3645" w:type="dxa"/>
            <w:tcMar>
              <w:left w:w="90" w:type="dxa"/>
              <w:right w:w="90" w:type="dxa"/>
            </w:tcMar>
            <w:vAlign w:val="center"/>
          </w:tcPr>
          <w:p w14:paraId="2232BBF7" w14:textId="15CDB94A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8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Red Internacional de Investigación</w:t>
              </w:r>
            </w:hyperlink>
          </w:p>
        </w:tc>
        <w:tc>
          <w:tcPr>
            <w:tcW w:w="12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CE70C8D" w14:textId="3C3EAD40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5%</w:t>
            </w:r>
          </w:p>
        </w:tc>
      </w:tr>
      <w:tr w:rsidR="13B8BF51" w14:paraId="24FA6758" w14:textId="77777777" w:rsidTr="13B8BF51">
        <w:trPr>
          <w:trHeight w:val="300"/>
        </w:trPr>
        <w:tc>
          <w:tcPr>
            <w:tcW w:w="3495" w:type="dxa"/>
            <w:vMerge/>
            <w:tcBorders>
              <w:left w:val="single" w:sz="0" w:space="0" w:color="auto"/>
            </w:tcBorders>
            <w:vAlign w:val="center"/>
          </w:tcPr>
          <w:p w14:paraId="1808C9BF" w14:textId="77777777" w:rsidR="00461579" w:rsidRDefault="00461579"/>
        </w:tc>
        <w:tc>
          <w:tcPr>
            <w:tcW w:w="1380" w:type="dxa"/>
            <w:vMerge/>
            <w:vAlign w:val="center"/>
          </w:tcPr>
          <w:p w14:paraId="715F4B37" w14:textId="77777777" w:rsidR="00461579" w:rsidRDefault="00461579"/>
        </w:tc>
        <w:tc>
          <w:tcPr>
            <w:tcW w:w="3645" w:type="dxa"/>
            <w:tcMar>
              <w:left w:w="90" w:type="dxa"/>
              <w:right w:w="90" w:type="dxa"/>
            </w:tcMar>
            <w:vAlign w:val="center"/>
          </w:tcPr>
          <w:p w14:paraId="46C58A05" w14:textId="6E37B8BE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9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Diversidad de estudiantes internacionales</w:t>
              </w:r>
            </w:hyperlink>
          </w:p>
        </w:tc>
        <w:tc>
          <w:tcPr>
            <w:tcW w:w="12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D1DC40E" w14:textId="0D349581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0%</w:t>
            </w:r>
          </w:p>
        </w:tc>
      </w:tr>
      <w:tr w:rsidR="13B8BF51" w14:paraId="7D286437" w14:textId="77777777" w:rsidTr="13B8BF51">
        <w:trPr>
          <w:trHeight w:val="300"/>
        </w:trPr>
        <w:tc>
          <w:tcPr>
            <w:tcW w:w="3495" w:type="dxa"/>
            <w:vMerge/>
            <w:tcBorders>
              <w:left w:val="single" w:sz="0" w:space="0" w:color="auto"/>
            </w:tcBorders>
            <w:vAlign w:val="center"/>
          </w:tcPr>
          <w:p w14:paraId="3BA2449D" w14:textId="77777777" w:rsidR="00461579" w:rsidRDefault="00461579"/>
        </w:tc>
        <w:tc>
          <w:tcPr>
            <w:tcW w:w="1380" w:type="dxa"/>
            <w:vMerge/>
            <w:vAlign w:val="center"/>
          </w:tcPr>
          <w:p w14:paraId="3D78E3EB" w14:textId="77777777" w:rsidR="00461579" w:rsidRDefault="00461579"/>
        </w:tc>
        <w:tc>
          <w:tcPr>
            <w:tcW w:w="3645" w:type="dxa"/>
            <w:tcMar>
              <w:left w:w="90" w:type="dxa"/>
              <w:right w:w="90" w:type="dxa"/>
            </w:tcMar>
            <w:vAlign w:val="center"/>
          </w:tcPr>
          <w:p w14:paraId="5109DFCC" w14:textId="047C4E71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0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Ratio de estudiantes internacionales</w:t>
              </w:r>
            </w:hyperlink>
          </w:p>
        </w:tc>
        <w:tc>
          <w:tcPr>
            <w:tcW w:w="12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BC04B3A" w14:textId="40137954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5%</w:t>
            </w:r>
          </w:p>
        </w:tc>
      </w:tr>
      <w:tr w:rsidR="13B8BF51" w14:paraId="62B37276" w14:textId="77777777" w:rsidTr="13B8BF51">
        <w:trPr>
          <w:trHeight w:val="300"/>
        </w:trPr>
        <w:tc>
          <w:tcPr>
            <w:tcW w:w="34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5379597" w14:textId="14330835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1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Experiencia de aprendizaje</w:t>
              </w:r>
            </w:hyperlink>
          </w:p>
        </w:tc>
        <w:tc>
          <w:tcPr>
            <w:tcW w:w="1380" w:type="dxa"/>
            <w:tcMar>
              <w:left w:w="90" w:type="dxa"/>
              <w:right w:w="90" w:type="dxa"/>
            </w:tcMar>
            <w:vAlign w:val="center"/>
          </w:tcPr>
          <w:p w14:paraId="0E56D4BB" w14:textId="2FFFDDFE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10%</w:t>
            </w:r>
          </w:p>
        </w:tc>
        <w:tc>
          <w:tcPr>
            <w:tcW w:w="3645" w:type="dxa"/>
            <w:tcMar>
              <w:left w:w="90" w:type="dxa"/>
              <w:right w:w="90" w:type="dxa"/>
            </w:tcMar>
            <w:vAlign w:val="center"/>
          </w:tcPr>
          <w:p w14:paraId="59379BA0" w14:textId="480BCC99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2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Ratio profesor-alumno</w:t>
              </w:r>
            </w:hyperlink>
          </w:p>
        </w:tc>
        <w:tc>
          <w:tcPr>
            <w:tcW w:w="12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C24BF8" w14:textId="789A5916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10%</w:t>
            </w:r>
          </w:p>
        </w:tc>
      </w:tr>
      <w:tr w:rsidR="13B8BF51" w14:paraId="69ED0EED" w14:textId="77777777" w:rsidTr="13B8BF51">
        <w:trPr>
          <w:trHeight w:val="300"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C6FAD2E" w14:textId="7F008528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lastRenderedPageBreak/>
              <w:t>Sostenibilidad</w:t>
            </w:r>
          </w:p>
        </w:tc>
        <w:tc>
          <w:tcPr>
            <w:tcW w:w="138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083B1F5" w14:textId="0B5E9B25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5%</w:t>
            </w:r>
          </w:p>
        </w:tc>
        <w:tc>
          <w:tcPr>
            <w:tcW w:w="364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C426E59" w14:textId="18D245F9" w:rsidR="13B8BF51" w:rsidRDefault="13B8BF51" w:rsidP="13B8BF5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3">
              <w:r w:rsidRPr="13B8BF51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Sostenibilidad</w:t>
              </w:r>
            </w:hyperlink>
          </w:p>
        </w:tc>
        <w:tc>
          <w:tcPr>
            <w:tcW w:w="124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95F6474" w14:textId="2899A62E" w:rsidR="13B8BF51" w:rsidRDefault="13B8BF51" w:rsidP="13B8BF51">
            <w:pPr>
              <w:spacing w:line="276" w:lineRule="auto"/>
              <w:jc w:val="center"/>
              <w:rPr>
                <w:rFonts w:ascii="Calibri" w:eastAsia="Calibri" w:hAnsi="Calibri" w:cs="Calibri"/>
                <w:color w:val="1D1D1B"/>
                <w:sz w:val="20"/>
                <w:szCs w:val="20"/>
              </w:rPr>
            </w:pPr>
            <w:r w:rsidRPr="13B8BF51">
              <w:rPr>
                <w:rFonts w:ascii="Calibri" w:eastAsia="Calibri" w:hAnsi="Calibri" w:cs="Calibri"/>
                <w:color w:val="1D1D1B"/>
                <w:sz w:val="20"/>
                <w:szCs w:val="20"/>
                <w:lang w:val="en-US"/>
              </w:rPr>
              <w:t>5%</w:t>
            </w:r>
          </w:p>
        </w:tc>
      </w:tr>
    </w:tbl>
    <w:p w14:paraId="6C5C3F9D" w14:textId="70B96A31" w:rsidR="00864BD8" w:rsidRPr="00864BD8" w:rsidRDefault="00864BD8" w:rsidP="13B8BF51">
      <w:pPr>
        <w:spacing w:line="360" w:lineRule="auto"/>
        <w:rPr>
          <w:rFonts w:ascii="Calibri" w:hAnsi="Calibri" w:cs="Calibri"/>
        </w:rPr>
      </w:pPr>
    </w:p>
    <w:p w14:paraId="29AA3146" w14:textId="4DEC19DC" w:rsidR="00864BD8" w:rsidRPr="000B7905" w:rsidRDefault="00864BD8" w:rsidP="13B8BF51">
      <w:pPr>
        <w:spacing w:line="36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lang w:val="es-ES"/>
        </w:rPr>
        <w:t xml:space="preserve">Las clasificaciones completas estarán disponibles el </w:t>
      </w:r>
      <w:r w:rsidRPr="000B7905">
        <w:rPr>
          <w:rFonts w:ascii="Calibri" w:hAnsi="Calibri" w:cs="Calibri"/>
          <w:b/>
          <w:bCs/>
          <w:lang w:val="es-ES"/>
        </w:rPr>
        <w:t>jueves 19</w:t>
      </w:r>
      <w:r w:rsidR="00CE074B">
        <w:rPr>
          <w:rFonts w:ascii="Calibri" w:hAnsi="Calibri" w:cs="Calibri"/>
          <w:b/>
          <w:bCs/>
          <w:lang w:val="es-ES"/>
        </w:rPr>
        <w:t xml:space="preserve"> </w:t>
      </w:r>
      <w:r w:rsidRPr="000B7905">
        <w:rPr>
          <w:rFonts w:ascii="Calibri" w:hAnsi="Calibri" w:cs="Calibri"/>
          <w:b/>
          <w:bCs/>
          <w:lang w:val="es-ES"/>
        </w:rPr>
        <w:t xml:space="preserve">de junio, </w:t>
      </w:r>
      <w:r w:rsidR="79B4B142" w:rsidRPr="000B7905">
        <w:rPr>
          <w:rFonts w:ascii="Calibri" w:hAnsi="Calibri" w:cs="Calibri"/>
          <w:b/>
          <w:bCs/>
          <w:lang w:val="es-ES"/>
        </w:rPr>
        <w:t>20</w:t>
      </w:r>
      <w:r w:rsidRPr="000B7905">
        <w:rPr>
          <w:rFonts w:ascii="Calibri" w:hAnsi="Calibri" w:cs="Calibri"/>
          <w:b/>
          <w:bCs/>
          <w:lang w:val="es-ES"/>
        </w:rPr>
        <w:t xml:space="preserve">:01 </w:t>
      </w:r>
      <w:r w:rsidR="73E6D383" w:rsidRPr="000B7905">
        <w:rPr>
          <w:rFonts w:ascii="Calibri" w:hAnsi="Calibri" w:cs="Calibri"/>
          <w:b/>
          <w:bCs/>
          <w:lang w:val="es-ES"/>
        </w:rPr>
        <w:t xml:space="preserve">PM </w:t>
      </w:r>
      <w:r w:rsidRPr="000B7905">
        <w:rPr>
          <w:rFonts w:ascii="Calibri" w:hAnsi="Calibri" w:cs="Calibri"/>
          <w:b/>
          <w:bCs/>
          <w:lang w:val="es-ES"/>
        </w:rPr>
        <w:t xml:space="preserve">ART </w:t>
      </w:r>
      <w:r w:rsidRPr="000B7905">
        <w:rPr>
          <w:rFonts w:ascii="Calibri" w:hAnsi="Calibri" w:cs="Calibri"/>
          <w:lang w:val="es-ES"/>
        </w:rPr>
        <w:t xml:space="preserve">y se pueden encontrar en </w:t>
      </w:r>
      <w:hyperlink r:id="rId24">
        <w:r w:rsidRPr="000B7905">
          <w:rPr>
            <w:rStyle w:val="Hyperlink"/>
            <w:rFonts w:ascii="Calibri" w:hAnsi="Calibri" w:cs="Calibri"/>
            <w:lang w:val="es-ES"/>
          </w:rPr>
          <w:t>https://www.topuniversities.com/qs-world-university-rankings/2025</w:t>
        </w:r>
      </w:hyperlink>
      <w:r w:rsidRPr="000B7905">
        <w:rPr>
          <w:rFonts w:ascii="Calibri" w:hAnsi="Calibri" w:cs="Calibri"/>
          <w:lang w:val="es-ES"/>
        </w:rPr>
        <w:t>                        </w:t>
      </w:r>
    </w:p>
    <w:p w14:paraId="013100D5" w14:textId="77777777" w:rsidR="00864BD8" w:rsidRPr="000B7905" w:rsidRDefault="00864BD8" w:rsidP="007232E7">
      <w:pPr>
        <w:spacing w:line="36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lang w:val="es-ES"/>
        </w:rPr>
        <w:t>-Finaliza-               </w:t>
      </w:r>
    </w:p>
    <w:p w14:paraId="4FF999E9" w14:textId="77777777" w:rsidR="00864BD8" w:rsidRPr="000B7905" w:rsidRDefault="00864BD8" w:rsidP="007232E7">
      <w:pPr>
        <w:spacing w:line="36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lang w:val="es-ES"/>
        </w:rPr>
        <w:t>Para más información o para solicitar entrevistas con los analistas de QS, póngase en contacto con   </w:t>
      </w:r>
    </w:p>
    <w:p w14:paraId="359251C5" w14:textId="77777777" w:rsidR="00864BD8" w:rsidRPr="000B7905" w:rsidRDefault="00864BD8" w:rsidP="007232E7">
      <w:pPr>
        <w:spacing w:after="0" w:line="24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b/>
          <w:bCs/>
          <w:lang w:val="es-ES"/>
        </w:rPr>
        <w:t>Simona Bizzozero</w:t>
      </w:r>
      <w:r w:rsidRPr="000B7905">
        <w:rPr>
          <w:rFonts w:ascii="Calibri" w:hAnsi="Calibri" w:cs="Calibri"/>
          <w:lang w:val="es-ES"/>
        </w:rPr>
        <w:t>                </w:t>
      </w:r>
    </w:p>
    <w:p w14:paraId="4957B481" w14:textId="77777777" w:rsidR="00864BD8" w:rsidRPr="000B7905" w:rsidRDefault="00864BD8" w:rsidP="007232E7">
      <w:pPr>
        <w:spacing w:after="0" w:line="24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lang w:val="es-ES"/>
        </w:rPr>
        <w:t>Director de Comunicación                </w:t>
      </w:r>
    </w:p>
    <w:p w14:paraId="44B48CB5" w14:textId="77777777" w:rsidR="00864BD8" w:rsidRPr="000B7905" w:rsidRDefault="00864BD8" w:rsidP="007232E7">
      <w:pPr>
        <w:spacing w:after="0" w:line="24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lang w:val="es-ES"/>
        </w:rPr>
        <w:t>QS Quacquarelli Symonds                </w:t>
      </w:r>
    </w:p>
    <w:p w14:paraId="5D86DF68" w14:textId="77777777" w:rsidR="00864BD8" w:rsidRPr="000B7905" w:rsidRDefault="00864BD8" w:rsidP="007232E7">
      <w:pPr>
        <w:spacing w:after="0" w:line="240" w:lineRule="auto"/>
        <w:rPr>
          <w:rFonts w:ascii="Calibri" w:hAnsi="Calibri" w:cs="Calibri"/>
          <w:lang w:val="es-ES"/>
        </w:rPr>
      </w:pPr>
      <w:hyperlink r:id="rId25" w:tgtFrame="_blank" w:history="1">
        <w:r w:rsidRPr="000B7905">
          <w:rPr>
            <w:rStyle w:val="Hyperlink"/>
            <w:rFonts w:ascii="Calibri" w:hAnsi="Calibri" w:cs="Calibri"/>
            <w:lang w:val="es-ES"/>
          </w:rPr>
          <w:t xml:space="preserve">simona@qs.com </w:t>
        </w:r>
      </w:hyperlink>
      <w:r w:rsidRPr="000B7905">
        <w:rPr>
          <w:rFonts w:ascii="Calibri" w:hAnsi="Calibri" w:cs="Calibri"/>
          <w:lang w:val="es-ES"/>
        </w:rPr>
        <w:t>   </w:t>
      </w:r>
    </w:p>
    <w:p w14:paraId="1A3588F4" w14:textId="77777777" w:rsidR="00864BD8" w:rsidRPr="000B7905" w:rsidRDefault="00864BD8" w:rsidP="007232E7">
      <w:pPr>
        <w:spacing w:after="0" w:line="24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lang w:val="es-ES"/>
        </w:rPr>
        <w:t>+44 (0) 7880620856                     </w:t>
      </w:r>
    </w:p>
    <w:p w14:paraId="2111DA78" w14:textId="77777777" w:rsidR="007232E7" w:rsidRPr="000B7905" w:rsidRDefault="007232E7" w:rsidP="007232E7">
      <w:pPr>
        <w:spacing w:after="0" w:line="240" w:lineRule="auto"/>
        <w:rPr>
          <w:rFonts w:ascii="Calibri" w:hAnsi="Calibri" w:cs="Calibri"/>
          <w:b/>
          <w:bCs/>
          <w:lang w:val="es-ES"/>
        </w:rPr>
      </w:pPr>
    </w:p>
    <w:p w14:paraId="12D3A8E6" w14:textId="0D3E10A9" w:rsidR="00864BD8" w:rsidRPr="000B7905" w:rsidRDefault="00864BD8" w:rsidP="007232E7">
      <w:pPr>
        <w:spacing w:after="0" w:line="24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b/>
          <w:bCs/>
          <w:lang w:val="es-ES"/>
        </w:rPr>
        <w:t>William Barbieri</w:t>
      </w:r>
      <w:r w:rsidRPr="000B7905">
        <w:rPr>
          <w:rFonts w:ascii="Calibri" w:hAnsi="Calibri" w:cs="Calibri"/>
          <w:lang w:val="es-ES"/>
        </w:rPr>
        <w:t>                </w:t>
      </w:r>
    </w:p>
    <w:p w14:paraId="5D033221" w14:textId="77777777" w:rsidR="00864BD8" w:rsidRPr="000B7905" w:rsidRDefault="00864BD8" w:rsidP="007232E7">
      <w:pPr>
        <w:spacing w:after="0" w:line="24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lang w:val="es-ES"/>
        </w:rPr>
        <w:t>Responsable de Comunicación                </w:t>
      </w:r>
      <w:r w:rsidRPr="000B7905">
        <w:rPr>
          <w:rFonts w:ascii="Calibri" w:hAnsi="Calibri" w:cs="Calibri"/>
          <w:lang w:val="es-ES"/>
        </w:rPr>
        <w:br/>
        <w:t>QS Quacquarelli Symonds                </w:t>
      </w:r>
    </w:p>
    <w:p w14:paraId="5EA70D21" w14:textId="77777777" w:rsidR="00864BD8" w:rsidRPr="000B7905" w:rsidRDefault="00864BD8" w:rsidP="00864BD8">
      <w:pPr>
        <w:rPr>
          <w:rFonts w:ascii="Calibri" w:hAnsi="Calibri" w:cs="Calibri"/>
          <w:lang w:val="es-ES"/>
        </w:rPr>
      </w:pPr>
      <w:hyperlink r:id="rId26" w:tgtFrame="_blank" w:history="1">
        <w:r w:rsidRPr="000B7905">
          <w:rPr>
            <w:rStyle w:val="Hyperlink"/>
            <w:rFonts w:ascii="Calibri" w:hAnsi="Calibri" w:cs="Calibri"/>
            <w:lang w:val="es-ES"/>
          </w:rPr>
          <w:t xml:space="preserve">william.barbieri@qs.com </w:t>
        </w:r>
      </w:hyperlink>
      <w:r w:rsidRPr="000B7905">
        <w:rPr>
          <w:rFonts w:ascii="Calibri" w:hAnsi="Calibri" w:cs="Calibri"/>
          <w:lang w:val="es-ES"/>
        </w:rPr>
        <w:t>   </w:t>
      </w:r>
    </w:p>
    <w:p w14:paraId="46D5A595" w14:textId="77777777" w:rsidR="007232E7" w:rsidRPr="000B7905" w:rsidRDefault="007232E7" w:rsidP="007232E7">
      <w:pPr>
        <w:spacing w:line="360" w:lineRule="auto"/>
        <w:rPr>
          <w:rFonts w:ascii="Calibri" w:hAnsi="Calibri" w:cs="Calibri"/>
          <w:b/>
          <w:bCs/>
          <w:lang w:val="es-ES"/>
        </w:rPr>
      </w:pPr>
    </w:p>
    <w:p w14:paraId="49AF8F78" w14:textId="279CD64A" w:rsidR="00864BD8" w:rsidRPr="000B7905" w:rsidRDefault="00864BD8" w:rsidP="007232E7">
      <w:pPr>
        <w:spacing w:line="36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b/>
          <w:bCs/>
          <w:lang w:val="es-ES"/>
        </w:rPr>
        <w:t>Notas para los redactores</w:t>
      </w:r>
      <w:r w:rsidRPr="000B7905">
        <w:rPr>
          <w:rFonts w:ascii="Calibri" w:hAnsi="Calibri" w:cs="Calibri"/>
          <w:lang w:val="es-ES"/>
        </w:rPr>
        <w:t>        </w:t>
      </w:r>
    </w:p>
    <w:p w14:paraId="4E44BFA0" w14:textId="315787F5" w:rsidR="00864BD8" w:rsidRPr="000B7905" w:rsidRDefault="00864BD8" w:rsidP="007232E7">
      <w:pPr>
        <w:spacing w:line="360" w:lineRule="auto"/>
        <w:rPr>
          <w:rFonts w:ascii="Calibri" w:hAnsi="Calibri" w:cs="Calibri"/>
          <w:lang w:val="es-ES"/>
        </w:rPr>
      </w:pPr>
      <w:r w:rsidRPr="000B7905">
        <w:rPr>
          <w:rFonts w:ascii="Calibri" w:hAnsi="Calibri" w:cs="Calibri"/>
          <w:b/>
          <w:bCs/>
          <w:lang w:val="es-ES"/>
        </w:rPr>
        <w:t xml:space="preserve">QS Quacquarelli Symonds </w:t>
      </w:r>
      <w:r w:rsidRPr="000B7905">
        <w:rPr>
          <w:rFonts w:ascii="Calibri" w:hAnsi="Calibri" w:cs="Calibri"/>
          <w:lang w:val="es-ES"/>
        </w:rPr>
        <w:t>es el proveedor líder mundial de servicios, análisis e información para el sector de la educación superior, cuya misión es ayudar a las personas motivadas de cualquier parte del mundo a desarrollar su potencial a través de los logros educativos, la movilidad internacional y el desarrollo profesional</w:t>
      </w:r>
      <w:r w:rsidRPr="000B7905">
        <w:rPr>
          <w:rFonts w:ascii="Calibri" w:hAnsi="Calibri" w:cs="Calibri"/>
          <w:i/>
          <w:iCs/>
          <w:lang w:val="es-ES"/>
        </w:rPr>
        <w:t xml:space="preserve">. </w:t>
      </w:r>
      <w:r w:rsidRPr="000B7905">
        <w:rPr>
          <w:rFonts w:ascii="Calibri" w:hAnsi="Calibri" w:cs="Calibri"/>
          <w:lang w:val="es-ES"/>
        </w:rPr>
        <w:t>     </w:t>
      </w:r>
      <w:r w:rsidRPr="000B7905">
        <w:rPr>
          <w:rFonts w:ascii="Calibri" w:hAnsi="Calibri" w:cs="Calibri"/>
          <w:lang w:val="es-ES"/>
        </w:rPr>
        <w:br/>
        <w:t xml:space="preserve">La cartera de </w:t>
      </w:r>
      <w:r w:rsidRPr="000B7905">
        <w:rPr>
          <w:rFonts w:ascii="Calibri" w:hAnsi="Calibri" w:cs="Calibri"/>
          <w:i/>
          <w:iCs/>
          <w:lang w:val="es-ES"/>
        </w:rPr>
        <w:t>QS World University Rankings</w:t>
      </w:r>
      <w:r w:rsidRPr="000B7905">
        <w:rPr>
          <w:rFonts w:ascii="Calibri" w:hAnsi="Calibri" w:cs="Calibri"/>
          <w:lang w:val="es-ES"/>
        </w:rPr>
        <w:t>, inaugurada en 2004, es la fuente más popular del mundo de datos comparativos sobre el rendimiento de las universidades.</w:t>
      </w:r>
    </w:p>
    <w:sectPr w:rsidR="00864BD8" w:rsidRPr="000B7905" w:rsidSect="00311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E0E9F"/>
    <w:multiLevelType w:val="multilevel"/>
    <w:tmpl w:val="262C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692297"/>
    <w:multiLevelType w:val="multilevel"/>
    <w:tmpl w:val="760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651113"/>
    <w:multiLevelType w:val="multilevel"/>
    <w:tmpl w:val="7A2C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1219FF"/>
    <w:multiLevelType w:val="multilevel"/>
    <w:tmpl w:val="14C6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780E55"/>
    <w:multiLevelType w:val="multilevel"/>
    <w:tmpl w:val="F176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19434E"/>
    <w:multiLevelType w:val="multilevel"/>
    <w:tmpl w:val="6D2A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0B1406"/>
    <w:multiLevelType w:val="multilevel"/>
    <w:tmpl w:val="D64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5527629">
    <w:abstractNumId w:val="0"/>
  </w:num>
  <w:num w:numId="2" w16cid:durableId="658311907">
    <w:abstractNumId w:val="3"/>
  </w:num>
  <w:num w:numId="3" w16cid:durableId="1703283703">
    <w:abstractNumId w:val="5"/>
  </w:num>
  <w:num w:numId="4" w16cid:durableId="1797799410">
    <w:abstractNumId w:val="1"/>
  </w:num>
  <w:num w:numId="5" w16cid:durableId="862328981">
    <w:abstractNumId w:val="4"/>
  </w:num>
  <w:num w:numId="6" w16cid:durableId="1417481911">
    <w:abstractNumId w:val="6"/>
  </w:num>
  <w:num w:numId="7" w16cid:durableId="172205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1E"/>
    <w:rsid w:val="00067D63"/>
    <w:rsid w:val="000B7905"/>
    <w:rsid w:val="00153DAE"/>
    <w:rsid w:val="001D019B"/>
    <w:rsid w:val="00206043"/>
    <w:rsid w:val="00285304"/>
    <w:rsid w:val="002A466F"/>
    <w:rsid w:val="002C281E"/>
    <w:rsid w:val="00311D98"/>
    <w:rsid w:val="0045235D"/>
    <w:rsid w:val="00461579"/>
    <w:rsid w:val="004917AA"/>
    <w:rsid w:val="005157EF"/>
    <w:rsid w:val="00535FAF"/>
    <w:rsid w:val="00660B22"/>
    <w:rsid w:val="006E7D05"/>
    <w:rsid w:val="006F254F"/>
    <w:rsid w:val="007232E7"/>
    <w:rsid w:val="007835AF"/>
    <w:rsid w:val="00864BD8"/>
    <w:rsid w:val="009D10E5"/>
    <w:rsid w:val="00C55C93"/>
    <w:rsid w:val="00CE074B"/>
    <w:rsid w:val="00FAEB05"/>
    <w:rsid w:val="03CB1048"/>
    <w:rsid w:val="053227D6"/>
    <w:rsid w:val="07D56331"/>
    <w:rsid w:val="09EE0EA1"/>
    <w:rsid w:val="0A124096"/>
    <w:rsid w:val="0AC87527"/>
    <w:rsid w:val="13B8BF51"/>
    <w:rsid w:val="14F13422"/>
    <w:rsid w:val="14F34A66"/>
    <w:rsid w:val="1686C20D"/>
    <w:rsid w:val="17DCE801"/>
    <w:rsid w:val="1C20D3E2"/>
    <w:rsid w:val="1E47B5F0"/>
    <w:rsid w:val="22A4DA8B"/>
    <w:rsid w:val="258F3F5B"/>
    <w:rsid w:val="2CB5B88A"/>
    <w:rsid w:val="2DFD5C70"/>
    <w:rsid w:val="2E237B31"/>
    <w:rsid w:val="323EB2F9"/>
    <w:rsid w:val="3636AEF2"/>
    <w:rsid w:val="391CD609"/>
    <w:rsid w:val="3A648E27"/>
    <w:rsid w:val="3AB62857"/>
    <w:rsid w:val="3B7CBFC7"/>
    <w:rsid w:val="3B90950B"/>
    <w:rsid w:val="3CBF8D3C"/>
    <w:rsid w:val="3E72F0E2"/>
    <w:rsid w:val="42895E48"/>
    <w:rsid w:val="43C7372E"/>
    <w:rsid w:val="447762DF"/>
    <w:rsid w:val="474D0FBB"/>
    <w:rsid w:val="48FE4EDD"/>
    <w:rsid w:val="4BC58878"/>
    <w:rsid w:val="4D997BA6"/>
    <w:rsid w:val="50662B0C"/>
    <w:rsid w:val="520564D2"/>
    <w:rsid w:val="53A74F2D"/>
    <w:rsid w:val="5444C548"/>
    <w:rsid w:val="54AABCBA"/>
    <w:rsid w:val="563A35A0"/>
    <w:rsid w:val="56BF18B1"/>
    <w:rsid w:val="5B199C2A"/>
    <w:rsid w:val="5E1E8700"/>
    <w:rsid w:val="5F1A7FB1"/>
    <w:rsid w:val="61226BC0"/>
    <w:rsid w:val="6564C3A0"/>
    <w:rsid w:val="68E6E591"/>
    <w:rsid w:val="69DB7C8D"/>
    <w:rsid w:val="6D819247"/>
    <w:rsid w:val="6DA879B3"/>
    <w:rsid w:val="7088EEC4"/>
    <w:rsid w:val="70C8F445"/>
    <w:rsid w:val="71BE5E9F"/>
    <w:rsid w:val="7324B841"/>
    <w:rsid w:val="73E14913"/>
    <w:rsid w:val="73E6D383"/>
    <w:rsid w:val="754ADD83"/>
    <w:rsid w:val="754DE9F8"/>
    <w:rsid w:val="7785C104"/>
    <w:rsid w:val="77E7A016"/>
    <w:rsid w:val="79B4B142"/>
    <w:rsid w:val="7C2F1E13"/>
    <w:rsid w:val="7C6E7B0C"/>
    <w:rsid w:val="7CB8900F"/>
    <w:rsid w:val="7EBD9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F940"/>
  <w15:chartTrackingRefBased/>
  <w15:docId w15:val="{939FFCC5-9B19-4575-8FFB-5592A9B4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8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8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8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57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7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5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A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world-university-rankings" TargetMode="External"/><Relationship Id="rId13" Type="http://schemas.openxmlformats.org/officeDocument/2006/relationships/hyperlink" Target="https://support.qs.com/hc/en-gb/articles/17814620744092" TargetMode="External"/><Relationship Id="rId18" Type="http://schemas.openxmlformats.org/officeDocument/2006/relationships/hyperlink" Target="https://support.qs.com/hc/en-gb/articles/360021865579" TargetMode="External"/><Relationship Id="rId26" Type="http://schemas.openxmlformats.org/officeDocument/2006/relationships/hyperlink" Target="https://encoded-592c9deb-987b-4562-aa3c-9fa3d37d83e9.uri/mailto%3awilliam.barbieri%40qs.com%25E2%2580%25A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qs.com/hc/en-gb/articles/1792807567823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pport.qs.com/hc/en-gb/articles/360019107580" TargetMode="External"/><Relationship Id="rId17" Type="http://schemas.openxmlformats.org/officeDocument/2006/relationships/hyperlink" Target="https://support.qs.com/hc/en-gb/articles/4403961809554" TargetMode="External"/><Relationship Id="rId25" Type="http://schemas.openxmlformats.org/officeDocument/2006/relationships/hyperlink" Target="https://encoded-592c9deb-987b-4562-aa3c-9fa3d37d83e9.uri/mailto%3asimona%40qs.com%25E2%2580%25A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qs.com/hc/en-gb/articles/19224616222748" TargetMode="External"/><Relationship Id="rId20" Type="http://schemas.openxmlformats.org/officeDocument/2006/relationships/hyperlink" Target="https://support.qs.com/hc/en-gb/articles/440396172750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qs.com/hc/en-gb/articles/4405952675346" TargetMode="External"/><Relationship Id="rId24" Type="http://schemas.openxmlformats.org/officeDocument/2006/relationships/hyperlink" Target="https://www.topuniversities.com/qs-world-university-rankings/2025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pport.qs.com/hc/en-gb/articles/4744563188508" TargetMode="External"/><Relationship Id="rId23" Type="http://schemas.openxmlformats.org/officeDocument/2006/relationships/hyperlink" Target="https://support.qs.com/hc/en-gb/articles/832258209846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pport.qs.com/hc/en-gb/articles/16078425711260" TargetMode="External"/><Relationship Id="rId19" Type="http://schemas.openxmlformats.org/officeDocument/2006/relationships/hyperlink" Target="https://support.qs.com/hc/en-gb/articles/1042567884956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opuniversities.com/world-university-rankings" TargetMode="External"/><Relationship Id="rId14" Type="http://schemas.openxmlformats.org/officeDocument/2006/relationships/hyperlink" Target="https://support.qs.com/hc/en-gb/articles/4407794203410-Employer-Reputation" TargetMode="External"/><Relationship Id="rId22" Type="http://schemas.openxmlformats.org/officeDocument/2006/relationships/hyperlink" Target="https://support.qs.com/hc/en-gb/articles/3600191082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E7D80358B05498AAD86436FFF3841" ma:contentTypeVersion="18" ma:contentTypeDescription="Create a new document." ma:contentTypeScope="" ma:versionID="a48a1c2d3df3daa39cde199690437eb7">
  <xsd:schema xmlns:xsd="http://www.w3.org/2001/XMLSchema" xmlns:xs="http://www.w3.org/2001/XMLSchema" xmlns:p="http://schemas.microsoft.com/office/2006/metadata/properties" xmlns:ns2="0bfbcbea-6f95-4c61-b234-a6bbe804a9e6" xmlns:ns3="d1395174-bdeb-4ce1-892c-65ecf02aaaf8" targetNamespace="http://schemas.microsoft.com/office/2006/metadata/properties" ma:root="true" ma:fieldsID="be99db622214a1eabf4d5c2fc5eebb8e" ns2:_="" ns3:_="">
    <xsd:import namespace="0bfbcbea-6f95-4c61-b234-a6bbe804a9e6"/>
    <xsd:import namespace="d1395174-bdeb-4ce1-892c-65ecf02aaa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cbea-6f95-4c61-b234-a6bbe804a9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a89a7e-35a0-4c85-9e66-9ece76e32d86}" ma:internalName="TaxCatchAll" ma:showField="CatchAllData" ma:web="0bfbcbea-6f95-4c61-b234-a6bbe804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95174-bdeb-4ce1-892c-65ecf02aa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0a45ee-8771-4b9b-8262-76eb4a5fd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bcbea-6f95-4c61-b234-a6bbe804a9e6" xsi:nil="true"/>
    <lcf76f155ced4ddcb4097134ff3c332f xmlns="d1395174-bdeb-4ce1-892c-65ecf02aa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BD8F49-6A73-492C-95C4-3CCD0294D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FAAA3-0E17-46E1-867A-E63037F0C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cbea-6f95-4c61-b234-a6bbe804a9e6"/>
    <ds:schemaRef ds:uri="d1395174-bdeb-4ce1-892c-65ecf02aa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B82A3-94F4-4683-ACE8-E9B38A7F6E2A}">
  <ds:schemaRefs>
    <ds:schemaRef ds:uri="http://schemas.microsoft.com/office/2006/metadata/properties"/>
    <ds:schemaRef ds:uri="http://schemas.microsoft.com/office/infopath/2007/PartnerControls"/>
    <ds:schemaRef ds:uri="0bfbcbea-6f95-4c61-b234-a6bbe804a9e6"/>
    <ds:schemaRef ds:uri="d1395174-bdeb-4ce1-892c-65ecf02aa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2121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Quacquarelli-Symonds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Barbieri</dc:creator>
  <cp:keywords>, docId:7E959E5B2B9BDAD4E8594B582C8B0949</cp:keywords>
  <dc:description/>
  <cp:lastModifiedBy>Carlota Fernandez</cp:lastModifiedBy>
  <cp:revision>13</cp:revision>
  <dcterms:created xsi:type="dcterms:W3CDTF">2025-05-21T11:52:00Z</dcterms:created>
  <dcterms:modified xsi:type="dcterms:W3CDTF">2025-06-16T07:26:00Z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0x0101003E0E7D80358B05498AAD86436FFF3841</vt:lpwstr>
  </property>
  <property fmtid="{D5CDD505-2E9C-101B-9397-08002B2CF9AE}" pid="3" name="MediaServiceImageTags">
    <vt:lpwstr/>
  </property>
</Properties>
</file>